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46" w:rsidRDefault="00A97C46" w:rsidP="00A5268B">
      <w:pPr>
        <w:spacing w:line="360" w:lineRule="auto"/>
        <w:ind w:left="335" w:right="1368"/>
        <w:jc w:val="center"/>
        <w:rPr>
          <w:b/>
          <w:spacing w:val="-8"/>
          <w:sz w:val="36"/>
        </w:rPr>
      </w:pPr>
      <w:bookmarkStart w:id="0" w:name="_GoBack"/>
      <w:bookmarkEnd w:id="0"/>
    </w:p>
    <w:p w:rsidR="00A97C46" w:rsidRPr="00A97C46" w:rsidRDefault="00A97C46" w:rsidP="00A97C46">
      <w:pPr>
        <w:spacing w:line="360" w:lineRule="auto"/>
        <w:ind w:left="335" w:right="1368"/>
        <w:jc w:val="center"/>
        <w:rPr>
          <w:b/>
          <w:spacing w:val="-8"/>
          <w:sz w:val="36"/>
          <w:lang w:val="en-US"/>
        </w:rPr>
      </w:pPr>
      <w:r w:rsidRPr="00A97C46">
        <w:rPr>
          <w:b/>
          <w:spacing w:val="-8"/>
          <w:sz w:val="36"/>
          <w:lang w:val="en-US"/>
        </w:rPr>
        <w:t>Information security breaches and financial market reaction</w:t>
      </w:r>
      <w:r>
        <w:rPr>
          <w:b/>
          <w:spacing w:val="-8"/>
          <w:sz w:val="36"/>
          <w:lang w:val="en-US"/>
        </w:rPr>
        <w:t>:</w:t>
      </w:r>
      <w:r w:rsidRPr="00A97C46">
        <w:rPr>
          <w:b/>
          <w:spacing w:val="-8"/>
          <w:sz w:val="36"/>
          <w:lang w:val="en-US"/>
        </w:rPr>
        <w:t xml:space="preserve"> the </w:t>
      </w:r>
      <w:r>
        <w:rPr>
          <w:b/>
          <w:spacing w:val="-8"/>
          <w:sz w:val="36"/>
          <w:lang w:val="en-US"/>
        </w:rPr>
        <w:t>French case</w:t>
      </w:r>
    </w:p>
    <w:p w:rsidR="00A97C46" w:rsidRPr="00A97C46" w:rsidRDefault="00A97C46" w:rsidP="00A5268B">
      <w:pPr>
        <w:spacing w:line="360" w:lineRule="auto"/>
        <w:ind w:left="335" w:right="1368"/>
        <w:jc w:val="center"/>
        <w:rPr>
          <w:b/>
          <w:sz w:val="36"/>
          <w:lang w:val="en-US"/>
        </w:rPr>
      </w:pPr>
    </w:p>
    <w:p w:rsidR="003E7CF5" w:rsidRPr="00A97C46" w:rsidRDefault="003E7CF5" w:rsidP="00A5268B">
      <w:pPr>
        <w:pStyle w:val="Corpsdetexte"/>
        <w:spacing w:before="8"/>
        <w:rPr>
          <w:sz w:val="47"/>
          <w:lang w:val="en-US"/>
        </w:rPr>
      </w:pPr>
    </w:p>
    <w:p w:rsidR="003E7CF5" w:rsidRPr="00A97C46" w:rsidRDefault="00024B00" w:rsidP="00024B00">
      <w:pPr>
        <w:ind w:left="2160" w:firstLine="720"/>
        <w:rPr>
          <w:sz w:val="28"/>
          <w:lang w:val="en-US"/>
        </w:rPr>
      </w:pPr>
      <w:r w:rsidRPr="00A97C46">
        <w:rPr>
          <w:sz w:val="28"/>
          <w:lang w:val="en-US"/>
        </w:rPr>
        <w:t xml:space="preserve">              Pauline</w:t>
      </w:r>
      <w:r w:rsidRPr="00A97C46">
        <w:rPr>
          <w:spacing w:val="-9"/>
          <w:sz w:val="28"/>
          <w:lang w:val="en-US"/>
        </w:rPr>
        <w:t xml:space="preserve"> </w:t>
      </w:r>
      <w:r w:rsidRPr="00A97C46">
        <w:rPr>
          <w:sz w:val="28"/>
          <w:lang w:val="en-US"/>
        </w:rPr>
        <w:t>MENDIELA</w:t>
      </w:r>
    </w:p>
    <w:p w:rsidR="00024B00" w:rsidRPr="00A97C46" w:rsidRDefault="00024B00" w:rsidP="00024B00">
      <w:pPr>
        <w:ind w:left="2160" w:firstLine="720"/>
        <w:rPr>
          <w:sz w:val="28"/>
          <w:lang w:val="en-US"/>
        </w:rPr>
      </w:pPr>
      <w:r w:rsidRPr="00A97C46">
        <w:rPr>
          <w:sz w:val="28"/>
          <w:lang w:val="en-US"/>
        </w:rPr>
        <w:t xml:space="preserve">                        ESSCA</w:t>
      </w:r>
    </w:p>
    <w:p w:rsidR="003E7CF5" w:rsidRPr="00A97C46" w:rsidRDefault="003E7CF5" w:rsidP="00024B00">
      <w:pPr>
        <w:spacing w:line="242" w:lineRule="auto"/>
        <w:jc w:val="center"/>
        <w:rPr>
          <w:sz w:val="24"/>
          <w:lang w:val="en-US"/>
        </w:rPr>
      </w:pPr>
    </w:p>
    <w:p w:rsidR="00024B00" w:rsidRPr="00A97C46" w:rsidRDefault="00024B00" w:rsidP="00024B00">
      <w:pPr>
        <w:spacing w:line="242" w:lineRule="auto"/>
        <w:jc w:val="center"/>
        <w:rPr>
          <w:sz w:val="24"/>
          <w:lang w:val="en-US"/>
        </w:rPr>
      </w:pPr>
    </w:p>
    <w:p w:rsidR="00A5268B" w:rsidRPr="00A97C46" w:rsidRDefault="00A5268B" w:rsidP="00A5268B">
      <w:pPr>
        <w:spacing w:line="242" w:lineRule="auto"/>
        <w:rPr>
          <w:sz w:val="24"/>
          <w:lang w:val="en-US"/>
        </w:rPr>
      </w:pPr>
    </w:p>
    <w:p w:rsidR="00024B00" w:rsidRPr="00A97C46" w:rsidRDefault="00024B00" w:rsidP="00A5268B">
      <w:pPr>
        <w:spacing w:before="120" w:after="120" w:line="360" w:lineRule="auto"/>
        <w:rPr>
          <w:b/>
          <w:sz w:val="24"/>
          <w:szCs w:val="24"/>
          <w:lang w:val="en-US"/>
        </w:rPr>
      </w:pPr>
      <w:r w:rsidRPr="00A97C46">
        <w:rPr>
          <w:b/>
          <w:sz w:val="24"/>
          <w:szCs w:val="24"/>
          <w:lang w:val="en-US"/>
        </w:rPr>
        <w:t>Abstract</w:t>
      </w:r>
    </w:p>
    <w:p w:rsidR="00024B00" w:rsidRDefault="002E2D4C" w:rsidP="002E2D4C">
      <w:pPr>
        <w:spacing w:before="120" w:after="120" w:line="360" w:lineRule="auto"/>
        <w:ind w:right="1521"/>
        <w:jc w:val="both"/>
        <w:rPr>
          <w:sz w:val="24"/>
          <w:szCs w:val="24"/>
          <w:lang w:val="en-US"/>
        </w:rPr>
      </w:pPr>
      <w:r w:rsidRPr="002E2D4C">
        <w:rPr>
          <w:sz w:val="24"/>
          <w:szCs w:val="24"/>
          <w:lang w:val="en-US"/>
        </w:rPr>
        <w:t xml:space="preserve">This study examines the impact of information security breaches on the stock returns </w:t>
      </w:r>
      <w:r>
        <w:rPr>
          <w:sz w:val="24"/>
          <w:szCs w:val="24"/>
          <w:lang w:val="en-US"/>
        </w:rPr>
        <w:t>on French companies</w:t>
      </w:r>
      <w:r w:rsidRPr="002E2D4C">
        <w:rPr>
          <w:sz w:val="24"/>
          <w:szCs w:val="24"/>
          <w:lang w:val="en-US"/>
        </w:rPr>
        <w:t>. Using the event study methodology, we prov</w:t>
      </w:r>
      <w:r>
        <w:rPr>
          <w:sz w:val="24"/>
          <w:szCs w:val="24"/>
          <w:lang w:val="en-US"/>
        </w:rPr>
        <w:t>ide insights on the effect of cyber</w:t>
      </w:r>
      <w:r w:rsidRPr="002E2D4C">
        <w:rPr>
          <w:sz w:val="24"/>
          <w:szCs w:val="24"/>
          <w:lang w:val="en-US"/>
        </w:rPr>
        <w:t xml:space="preserve">attack announcements on the market value of </w:t>
      </w:r>
      <w:r>
        <w:rPr>
          <w:sz w:val="24"/>
          <w:szCs w:val="24"/>
          <w:lang w:val="en-US"/>
        </w:rPr>
        <w:t xml:space="preserve">French </w:t>
      </w:r>
      <w:r w:rsidRPr="002E2D4C">
        <w:rPr>
          <w:sz w:val="24"/>
          <w:szCs w:val="24"/>
          <w:lang w:val="en-US"/>
        </w:rPr>
        <w:t xml:space="preserve">companies from 2009 to 2019. We show that </w:t>
      </w:r>
      <w:r>
        <w:rPr>
          <w:sz w:val="24"/>
          <w:szCs w:val="24"/>
          <w:lang w:val="en-US"/>
        </w:rPr>
        <w:t xml:space="preserve">following </w:t>
      </w:r>
      <w:r w:rsidRPr="002E2D4C">
        <w:rPr>
          <w:sz w:val="24"/>
          <w:szCs w:val="24"/>
          <w:lang w:val="en-US"/>
        </w:rPr>
        <w:t>cyberattack announcements</w:t>
      </w:r>
      <w:r>
        <w:rPr>
          <w:sz w:val="24"/>
          <w:szCs w:val="24"/>
          <w:lang w:val="en-US"/>
        </w:rPr>
        <w:t>,</w:t>
      </w:r>
      <w:r w:rsidRPr="002E2D4C">
        <w:rPr>
          <w:lang w:val="en-US"/>
        </w:rPr>
        <w:t xml:space="preserve"> </w:t>
      </w:r>
      <w:r>
        <w:rPr>
          <w:sz w:val="24"/>
          <w:szCs w:val="24"/>
          <w:lang w:val="en-US"/>
        </w:rPr>
        <w:t xml:space="preserve">stock </w:t>
      </w:r>
      <w:r w:rsidRPr="002E2D4C">
        <w:rPr>
          <w:sz w:val="24"/>
          <w:szCs w:val="24"/>
          <w:lang w:val="en-US"/>
        </w:rPr>
        <w:t xml:space="preserve">returns </w:t>
      </w:r>
      <w:r>
        <w:rPr>
          <w:sz w:val="24"/>
          <w:szCs w:val="24"/>
          <w:lang w:val="en-US"/>
        </w:rPr>
        <w:t>significantly decrease</w:t>
      </w:r>
      <w:r w:rsidRPr="002E2D4C">
        <w:rPr>
          <w:sz w:val="24"/>
          <w:szCs w:val="24"/>
          <w:lang w:val="en-US"/>
        </w:rPr>
        <w:t xml:space="preserve">. We find that </w:t>
      </w:r>
      <w:r>
        <w:rPr>
          <w:sz w:val="24"/>
          <w:szCs w:val="24"/>
          <w:lang w:val="en-US"/>
        </w:rPr>
        <w:t xml:space="preserve">financial companies </w:t>
      </w:r>
      <w:r w:rsidRPr="002E2D4C">
        <w:rPr>
          <w:sz w:val="24"/>
          <w:szCs w:val="24"/>
          <w:lang w:val="en-US"/>
        </w:rPr>
        <w:t xml:space="preserve">are more negatively impacted than other </w:t>
      </w:r>
      <w:r>
        <w:rPr>
          <w:sz w:val="24"/>
          <w:szCs w:val="24"/>
          <w:lang w:val="en-US"/>
        </w:rPr>
        <w:t>industries</w:t>
      </w:r>
      <w:r w:rsidRPr="002E2D4C">
        <w:rPr>
          <w:sz w:val="24"/>
          <w:szCs w:val="24"/>
          <w:lang w:val="en-US"/>
        </w:rPr>
        <w:t xml:space="preserve">. Our results lead </w:t>
      </w:r>
      <w:r>
        <w:rPr>
          <w:sz w:val="24"/>
          <w:szCs w:val="24"/>
          <w:lang w:val="en-US"/>
        </w:rPr>
        <w:t>conclude</w:t>
      </w:r>
      <w:r w:rsidRPr="002E2D4C">
        <w:rPr>
          <w:sz w:val="24"/>
          <w:szCs w:val="24"/>
          <w:lang w:val="en-US"/>
        </w:rPr>
        <w:t xml:space="preserve"> that cybersecurity is now fully integrated into risk management and the overall strategy of companies. Cyber resilience appears to be the essential element to face current threats and reassure investors.</w:t>
      </w:r>
    </w:p>
    <w:p w:rsidR="00A97C46" w:rsidRPr="00A97C46" w:rsidRDefault="00A97C46" w:rsidP="002E2D4C">
      <w:pPr>
        <w:spacing w:before="120" w:after="120" w:line="360" w:lineRule="auto"/>
        <w:ind w:right="1521"/>
        <w:jc w:val="both"/>
        <w:rPr>
          <w:b/>
          <w:sz w:val="24"/>
          <w:szCs w:val="24"/>
          <w:lang w:val="en-US"/>
        </w:rPr>
      </w:pPr>
      <w:r w:rsidRPr="00A97C46">
        <w:rPr>
          <w:b/>
          <w:sz w:val="24"/>
          <w:szCs w:val="24"/>
          <w:lang w:val="en-US"/>
        </w:rPr>
        <w:t>Keywords</w:t>
      </w:r>
    </w:p>
    <w:p w:rsidR="00A97C46" w:rsidRPr="002E2D4C" w:rsidRDefault="00A97C46" w:rsidP="002E2D4C">
      <w:pPr>
        <w:spacing w:before="120" w:after="120" w:line="360" w:lineRule="auto"/>
        <w:ind w:right="1521"/>
        <w:jc w:val="both"/>
        <w:rPr>
          <w:sz w:val="24"/>
          <w:szCs w:val="24"/>
          <w:lang w:val="en-US"/>
        </w:rPr>
      </w:pPr>
      <w:r>
        <w:rPr>
          <w:sz w:val="24"/>
          <w:szCs w:val="24"/>
          <w:lang w:val="en-US"/>
        </w:rPr>
        <w:t>Cybersecurity; Market reaction; Stock returns; Event Study</w:t>
      </w:r>
    </w:p>
    <w:p w:rsidR="003E7CF5" w:rsidRPr="002E2D4C" w:rsidRDefault="003E7CF5" w:rsidP="00A5268B">
      <w:pPr>
        <w:pStyle w:val="Corpsdetexte"/>
        <w:spacing w:before="120" w:after="120" w:line="360" w:lineRule="auto"/>
        <w:jc w:val="both"/>
        <w:rPr>
          <w:sz w:val="20"/>
          <w:lang w:val="en-US"/>
        </w:rPr>
      </w:pPr>
      <w:bookmarkStart w:id="1" w:name="_bookmark0"/>
      <w:bookmarkEnd w:id="1"/>
    </w:p>
    <w:p w:rsidR="003E7CF5" w:rsidRPr="00A5268B" w:rsidRDefault="00024B00" w:rsidP="00A5268B">
      <w:pPr>
        <w:spacing w:before="120" w:after="120" w:line="360" w:lineRule="auto"/>
        <w:ind w:right="1079"/>
        <w:jc w:val="both"/>
        <w:rPr>
          <w:b/>
          <w:sz w:val="24"/>
          <w:szCs w:val="24"/>
        </w:rPr>
      </w:pPr>
      <w:bookmarkStart w:id="2" w:name="Résumé"/>
      <w:bookmarkStart w:id="3" w:name="_bookmark1"/>
      <w:bookmarkEnd w:id="2"/>
      <w:bookmarkEnd w:id="3"/>
      <w:r w:rsidRPr="00A5268B">
        <w:rPr>
          <w:b/>
          <w:sz w:val="24"/>
          <w:szCs w:val="24"/>
        </w:rPr>
        <w:t>Résumé</w:t>
      </w:r>
    </w:p>
    <w:p w:rsidR="003E7CF5" w:rsidRDefault="00024B00" w:rsidP="002E2D4C">
      <w:pPr>
        <w:pStyle w:val="Corpsdetexte"/>
        <w:spacing w:before="120" w:after="120" w:line="360" w:lineRule="auto"/>
        <w:ind w:right="1420"/>
        <w:jc w:val="both"/>
        <w:sectPr w:rsidR="003E7CF5">
          <w:headerReference w:type="default" r:id="rId8"/>
          <w:pgSz w:w="12240" w:h="15840"/>
          <w:pgMar w:top="1540" w:right="0" w:bottom="280" w:left="1080" w:header="730" w:footer="0" w:gutter="0"/>
          <w:cols w:space="720"/>
        </w:sectPr>
      </w:pPr>
      <w:r>
        <w:t>Cette étude examine l’impact des atteintes à la sécurité de l’information sur les rendements boursiers des entreprises du marché boursier français. À l’aide de la méthodologie de l’étude d’événements,</w:t>
      </w:r>
      <w:r>
        <w:rPr>
          <w:spacing w:val="-14"/>
        </w:rPr>
        <w:t xml:space="preserve"> </w:t>
      </w:r>
      <w:r>
        <w:t>nous</w:t>
      </w:r>
      <w:r>
        <w:rPr>
          <w:spacing w:val="-12"/>
        </w:rPr>
        <w:t xml:space="preserve"> </w:t>
      </w:r>
      <w:r>
        <w:t>fournissons</w:t>
      </w:r>
      <w:r>
        <w:rPr>
          <w:spacing w:val="-12"/>
        </w:rPr>
        <w:t xml:space="preserve"> </w:t>
      </w:r>
      <w:r>
        <w:t>des</w:t>
      </w:r>
      <w:r>
        <w:rPr>
          <w:spacing w:val="-12"/>
        </w:rPr>
        <w:t xml:space="preserve"> </w:t>
      </w:r>
      <w:r>
        <w:t>données</w:t>
      </w:r>
      <w:r>
        <w:rPr>
          <w:spacing w:val="-11"/>
        </w:rPr>
        <w:t xml:space="preserve"> </w:t>
      </w:r>
      <w:r>
        <w:t>sur</w:t>
      </w:r>
      <w:r>
        <w:rPr>
          <w:spacing w:val="-13"/>
        </w:rPr>
        <w:t xml:space="preserve"> </w:t>
      </w:r>
      <w:r>
        <w:t>l’effet</w:t>
      </w:r>
      <w:r>
        <w:rPr>
          <w:spacing w:val="-15"/>
        </w:rPr>
        <w:t xml:space="preserve"> </w:t>
      </w:r>
      <w:r>
        <w:t>des</w:t>
      </w:r>
      <w:r>
        <w:rPr>
          <w:spacing w:val="-11"/>
        </w:rPr>
        <w:t xml:space="preserve"> </w:t>
      </w:r>
      <w:r>
        <w:t>annonces</w:t>
      </w:r>
      <w:r>
        <w:rPr>
          <w:spacing w:val="-12"/>
        </w:rPr>
        <w:t xml:space="preserve"> </w:t>
      </w:r>
      <w:r>
        <w:t>de</w:t>
      </w:r>
      <w:r>
        <w:rPr>
          <w:spacing w:val="-15"/>
        </w:rPr>
        <w:t xml:space="preserve"> </w:t>
      </w:r>
      <w:r>
        <w:t>cyberattaques</w:t>
      </w:r>
      <w:r>
        <w:rPr>
          <w:spacing w:val="-12"/>
        </w:rPr>
        <w:t xml:space="preserve"> </w:t>
      </w:r>
      <w:r>
        <w:t>sur</w:t>
      </w:r>
      <w:r>
        <w:rPr>
          <w:spacing w:val="-12"/>
        </w:rPr>
        <w:t xml:space="preserve"> </w:t>
      </w:r>
      <w:r>
        <w:t>la</w:t>
      </w:r>
      <w:r>
        <w:rPr>
          <w:spacing w:val="-15"/>
        </w:rPr>
        <w:t xml:space="preserve"> </w:t>
      </w:r>
      <w:r>
        <w:t>valeur marchande des entreprises de 2009 à 2019. Nous montrons que des rendements négatifs se produisent</w:t>
      </w:r>
      <w:r>
        <w:rPr>
          <w:spacing w:val="-9"/>
        </w:rPr>
        <w:t xml:space="preserve"> </w:t>
      </w:r>
      <w:r>
        <w:t>à</w:t>
      </w:r>
      <w:r>
        <w:rPr>
          <w:spacing w:val="-3"/>
        </w:rPr>
        <w:t xml:space="preserve"> </w:t>
      </w:r>
      <w:r>
        <w:t>la</w:t>
      </w:r>
      <w:r>
        <w:rPr>
          <w:spacing w:val="-9"/>
        </w:rPr>
        <w:t xml:space="preserve"> </w:t>
      </w:r>
      <w:r>
        <w:t>suite</w:t>
      </w:r>
      <w:r>
        <w:rPr>
          <w:spacing w:val="-8"/>
        </w:rPr>
        <w:t xml:space="preserve"> </w:t>
      </w:r>
      <w:r>
        <w:t>d’annonces</w:t>
      </w:r>
      <w:r>
        <w:rPr>
          <w:spacing w:val="-6"/>
        </w:rPr>
        <w:t xml:space="preserve"> </w:t>
      </w:r>
      <w:r>
        <w:t>de</w:t>
      </w:r>
      <w:r>
        <w:rPr>
          <w:spacing w:val="-8"/>
        </w:rPr>
        <w:t xml:space="preserve"> </w:t>
      </w:r>
      <w:r>
        <w:t>cyberattaques.</w:t>
      </w:r>
      <w:r>
        <w:rPr>
          <w:spacing w:val="-7"/>
        </w:rPr>
        <w:t xml:space="preserve"> </w:t>
      </w:r>
      <w:r>
        <w:t>Nous</w:t>
      </w:r>
      <w:r>
        <w:rPr>
          <w:spacing w:val="-6"/>
        </w:rPr>
        <w:t xml:space="preserve"> </w:t>
      </w:r>
      <w:r>
        <w:t>constatons</w:t>
      </w:r>
      <w:r>
        <w:rPr>
          <w:spacing w:val="-5"/>
        </w:rPr>
        <w:t xml:space="preserve"> </w:t>
      </w:r>
      <w:r>
        <w:t>que</w:t>
      </w:r>
      <w:r>
        <w:rPr>
          <w:spacing w:val="-9"/>
        </w:rPr>
        <w:t xml:space="preserve"> </w:t>
      </w:r>
      <w:r>
        <w:t>certains</w:t>
      </w:r>
      <w:r>
        <w:rPr>
          <w:spacing w:val="-5"/>
        </w:rPr>
        <w:t xml:space="preserve"> </w:t>
      </w:r>
      <w:r>
        <w:t>secteurs</w:t>
      </w:r>
      <w:r>
        <w:rPr>
          <w:spacing w:val="-6"/>
        </w:rPr>
        <w:t xml:space="preserve"> </w:t>
      </w:r>
      <w:r>
        <w:t>d’activité subissent</w:t>
      </w:r>
      <w:r>
        <w:rPr>
          <w:spacing w:val="-7"/>
        </w:rPr>
        <w:t xml:space="preserve"> </w:t>
      </w:r>
      <w:r>
        <w:t>souvent</w:t>
      </w:r>
      <w:r>
        <w:rPr>
          <w:spacing w:val="-6"/>
        </w:rPr>
        <w:t xml:space="preserve"> </w:t>
      </w:r>
      <w:r>
        <w:t>des</w:t>
      </w:r>
      <w:r>
        <w:rPr>
          <w:spacing w:val="-3"/>
        </w:rPr>
        <w:t xml:space="preserve"> </w:t>
      </w:r>
      <w:r>
        <w:t>effets</w:t>
      </w:r>
      <w:r>
        <w:rPr>
          <w:spacing w:val="-4"/>
        </w:rPr>
        <w:t xml:space="preserve"> </w:t>
      </w:r>
      <w:r>
        <w:t>négatifs</w:t>
      </w:r>
      <w:r>
        <w:rPr>
          <w:spacing w:val="-3"/>
        </w:rPr>
        <w:t xml:space="preserve"> </w:t>
      </w:r>
      <w:r>
        <w:t>plus</w:t>
      </w:r>
      <w:r>
        <w:rPr>
          <w:spacing w:val="-3"/>
        </w:rPr>
        <w:t xml:space="preserve"> </w:t>
      </w:r>
      <w:r>
        <w:t>importants</w:t>
      </w:r>
      <w:r>
        <w:rPr>
          <w:spacing w:val="-4"/>
        </w:rPr>
        <w:t xml:space="preserve"> </w:t>
      </w:r>
      <w:r>
        <w:t>que</w:t>
      </w:r>
      <w:r>
        <w:rPr>
          <w:spacing w:val="-6"/>
        </w:rPr>
        <w:t xml:space="preserve"> </w:t>
      </w:r>
      <w:r>
        <w:t>les</w:t>
      </w:r>
      <w:r>
        <w:rPr>
          <w:spacing w:val="-3"/>
        </w:rPr>
        <w:t xml:space="preserve"> </w:t>
      </w:r>
      <w:r>
        <w:t>autres</w:t>
      </w:r>
      <w:r>
        <w:rPr>
          <w:spacing w:val="-4"/>
        </w:rPr>
        <w:t xml:space="preserve"> </w:t>
      </w:r>
      <w:r>
        <w:t>entreprises,</w:t>
      </w:r>
      <w:r>
        <w:rPr>
          <w:spacing w:val="-4"/>
        </w:rPr>
        <w:t xml:space="preserve"> </w:t>
      </w:r>
      <w:r>
        <w:t>c’est</w:t>
      </w:r>
      <w:r>
        <w:rPr>
          <w:spacing w:val="-6"/>
        </w:rPr>
        <w:t xml:space="preserve"> </w:t>
      </w:r>
      <w:r>
        <w:t>notamment</w:t>
      </w:r>
      <w:r>
        <w:rPr>
          <w:spacing w:val="-6"/>
        </w:rPr>
        <w:t xml:space="preserve"> </w:t>
      </w:r>
      <w:r>
        <w:t>le cas</w:t>
      </w:r>
      <w:r>
        <w:rPr>
          <w:spacing w:val="-13"/>
        </w:rPr>
        <w:t xml:space="preserve"> </w:t>
      </w:r>
      <w:r>
        <w:t>des</w:t>
      </w:r>
      <w:r>
        <w:rPr>
          <w:spacing w:val="-13"/>
        </w:rPr>
        <w:t xml:space="preserve"> </w:t>
      </w:r>
      <w:r>
        <w:t>entités</w:t>
      </w:r>
      <w:r>
        <w:rPr>
          <w:spacing w:val="-13"/>
        </w:rPr>
        <w:t xml:space="preserve"> </w:t>
      </w:r>
      <w:r>
        <w:t>financières.</w:t>
      </w:r>
      <w:r>
        <w:rPr>
          <w:spacing w:val="-15"/>
        </w:rPr>
        <w:t xml:space="preserve"> </w:t>
      </w:r>
      <w:r>
        <w:t>Nos</w:t>
      </w:r>
      <w:r>
        <w:rPr>
          <w:spacing w:val="-13"/>
        </w:rPr>
        <w:t xml:space="preserve"> </w:t>
      </w:r>
      <w:r>
        <w:t>résultats</w:t>
      </w:r>
      <w:r>
        <w:rPr>
          <w:spacing w:val="-12"/>
        </w:rPr>
        <w:t xml:space="preserve"> </w:t>
      </w:r>
      <w:r>
        <w:t>nous</w:t>
      </w:r>
      <w:r>
        <w:rPr>
          <w:spacing w:val="-13"/>
        </w:rPr>
        <w:t xml:space="preserve"> </w:t>
      </w:r>
      <w:r>
        <w:t>amènent</w:t>
      </w:r>
      <w:r>
        <w:rPr>
          <w:spacing w:val="-16"/>
        </w:rPr>
        <w:t xml:space="preserve"> </w:t>
      </w:r>
      <w:r>
        <w:t>à</w:t>
      </w:r>
      <w:r>
        <w:rPr>
          <w:spacing w:val="-15"/>
        </w:rPr>
        <w:t xml:space="preserve"> </w:t>
      </w:r>
      <w:r>
        <w:t>penser</w:t>
      </w:r>
      <w:r>
        <w:rPr>
          <w:spacing w:val="-14"/>
        </w:rPr>
        <w:t xml:space="preserve"> </w:t>
      </w:r>
      <w:r>
        <w:t>que</w:t>
      </w:r>
      <w:r>
        <w:rPr>
          <w:spacing w:val="-8"/>
        </w:rPr>
        <w:t xml:space="preserve"> </w:t>
      </w:r>
      <w:r>
        <w:t>la</w:t>
      </w:r>
      <w:r>
        <w:rPr>
          <w:spacing w:val="-16"/>
        </w:rPr>
        <w:t xml:space="preserve"> </w:t>
      </w:r>
      <w:r>
        <w:t>cybersécurité</w:t>
      </w:r>
      <w:r>
        <w:rPr>
          <w:spacing w:val="-16"/>
        </w:rPr>
        <w:t xml:space="preserve"> </w:t>
      </w:r>
      <w:r>
        <w:t>est</w:t>
      </w:r>
      <w:r>
        <w:rPr>
          <w:spacing w:val="-15"/>
        </w:rPr>
        <w:t xml:space="preserve"> </w:t>
      </w:r>
      <w:r>
        <w:t>aujourd’hui pleinement</w:t>
      </w:r>
      <w:r>
        <w:rPr>
          <w:spacing w:val="-9"/>
        </w:rPr>
        <w:t xml:space="preserve"> </w:t>
      </w:r>
      <w:r>
        <w:t>intégrée</w:t>
      </w:r>
      <w:r>
        <w:rPr>
          <w:spacing w:val="-14"/>
        </w:rPr>
        <w:t xml:space="preserve"> </w:t>
      </w:r>
      <w:r>
        <w:t>à</w:t>
      </w:r>
      <w:r>
        <w:rPr>
          <w:spacing w:val="-14"/>
        </w:rPr>
        <w:t xml:space="preserve"> </w:t>
      </w:r>
      <w:r>
        <w:t>la</w:t>
      </w:r>
      <w:r>
        <w:rPr>
          <w:spacing w:val="-13"/>
        </w:rPr>
        <w:t xml:space="preserve"> </w:t>
      </w:r>
      <w:r>
        <w:t>maîtrise</w:t>
      </w:r>
      <w:r>
        <w:rPr>
          <w:spacing w:val="-14"/>
        </w:rPr>
        <w:t xml:space="preserve"> </w:t>
      </w:r>
      <w:r>
        <w:t>des</w:t>
      </w:r>
      <w:r>
        <w:rPr>
          <w:spacing w:val="-10"/>
        </w:rPr>
        <w:t xml:space="preserve"> </w:t>
      </w:r>
      <w:r>
        <w:t>risques</w:t>
      </w:r>
      <w:r>
        <w:rPr>
          <w:spacing w:val="-11"/>
        </w:rPr>
        <w:t xml:space="preserve"> </w:t>
      </w:r>
      <w:r>
        <w:t>et</w:t>
      </w:r>
      <w:r>
        <w:rPr>
          <w:spacing w:val="-14"/>
        </w:rPr>
        <w:t xml:space="preserve"> </w:t>
      </w:r>
      <w:r>
        <w:t>stratégie</w:t>
      </w:r>
      <w:r>
        <w:rPr>
          <w:spacing w:val="-13"/>
        </w:rPr>
        <w:t xml:space="preserve"> </w:t>
      </w:r>
      <w:r>
        <w:t>globale</w:t>
      </w:r>
      <w:r>
        <w:rPr>
          <w:spacing w:val="-14"/>
        </w:rPr>
        <w:t xml:space="preserve"> </w:t>
      </w:r>
      <w:r>
        <w:t>des</w:t>
      </w:r>
      <w:r>
        <w:rPr>
          <w:spacing w:val="-11"/>
        </w:rPr>
        <w:t xml:space="preserve"> </w:t>
      </w:r>
      <w:r>
        <w:t>entreprises.</w:t>
      </w:r>
      <w:r>
        <w:rPr>
          <w:spacing w:val="-12"/>
        </w:rPr>
        <w:t xml:space="preserve"> </w:t>
      </w:r>
      <w:r>
        <w:t>La</w:t>
      </w:r>
      <w:r>
        <w:rPr>
          <w:spacing w:val="-9"/>
        </w:rPr>
        <w:t xml:space="preserve"> </w:t>
      </w:r>
      <w:r>
        <w:t>cyber</w:t>
      </w:r>
      <w:r>
        <w:rPr>
          <w:spacing w:val="-12"/>
        </w:rPr>
        <w:t xml:space="preserve"> </w:t>
      </w:r>
      <w:r>
        <w:t>résilience apparaît</w:t>
      </w:r>
      <w:r>
        <w:rPr>
          <w:spacing w:val="-5"/>
        </w:rPr>
        <w:t xml:space="preserve"> </w:t>
      </w:r>
      <w:r>
        <w:t>être</w:t>
      </w:r>
      <w:r>
        <w:rPr>
          <w:spacing w:val="-5"/>
        </w:rPr>
        <w:t xml:space="preserve"> </w:t>
      </w:r>
      <w:r>
        <w:t>l’élément</w:t>
      </w:r>
      <w:r>
        <w:rPr>
          <w:spacing w:val="-5"/>
        </w:rPr>
        <w:t xml:space="preserve"> </w:t>
      </w:r>
      <w:r>
        <w:t>essentiel</w:t>
      </w:r>
      <w:r>
        <w:rPr>
          <w:spacing w:val="-5"/>
        </w:rPr>
        <w:t xml:space="preserve"> </w:t>
      </w:r>
      <w:r>
        <w:t>pour</w:t>
      </w:r>
      <w:r>
        <w:rPr>
          <w:spacing w:val="-3"/>
        </w:rPr>
        <w:t xml:space="preserve"> </w:t>
      </w:r>
      <w:r>
        <w:t>face</w:t>
      </w:r>
      <w:r>
        <w:rPr>
          <w:spacing w:val="-5"/>
        </w:rPr>
        <w:t xml:space="preserve"> </w:t>
      </w:r>
      <w:r>
        <w:t>faire</w:t>
      </w:r>
      <w:r>
        <w:rPr>
          <w:spacing w:val="-5"/>
        </w:rPr>
        <w:t xml:space="preserve"> </w:t>
      </w:r>
      <w:r>
        <w:t>aux</w:t>
      </w:r>
      <w:r>
        <w:rPr>
          <w:spacing w:val="1"/>
        </w:rPr>
        <w:t xml:space="preserve"> </w:t>
      </w:r>
      <w:r>
        <w:t>menaces</w:t>
      </w:r>
      <w:r>
        <w:rPr>
          <w:spacing w:val="-2"/>
        </w:rPr>
        <w:t xml:space="preserve"> </w:t>
      </w:r>
      <w:r>
        <w:t>actuelles</w:t>
      </w:r>
      <w:r>
        <w:rPr>
          <w:spacing w:val="-2"/>
        </w:rPr>
        <w:t xml:space="preserve"> </w:t>
      </w:r>
      <w:r>
        <w:t>et</w:t>
      </w:r>
      <w:r>
        <w:rPr>
          <w:spacing w:val="-5"/>
        </w:rPr>
        <w:t xml:space="preserve"> </w:t>
      </w:r>
      <w:r>
        <w:t>rassurer</w:t>
      </w:r>
      <w:r>
        <w:rPr>
          <w:spacing w:val="-3"/>
        </w:rPr>
        <w:t xml:space="preserve"> </w:t>
      </w:r>
      <w:r>
        <w:t>les</w:t>
      </w:r>
      <w:r>
        <w:rPr>
          <w:spacing w:val="-2"/>
        </w:rPr>
        <w:t xml:space="preserve"> </w:t>
      </w:r>
      <w:r>
        <w:t>investisseurs.</w:t>
      </w:r>
    </w:p>
    <w:p w:rsidR="00024B00" w:rsidRPr="00300F7B" w:rsidRDefault="00024B00" w:rsidP="00300F7B">
      <w:pPr>
        <w:pStyle w:val="Corpsdetexte"/>
        <w:spacing w:before="240" w:after="240" w:line="360" w:lineRule="auto"/>
        <w:ind w:right="1521"/>
        <w:jc w:val="both"/>
        <w:rPr>
          <w:b/>
        </w:rPr>
      </w:pPr>
      <w:r w:rsidRPr="00300F7B">
        <w:rPr>
          <w:b/>
        </w:rPr>
        <w:lastRenderedPageBreak/>
        <w:t>Introduction</w:t>
      </w:r>
    </w:p>
    <w:p w:rsidR="003E7CF5" w:rsidRPr="00300F7B" w:rsidRDefault="00024B00" w:rsidP="00300F7B">
      <w:pPr>
        <w:pStyle w:val="Corpsdetexte"/>
        <w:spacing w:before="240" w:after="240" w:line="360" w:lineRule="auto"/>
        <w:ind w:right="1521"/>
        <w:jc w:val="both"/>
      </w:pPr>
      <w:r w:rsidRPr="00300F7B">
        <w:t>Cybersécurité, système d’information, faille de sécurité, virus, cyberattaque, ransomware, hameçonnage et résilience sont autant de mots préoccupant les directions des risques des grandes entreprises</w:t>
      </w:r>
      <w:r w:rsidRPr="00300F7B">
        <w:rPr>
          <w:spacing w:val="-13"/>
        </w:rPr>
        <w:t xml:space="preserve"> </w:t>
      </w:r>
      <w:r w:rsidRPr="00300F7B">
        <w:t>françaises.</w:t>
      </w:r>
      <w:r w:rsidRPr="00300F7B">
        <w:rPr>
          <w:spacing w:val="-12"/>
        </w:rPr>
        <w:t xml:space="preserve"> </w:t>
      </w:r>
      <w:r w:rsidRPr="00300F7B">
        <w:t>Le</w:t>
      </w:r>
      <w:r w:rsidRPr="00300F7B">
        <w:rPr>
          <w:spacing w:val="-15"/>
        </w:rPr>
        <w:t xml:space="preserve"> </w:t>
      </w:r>
      <w:r w:rsidRPr="00300F7B">
        <w:t>développement</w:t>
      </w:r>
      <w:r w:rsidRPr="00300F7B">
        <w:rPr>
          <w:spacing w:val="-15"/>
        </w:rPr>
        <w:t xml:space="preserve"> </w:t>
      </w:r>
      <w:r w:rsidRPr="00300F7B">
        <w:t>des</w:t>
      </w:r>
      <w:r w:rsidRPr="00300F7B">
        <w:rPr>
          <w:spacing w:val="-13"/>
        </w:rPr>
        <w:t xml:space="preserve"> </w:t>
      </w:r>
      <w:r w:rsidRPr="00300F7B">
        <w:t>technologies</w:t>
      </w:r>
      <w:r w:rsidRPr="00300F7B">
        <w:rPr>
          <w:spacing w:val="-13"/>
        </w:rPr>
        <w:t xml:space="preserve"> </w:t>
      </w:r>
      <w:r w:rsidRPr="00300F7B">
        <w:t>de</w:t>
      </w:r>
      <w:r w:rsidRPr="00300F7B">
        <w:rPr>
          <w:spacing w:val="-16"/>
        </w:rPr>
        <w:t xml:space="preserve"> </w:t>
      </w:r>
      <w:r w:rsidRPr="00300F7B">
        <w:t>l'information</w:t>
      </w:r>
      <w:r w:rsidRPr="00300F7B">
        <w:rPr>
          <w:spacing w:val="-15"/>
        </w:rPr>
        <w:t xml:space="preserve"> </w:t>
      </w:r>
      <w:r w:rsidRPr="00300F7B">
        <w:t>affecte</w:t>
      </w:r>
      <w:r w:rsidRPr="00300F7B">
        <w:rPr>
          <w:spacing w:val="-15"/>
        </w:rPr>
        <w:t xml:space="preserve"> </w:t>
      </w:r>
      <w:r w:rsidRPr="00300F7B">
        <w:t>tous</w:t>
      </w:r>
      <w:r w:rsidRPr="00300F7B">
        <w:rPr>
          <w:spacing w:val="-13"/>
        </w:rPr>
        <w:t xml:space="preserve"> </w:t>
      </w:r>
      <w:r w:rsidRPr="00300F7B">
        <w:t>les</w:t>
      </w:r>
      <w:r w:rsidRPr="00300F7B">
        <w:rPr>
          <w:spacing w:val="-13"/>
        </w:rPr>
        <w:t xml:space="preserve"> </w:t>
      </w:r>
      <w:r w:rsidRPr="00300F7B">
        <w:t>secteurs économiques. Si Internet a souvent permis d’améliorer de bien des manières notre quotidien, il a également augmenté la vulnérabilité des infrastructures pour atteindre et compromettre la sécurité de l'information. La cybercriminalité coûte de plus en plus cher aux entreprises avec une augmentation</w:t>
      </w:r>
      <w:r w:rsidRPr="00300F7B">
        <w:rPr>
          <w:spacing w:val="-4"/>
        </w:rPr>
        <w:t xml:space="preserve"> </w:t>
      </w:r>
      <w:r w:rsidRPr="00300F7B">
        <w:t>de</w:t>
      </w:r>
      <w:r w:rsidRPr="00300F7B">
        <w:rPr>
          <w:spacing w:val="-5"/>
        </w:rPr>
        <w:t xml:space="preserve"> </w:t>
      </w:r>
      <w:r w:rsidRPr="00300F7B">
        <w:t>72%</w:t>
      </w:r>
      <w:r w:rsidRPr="00300F7B">
        <w:rPr>
          <w:spacing w:val="-3"/>
        </w:rPr>
        <w:t xml:space="preserve"> </w:t>
      </w:r>
      <w:r w:rsidRPr="00300F7B">
        <w:t>du</w:t>
      </w:r>
      <w:r w:rsidRPr="00300F7B">
        <w:rPr>
          <w:spacing w:val="-3"/>
        </w:rPr>
        <w:t xml:space="preserve"> </w:t>
      </w:r>
      <w:r w:rsidRPr="00300F7B">
        <w:t>coût</w:t>
      </w:r>
      <w:r w:rsidRPr="00300F7B">
        <w:rPr>
          <w:spacing w:val="-5"/>
        </w:rPr>
        <w:t xml:space="preserve"> </w:t>
      </w:r>
      <w:r w:rsidRPr="00300F7B">
        <w:t>moyen</w:t>
      </w:r>
      <w:r w:rsidRPr="00300F7B">
        <w:rPr>
          <w:spacing w:val="-3"/>
        </w:rPr>
        <w:t xml:space="preserve"> </w:t>
      </w:r>
      <w:r w:rsidRPr="00300F7B">
        <w:t>des</w:t>
      </w:r>
      <w:r w:rsidRPr="00300F7B">
        <w:rPr>
          <w:spacing w:val="-2"/>
        </w:rPr>
        <w:t xml:space="preserve"> </w:t>
      </w:r>
      <w:r w:rsidRPr="00300F7B">
        <w:t>attaques</w:t>
      </w:r>
      <w:r w:rsidRPr="00300F7B">
        <w:rPr>
          <w:spacing w:val="2"/>
        </w:rPr>
        <w:t xml:space="preserve"> </w:t>
      </w:r>
      <w:r w:rsidRPr="00300F7B">
        <w:t>sur</w:t>
      </w:r>
      <w:r w:rsidRPr="00300F7B">
        <w:rPr>
          <w:spacing w:val="-3"/>
        </w:rPr>
        <w:t xml:space="preserve"> </w:t>
      </w:r>
      <w:r w:rsidRPr="00300F7B">
        <w:t>l’année</w:t>
      </w:r>
      <w:r w:rsidRPr="00300F7B">
        <w:rPr>
          <w:spacing w:val="-5"/>
        </w:rPr>
        <w:t xml:space="preserve"> </w:t>
      </w:r>
      <w:r w:rsidRPr="00300F7B">
        <w:t>2018</w:t>
      </w:r>
      <w:r w:rsidRPr="00300F7B">
        <w:rPr>
          <w:spacing w:val="-3"/>
        </w:rPr>
        <w:t xml:space="preserve"> </w:t>
      </w:r>
      <w:r w:rsidRPr="00300F7B">
        <w:t>(Accenture,</w:t>
      </w:r>
      <w:r w:rsidRPr="00300F7B">
        <w:rPr>
          <w:spacing w:val="-3"/>
        </w:rPr>
        <w:t xml:space="preserve"> </w:t>
      </w:r>
      <w:r w:rsidRPr="00300F7B">
        <w:t>2019).</w:t>
      </w:r>
      <w:r w:rsidRPr="00300F7B">
        <w:rPr>
          <w:spacing w:val="-4"/>
        </w:rPr>
        <w:t xml:space="preserve"> </w:t>
      </w:r>
      <w:r w:rsidRPr="00300F7B">
        <w:t>Le</w:t>
      </w:r>
      <w:r w:rsidRPr="00300F7B">
        <w:rPr>
          <w:spacing w:val="-5"/>
        </w:rPr>
        <w:t xml:space="preserve"> </w:t>
      </w:r>
      <w:r w:rsidRPr="00300F7B">
        <w:t>nombre de cyberattaques n’a cessé de croître ces dernières années. Si en 2017, plus de 19 millions de Français ont été concernés par des attaques informatiques (Norton 2017), les attaques en 2019 ont été tout aussi nombreuses et</w:t>
      </w:r>
      <w:r w:rsidRPr="00300F7B">
        <w:rPr>
          <w:spacing w:val="-6"/>
        </w:rPr>
        <w:t xml:space="preserve"> </w:t>
      </w:r>
      <w:r w:rsidRPr="00300F7B">
        <w:t>impactantes.</w:t>
      </w:r>
    </w:p>
    <w:p w:rsidR="003E7CF5" w:rsidRPr="00300F7B" w:rsidRDefault="00024B00" w:rsidP="00300F7B">
      <w:pPr>
        <w:pStyle w:val="Corpsdetexte"/>
        <w:spacing w:before="240" w:after="240" w:line="360" w:lineRule="auto"/>
        <w:ind w:right="1521"/>
        <w:jc w:val="both"/>
      </w:pPr>
      <w:r w:rsidRPr="00300F7B">
        <w:t>Alors que la plupart des attaques informatiques avaient un faible impact il y a quelques années, la sophistication</w:t>
      </w:r>
      <w:r w:rsidRPr="00300F7B">
        <w:rPr>
          <w:spacing w:val="-10"/>
        </w:rPr>
        <w:t xml:space="preserve"> </w:t>
      </w:r>
      <w:r w:rsidRPr="00300F7B">
        <w:t>de</w:t>
      </w:r>
      <w:r w:rsidRPr="00300F7B">
        <w:rPr>
          <w:spacing w:val="-10"/>
        </w:rPr>
        <w:t xml:space="preserve"> </w:t>
      </w:r>
      <w:r w:rsidRPr="00300F7B">
        <w:t>certaines</w:t>
      </w:r>
      <w:r w:rsidRPr="00300F7B">
        <w:rPr>
          <w:spacing w:val="-8"/>
        </w:rPr>
        <w:t xml:space="preserve"> </w:t>
      </w:r>
      <w:r w:rsidRPr="00300F7B">
        <w:t>d’entre</w:t>
      </w:r>
      <w:r w:rsidRPr="00300F7B">
        <w:rPr>
          <w:spacing w:val="-10"/>
        </w:rPr>
        <w:t xml:space="preserve"> </w:t>
      </w:r>
      <w:r w:rsidRPr="00300F7B">
        <w:t>elles</w:t>
      </w:r>
      <w:r w:rsidRPr="00300F7B">
        <w:rPr>
          <w:spacing w:val="-4"/>
        </w:rPr>
        <w:t xml:space="preserve"> </w:t>
      </w:r>
      <w:r w:rsidRPr="00300F7B">
        <w:t>ayant</w:t>
      </w:r>
      <w:r w:rsidRPr="00300F7B">
        <w:rPr>
          <w:spacing w:val="-10"/>
        </w:rPr>
        <w:t xml:space="preserve"> </w:t>
      </w:r>
      <w:r w:rsidRPr="00300F7B">
        <w:t>récemment</w:t>
      </w:r>
      <w:r w:rsidRPr="00300F7B">
        <w:rPr>
          <w:spacing w:val="-10"/>
        </w:rPr>
        <w:t xml:space="preserve"> </w:t>
      </w:r>
      <w:r w:rsidRPr="00300F7B">
        <w:t>touché</w:t>
      </w:r>
      <w:r w:rsidRPr="00300F7B">
        <w:rPr>
          <w:spacing w:val="-10"/>
        </w:rPr>
        <w:t xml:space="preserve"> </w:t>
      </w:r>
      <w:r w:rsidRPr="00300F7B">
        <w:t>de</w:t>
      </w:r>
      <w:r w:rsidRPr="00300F7B">
        <w:rPr>
          <w:spacing w:val="-11"/>
        </w:rPr>
        <w:t xml:space="preserve"> </w:t>
      </w:r>
      <w:r w:rsidRPr="00300F7B">
        <w:t>nombreuses</w:t>
      </w:r>
      <w:r w:rsidRPr="00300F7B">
        <w:rPr>
          <w:spacing w:val="-7"/>
        </w:rPr>
        <w:t xml:space="preserve"> </w:t>
      </w:r>
      <w:r w:rsidRPr="00300F7B">
        <w:t>entreprises</w:t>
      </w:r>
      <w:r w:rsidRPr="00300F7B">
        <w:rPr>
          <w:spacing w:val="-4"/>
        </w:rPr>
        <w:t xml:space="preserve"> </w:t>
      </w:r>
      <w:r w:rsidRPr="00300F7B">
        <w:t>a</w:t>
      </w:r>
      <w:r w:rsidRPr="00300F7B">
        <w:rPr>
          <w:spacing w:val="-11"/>
        </w:rPr>
        <w:t xml:space="preserve"> </w:t>
      </w:r>
      <w:r w:rsidRPr="00300F7B">
        <w:t>attiré l’attention tant des professionnels que des particuliers. L’augmentation des atteintes à la sécurité au cours des dernières années, l’inter connectivité des réseaux et la nécessité de collecter toujours plus de données ont suscité un intérêt grandissant pour la cybersécurité au sein des organisations. Ce nouvel enjeu de sécurité est défini par l’ANSSI comme « l’état recherché pour un système d’information lui permettant de résister à des évènements issus du cyberespace, susceptibles de compromettre la disponibilité, l’intégrité ou la confidentialité des données stockées, traitées ou transmises et des services connexes que ces systèmes offrent ou qu’ils rendent accessibles ».</w:t>
      </w:r>
      <w:r w:rsidRPr="00300F7B">
        <w:rPr>
          <w:spacing w:val="-39"/>
        </w:rPr>
        <w:t xml:space="preserve"> </w:t>
      </w:r>
      <w:r w:rsidRPr="00300F7B">
        <w:t>Dans ce contexte, la cybersécurité cherche donc à défendre tous les systèmes numériques, qu’ils soient connectés entre eux ou non, tels que les systèmes liés à l’Internet des objets2.</w:t>
      </w:r>
    </w:p>
    <w:p w:rsidR="003E7CF5" w:rsidRPr="00300F7B" w:rsidRDefault="00024B00" w:rsidP="00300F7B">
      <w:pPr>
        <w:pStyle w:val="Corpsdetexte"/>
        <w:spacing w:before="240" w:after="240" w:line="360" w:lineRule="auto"/>
        <w:ind w:right="1521"/>
        <w:jc w:val="both"/>
      </w:pPr>
      <w:r w:rsidRPr="00300F7B">
        <w:t>Ainsi,</w:t>
      </w:r>
      <w:r w:rsidRPr="00300F7B">
        <w:rPr>
          <w:spacing w:val="-8"/>
        </w:rPr>
        <w:t xml:space="preserve"> </w:t>
      </w:r>
      <w:r w:rsidRPr="00300F7B">
        <w:t>le</w:t>
      </w:r>
      <w:r w:rsidRPr="00300F7B">
        <w:rPr>
          <w:spacing w:val="-9"/>
        </w:rPr>
        <w:t xml:space="preserve"> </w:t>
      </w:r>
      <w:r w:rsidRPr="00300F7B">
        <w:t>risque</w:t>
      </w:r>
      <w:r w:rsidRPr="00300F7B">
        <w:rPr>
          <w:spacing w:val="-4"/>
        </w:rPr>
        <w:t xml:space="preserve"> </w:t>
      </w:r>
      <w:r w:rsidRPr="00300F7B">
        <w:t>lié</w:t>
      </w:r>
      <w:r w:rsidRPr="00300F7B">
        <w:rPr>
          <w:spacing w:val="-8"/>
        </w:rPr>
        <w:t xml:space="preserve"> </w:t>
      </w:r>
      <w:r w:rsidRPr="00300F7B">
        <w:t>aux</w:t>
      </w:r>
      <w:r w:rsidRPr="00300F7B">
        <w:rPr>
          <w:spacing w:val="-8"/>
        </w:rPr>
        <w:t xml:space="preserve"> </w:t>
      </w:r>
      <w:r w:rsidRPr="00300F7B">
        <w:t>systèmes</w:t>
      </w:r>
      <w:r w:rsidRPr="00300F7B">
        <w:rPr>
          <w:spacing w:val="-5"/>
        </w:rPr>
        <w:t xml:space="preserve"> </w:t>
      </w:r>
      <w:r w:rsidRPr="00300F7B">
        <w:t>d’information</w:t>
      </w:r>
      <w:r w:rsidRPr="00300F7B">
        <w:rPr>
          <w:spacing w:val="2"/>
        </w:rPr>
        <w:t xml:space="preserve"> </w:t>
      </w:r>
      <w:r w:rsidRPr="00300F7B">
        <w:t>et</w:t>
      </w:r>
      <w:r w:rsidRPr="00300F7B">
        <w:rPr>
          <w:spacing w:val="-4"/>
        </w:rPr>
        <w:t xml:space="preserve"> </w:t>
      </w:r>
      <w:r w:rsidRPr="00300F7B">
        <w:t>la</w:t>
      </w:r>
      <w:r w:rsidRPr="00300F7B">
        <w:rPr>
          <w:spacing w:val="-9"/>
        </w:rPr>
        <w:t xml:space="preserve"> </w:t>
      </w:r>
      <w:r w:rsidRPr="00300F7B">
        <w:t>protection</w:t>
      </w:r>
      <w:r w:rsidRPr="00300F7B">
        <w:rPr>
          <w:spacing w:val="-7"/>
        </w:rPr>
        <w:t xml:space="preserve"> </w:t>
      </w:r>
      <w:r w:rsidRPr="00300F7B">
        <w:t>de</w:t>
      </w:r>
      <w:r w:rsidRPr="00300F7B">
        <w:rPr>
          <w:spacing w:val="-4"/>
        </w:rPr>
        <w:t xml:space="preserve"> </w:t>
      </w:r>
      <w:r w:rsidRPr="00300F7B">
        <w:t>ces</w:t>
      </w:r>
      <w:r w:rsidRPr="00300F7B">
        <w:rPr>
          <w:spacing w:val="-6"/>
        </w:rPr>
        <w:t xml:space="preserve"> </w:t>
      </w:r>
      <w:r w:rsidRPr="00300F7B">
        <w:t>derniers</w:t>
      </w:r>
      <w:r w:rsidRPr="00300F7B">
        <w:rPr>
          <w:spacing w:val="-3"/>
        </w:rPr>
        <w:t xml:space="preserve"> </w:t>
      </w:r>
      <w:r w:rsidRPr="00300F7B">
        <w:t>sont</w:t>
      </w:r>
      <w:r w:rsidRPr="00300F7B">
        <w:rPr>
          <w:spacing w:val="-8"/>
        </w:rPr>
        <w:t xml:space="preserve"> </w:t>
      </w:r>
      <w:r w:rsidRPr="00300F7B">
        <w:t>devenus</w:t>
      </w:r>
      <w:r w:rsidRPr="00300F7B">
        <w:rPr>
          <w:spacing w:val="-1"/>
        </w:rPr>
        <w:t xml:space="preserve"> </w:t>
      </w:r>
      <w:r w:rsidRPr="00300F7B">
        <w:t>en</w:t>
      </w:r>
      <w:r w:rsidRPr="00300F7B">
        <w:rPr>
          <w:spacing w:val="-8"/>
        </w:rPr>
        <w:t xml:space="preserve"> </w:t>
      </w:r>
      <w:r w:rsidRPr="00300F7B">
        <w:t xml:space="preserve">peu de temps une préoccupation majeure poussant les entreprises à faire évoluer leurs stratégies en matière de gestion des risques. Ces risques sont à </w:t>
      </w:r>
      <w:r w:rsidRPr="00300F7B">
        <w:rPr>
          <w:spacing w:val="-4"/>
        </w:rPr>
        <w:t xml:space="preserve">la </w:t>
      </w:r>
      <w:r w:rsidRPr="00300F7B">
        <w:t>mesure des enjeux puisqu’aujourd’hui, une cyberattaque ou une erreur non intentionnelle de manipulation de données peut compromettre la confidentialité, l’intégrité et l’accessibilité de données et de systèmes d’information. Elle peut également se solder par de lourdes pertes financières, et aller jusqu’à menacer la survie d’une entreprise ou le fonctionnement et la sécurité d’un</w:t>
      </w:r>
      <w:r w:rsidRPr="00300F7B">
        <w:rPr>
          <w:spacing w:val="-9"/>
        </w:rPr>
        <w:t xml:space="preserve"> </w:t>
      </w:r>
      <w:r w:rsidRPr="00300F7B">
        <w:t>État.</w:t>
      </w:r>
    </w:p>
    <w:p w:rsidR="003E7CF5" w:rsidRPr="00300F7B" w:rsidRDefault="00024B00" w:rsidP="00300F7B">
      <w:pPr>
        <w:pStyle w:val="Corpsdetexte"/>
        <w:spacing w:before="240" w:after="240" w:line="360" w:lineRule="auto"/>
        <w:ind w:right="1521"/>
        <w:jc w:val="both"/>
      </w:pPr>
      <w:r w:rsidRPr="00300F7B">
        <w:lastRenderedPageBreak/>
        <w:t>En 2017, les attaques WannaCry et NotPetya ont rappelé les menaces que le risque cyber fait peser sur l’économie et la société. Face à cette multiplication des incidents de grande ampleur, les petites et grandes entreprises tentent, à leur échelle, de développer des environnements cyber résilients. Ainsi en 2018, 76%5 (Ernst &amp; Young, 2018) des entreprises mondiales déclarent avoir augmenté leur budget alloué à la cybersécurité, tentant ainsi de minimiser les risques liés aux attaques. Ces atteintes aux systèmes d’information représentent des coûts implicites et explicites non négligeables (Gordon et Loeb, 2011) dont d’importantes pertes financières. La cybercriminalité</w:t>
      </w:r>
      <w:r w:rsidRPr="00300F7B">
        <w:rPr>
          <w:spacing w:val="-18"/>
        </w:rPr>
        <w:t xml:space="preserve"> </w:t>
      </w:r>
      <w:r w:rsidRPr="00300F7B">
        <w:t>apparaît</w:t>
      </w:r>
      <w:r w:rsidRPr="00300F7B">
        <w:rPr>
          <w:spacing w:val="-18"/>
        </w:rPr>
        <w:t xml:space="preserve"> </w:t>
      </w:r>
      <w:r w:rsidRPr="00300F7B">
        <w:t>alors</w:t>
      </w:r>
      <w:r w:rsidRPr="00300F7B">
        <w:rPr>
          <w:spacing w:val="-15"/>
        </w:rPr>
        <w:t xml:space="preserve"> </w:t>
      </w:r>
      <w:r w:rsidRPr="00300F7B">
        <w:t>comme</w:t>
      </w:r>
      <w:r w:rsidRPr="00300F7B">
        <w:rPr>
          <w:spacing w:val="-18"/>
        </w:rPr>
        <w:t xml:space="preserve"> </w:t>
      </w:r>
      <w:r w:rsidRPr="00300F7B">
        <w:t>une</w:t>
      </w:r>
      <w:r w:rsidRPr="00300F7B">
        <w:rPr>
          <w:spacing w:val="-16"/>
        </w:rPr>
        <w:t xml:space="preserve"> </w:t>
      </w:r>
      <w:r w:rsidRPr="00300F7B">
        <w:t>préoccupation</w:t>
      </w:r>
      <w:r w:rsidRPr="00300F7B">
        <w:rPr>
          <w:spacing w:val="-15"/>
        </w:rPr>
        <w:t xml:space="preserve"> </w:t>
      </w:r>
      <w:r w:rsidRPr="00300F7B">
        <w:t>majeure</w:t>
      </w:r>
      <w:r w:rsidRPr="00300F7B">
        <w:rPr>
          <w:spacing w:val="-18"/>
        </w:rPr>
        <w:t xml:space="preserve"> </w:t>
      </w:r>
      <w:r w:rsidRPr="00300F7B">
        <w:t>des</w:t>
      </w:r>
      <w:r w:rsidRPr="00300F7B">
        <w:rPr>
          <w:spacing w:val="-16"/>
        </w:rPr>
        <w:t xml:space="preserve"> </w:t>
      </w:r>
      <w:r w:rsidRPr="00300F7B">
        <w:t>actionnaires,</w:t>
      </w:r>
      <w:r w:rsidRPr="00300F7B">
        <w:rPr>
          <w:spacing w:val="-16"/>
        </w:rPr>
        <w:t xml:space="preserve"> </w:t>
      </w:r>
      <w:r w:rsidRPr="00300F7B">
        <w:t>qui</w:t>
      </w:r>
      <w:r w:rsidRPr="00300F7B">
        <w:rPr>
          <w:spacing w:val="-18"/>
        </w:rPr>
        <w:t xml:space="preserve"> </w:t>
      </w:r>
      <w:r w:rsidRPr="00300F7B">
        <w:t>par</w:t>
      </w:r>
      <w:r w:rsidRPr="00300F7B">
        <w:rPr>
          <w:spacing w:val="-16"/>
        </w:rPr>
        <w:t xml:space="preserve"> </w:t>
      </w:r>
      <w:r w:rsidRPr="00300F7B">
        <w:t>manque de confiance, déplaceront leurs capitaux et par conséquent impacteront la valeur de marché de l’entreprise et sa capacité à financer son</w:t>
      </w:r>
      <w:r w:rsidRPr="00300F7B">
        <w:rPr>
          <w:spacing w:val="-3"/>
        </w:rPr>
        <w:t xml:space="preserve"> </w:t>
      </w:r>
      <w:r w:rsidRPr="00300F7B">
        <w:t>développement.</w:t>
      </w:r>
      <w:bookmarkStart w:id="4" w:name="Cadre_théorique_de_la_recherche"/>
      <w:bookmarkStart w:id="5" w:name="_bookmark3"/>
      <w:bookmarkEnd w:id="4"/>
      <w:bookmarkEnd w:id="5"/>
    </w:p>
    <w:p w:rsidR="003E7CF5" w:rsidRPr="00300F7B" w:rsidRDefault="00024B00" w:rsidP="00300F7B">
      <w:pPr>
        <w:pStyle w:val="Corpsdetexte"/>
        <w:spacing w:before="240" w:after="240" w:line="360" w:lineRule="auto"/>
        <w:ind w:right="1521"/>
        <w:jc w:val="both"/>
      </w:pPr>
      <w:r w:rsidRPr="00300F7B">
        <w:t>Depuis</w:t>
      </w:r>
      <w:r w:rsidRPr="00300F7B">
        <w:rPr>
          <w:spacing w:val="-7"/>
        </w:rPr>
        <w:t xml:space="preserve"> </w:t>
      </w:r>
      <w:r w:rsidRPr="00300F7B">
        <w:t>quinze</w:t>
      </w:r>
      <w:r w:rsidRPr="00300F7B">
        <w:rPr>
          <w:spacing w:val="-9"/>
        </w:rPr>
        <w:t xml:space="preserve"> </w:t>
      </w:r>
      <w:r w:rsidRPr="00300F7B">
        <w:t>ans,</w:t>
      </w:r>
      <w:r w:rsidRPr="00300F7B">
        <w:rPr>
          <w:spacing w:val="-7"/>
        </w:rPr>
        <w:t xml:space="preserve"> </w:t>
      </w:r>
      <w:r w:rsidRPr="00300F7B">
        <w:t>plusieurs</w:t>
      </w:r>
      <w:r w:rsidRPr="00300F7B">
        <w:rPr>
          <w:spacing w:val="-6"/>
        </w:rPr>
        <w:t xml:space="preserve"> </w:t>
      </w:r>
      <w:r w:rsidRPr="00300F7B">
        <w:t>études</w:t>
      </w:r>
      <w:r w:rsidRPr="00300F7B">
        <w:rPr>
          <w:spacing w:val="-5"/>
        </w:rPr>
        <w:t xml:space="preserve"> </w:t>
      </w:r>
      <w:r w:rsidRPr="00300F7B">
        <w:t>se</w:t>
      </w:r>
      <w:r w:rsidRPr="00300F7B">
        <w:rPr>
          <w:spacing w:val="-10"/>
        </w:rPr>
        <w:t xml:space="preserve"> </w:t>
      </w:r>
      <w:r w:rsidRPr="00300F7B">
        <w:t>sont</w:t>
      </w:r>
      <w:r w:rsidRPr="00300F7B">
        <w:rPr>
          <w:spacing w:val="-9"/>
        </w:rPr>
        <w:t xml:space="preserve"> </w:t>
      </w:r>
      <w:r w:rsidRPr="00300F7B">
        <w:t>intéressées</w:t>
      </w:r>
      <w:r w:rsidRPr="00300F7B">
        <w:rPr>
          <w:spacing w:val="-6"/>
        </w:rPr>
        <w:t xml:space="preserve"> </w:t>
      </w:r>
      <w:r w:rsidRPr="00300F7B">
        <w:t>à</w:t>
      </w:r>
      <w:r w:rsidRPr="00300F7B">
        <w:rPr>
          <w:spacing w:val="-7"/>
        </w:rPr>
        <w:t xml:space="preserve"> </w:t>
      </w:r>
      <w:r w:rsidRPr="00300F7B">
        <w:t>l'impact</w:t>
      </w:r>
      <w:r w:rsidRPr="00300F7B">
        <w:rPr>
          <w:spacing w:val="-9"/>
        </w:rPr>
        <w:t xml:space="preserve"> </w:t>
      </w:r>
      <w:r w:rsidRPr="00300F7B">
        <w:t>des</w:t>
      </w:r>
      <w:r w:rsidRPr="00300F7B">
        <w:rPr>
          <w:spacing w:val="-6"/>
        </w:rPr>
        <w:t xml:space="preserve"> </w:t>
      </w:r>
      <w:r w:rsidRPr="00300F7B">
        <w:t>annonces</w:t>
      </w:r>
      <w:r w:rsidRPr="00300F7B">
        <w:rPr>
          <w:spacing w:val="-7"/>
        </w:rPr>
        <w:t xml:space="preserve"> </w:t>
      </w:r>
      <w:r w:rsidRPr="00300F7B">
        <w:t>de</w:t>
      </w:r>
      <w:r w:rsidRPr="00300F7B">
        <w:rPr>
          <w:spacing w:val="-6"/>
        </w:rPr>
        <w:t xml:space="preserve"> </w:t>
      </w:r>
      <w:r w:rsidRPr="00300F7B">
        <w:t>faille</w:t>
      </w:r>
      <w:r w:rsidRPr="00300F7B">
        <w:rPr>
          <w:spacing w:val="-9"/>
        </w:rPr>
        <w:t xml:space="preserve"> </w:t>
      </w:r>
      <w:r w:rsidRPr="00300F7B">
        <w:t>de</w:t>
      </w:r>
      <w:r w:rsidRPr="00300F7B">
        <w:rPr>
          <w:spacing w:val="-10"/>
        </w:rPr>
        <w:t xml:space="preserve"> </w:t>
      </w:r>
      <w:r w:rsidRPr="00300F7B">
        <w:t>sécurité des systèmes d’information sur la valeur marchande des sociétés cotées en bourse aux Etats Unis et dans le monde. La valeur marchande représente la confiance que les investisseurs ont dans une entreprise, et la mesurer est un moyen de calculer l'impact d'une cyberattaque. En outre, Bener (Bener, 2000) affirme que le comportement des investisseurs dépend de ce qu'ils ont observé dans le passé, c'est-à-dire que les investisseurs prennent des décisions en fonction de l'impact des atteintes à la sécurité de l’information d'une entreprise dans le passé. Pl</w:t>
      </w:r>
      <w:r w:rsidR="00A5268B">
        <w:t xml:space="preserve">usieurs études (Campbell, 2003; </w:t>
      </w:r>
      <w:r w:rsidRPr="00300F7B">
        <w:t>Cavusoglu, 2004; et Hovav et D'Arcy, 2004) utilisent la méthodologie de l'étude d'évènements pour estimer les conséquences des cyberattaques sur la valeur marchande des entreprises ayant été</w:t>
      </w:r>
      <w:r w:rsidRPr="00300F7B">
        <w:rPr>
          <w:spacing w:val="-2"/>
        </w:rPr>
        <w:t xml:space="preserve"> </w:t>
      </w:r>
      <w:r w:rsidRPr="00300F7B">
        <w:t>compromises.</w:t>
      </w:r>
    </w:p>
    <w:p w:rsidR="003E7CF5" w:rsidRPr="00300F7B" w:rsidRDefault="00024B00" w:rsidP="00300F7B">
      <w:pPr>
        <w:pStyle w:val="Corpsdetexte"/>
        <w:spacing w:before="240" w:after="240" w:line="360" w:lineRule="auto"/>
        <w:ind w:right="1521"/>
        <w:jc w:val="both"/>
      </w:pPr>
      <w:r w:rsidRPr="00300F7B">
        <w:t>Contrairement aux évènements ou annonces positives qui produisent souvent des rendements bénéfiques, les évènements découlant de failles de sécurité et/ou cyberattaques sont généralement considérés comme des indications d'une mauvaise gestion des processus technologiques, des infrastructures et plus généralement de la stratégie globale. Nous pouvons donc penser qu’ils ont un impact négatif sur la valeur marchande des entreprises. Cependant, après analyse des résultats de précédentes études sur ce sujet ce constat reste mitigé et peu concluant.</w:t>
      </w:r>
    </w:p>
    <w:p w:rsidR="003E7CF5" w:rsidRPr="00300F7B" w:rsidRDefault="00024B00" w:rsidP="00300F7B">
      <w:pPr>
        <w:pStyle w:val="Corpsdetexte"/>
        <w:spacing w:before="240" w:after="240" w:line="360" w:lineRule="auto"/>
        <w:ind w:right="1521"/>
        <w:jc w:val="both"/>
      </w:pPr>
      <w:r w:rsidRPr="00300F7B">
        <w:t xml:space="preserve">Ainsi Campbell et coll. (2003) sont parmi les premiers à utiliser la méthodologie d'analyse d'évènements pour analyser les réactions des marchés boursiers aux annonces de violations et failles de sécurité dans les systèmes d’information des entreprises. Après avoir examiné le cours des actions de 43 sociétés cotées en bourse, les auteurs ont constaté qu'il n'y avait aucune preuve statistique pouvant appuyer l'hypothèse de réaction négative globale du marché boursier. En revanche, l'étude a </w:t>
      </w:r>
      <w:r w:rsidRPr="00300F7B">
        <w:lastRenderedPageBreak/>
        <w:t>révélé un rendement négatif très important du marché lorsque l’atteinte portait sur la sécurité de données confidentielles de façon non autorisée. Toutefois, la petite taille de l'échantillon (seulement 11 incidents liés à des données confidentielles) ne permet pas de généraliser ce constat à toutes les entreprises notamment dans les entreprises du marché français. Dans une seconde étude, Garg et coll.. (2003) ont analysé vingt-deux atteintes à la sécurité informatique survenues entre 1996 et 2002. Leurs résultats publiés ont pu démontrer que les entreprises qui ont subi ces atteintes ont connu des rentabilités négatives anormales par rapport au marché. Une étude similaire, mais plus approfondie a été réalisée par Cavusoglu et coll. (2004). Bien que leur étude soit plus récente et ait une taille relativement plus grande que les études précédentes avec près de soixante-six évènements analysés, les incidents de l'échantillon sélectionné datent de la même période, soit entre 1996 et 2001. Les auteurs ont trouvé des rendements anormalement négatifs par rapport au marché pour l’ensemble de l’échantillon dans une</w:t>
      </w:r>
      <w:r w:rsidRPr="00300F7B">
        <w:rPr>
          <w:spacing w:val="-9"/>
        </w:rPr>
        <w:t xml:space="preserve"> </w:t>
      </w:r>
      <w:r w:rsidRPr="00300F7B">
        <w:t>fenêtre</w:t>
      </w:r>
      <w:r w:rsidRPr="00300F7B">
        <w:rPr>
          <w:spacing w:val="-9"/>
        </w:rPr>
        <w:t xml:space="preserve"> </w:t>
      </w:r>
      <w:r w:rsidRPr="00300F7B">
        <w:t>de</w:t>
      </w:r>
      <w:r w:rsidRPr="00300F7B">
        <w:rPr>
          <w:spacing w:val="-4"/>
        </w:rPr>
        <w:t xml:space="preserve"> </w:t>
      </w:r>
      <w:r w:rsidRPr="00300F7B">
        <w:t>deux</w:t>
      </w:r>
      <w:r w:rsidRPr="00300F7B">
        <w:rPr>
          <w:spacing w:val="-2"/>
        </w:rPr>
        <w:t xml:space="preserve"> </w:t>
      </w:r>
      <w:r w:rsidRPr="00300F7B">
        <w:t>jours.</w:t>
      </w:r>
      <w:r w:rsidRPr="00300F7B">
        <w:rPr>
          <w:spacing w:val="-8"/>
        </w:rPr>
        <w:t xml:space="preserve"> </w:t>
      </w:r>
      <w:r w:rsidRPr="00300F7B">
        <w:t>Ils</w:t>
      </w:r>
      <w:r w:rsidRPr="00300F7B">
        <w:rPr>
          <w:spacing w:val="-6"/>
        </w:rPr>
        <w:t xml:space="preserve"> </w:t>
      </w:r>
      <w:r w:rsidRPr="00300F7B">
        <w:t>ont</w:t>
      </w:r>
      <w:r w:rsidRPr="00300F7B">
        <w:rPr>
          <w:spacing w:val="-4"/>
        </w:rPr>
        <w:t xml:space="preserve"> </w:t>
      </w:r>
      <w:r w:rsidRPr="00300F7B">
        <w:t>également</w:t>
      </w:r>
      <w:r w:rsidRPr="00300F7B">
        <w:rPr>
          <w:spacing w:val="-9"/>
        </w:rPr>
        <w:t xml:space="preserve"> </w:t>
      </w:r>
      <w:r w:rsidRPr="00300F7B">
        <w:t>constaté</w:t>
      </w:r>
      <w:r w:rsidRPr="00300F7B">
        <w:rPr>
          <w:spacing w:val="-4"/>
        </w:rPr>
        <w:t xml:space="preserve"> </w:t>
      </w:r>
      <w:r w:rsidRPr="00300F7B">
        <w:t>des</w:t>
      </w:r>
      <w:r w:rsidRPr="00300F7B">
        <w:rPr>
          <w:spacing w:val="-6"/>
        </w:rPr>
        <w:t xml:space="preserve"> </w:t>
      </w:r>
      <w:r w:rsidRPr="00300F7B">
        <w:t>rendements</w:t>
      </w:r>
      <w:r w:rsidRPr="00300F7B">
        <w:rPr>
          <w:spacing w:val="-6"/>
        </w:rPr>
        <w:t xml:space="preserve"> </w:t>
      </w:r>
      <w:r w:rsidRPr="00300F7B">
        <w:t>négatifs</w:t>
      </w:r>
      <w:r w:rsidRPr="00300F7B">
        <w:rPr>
          <w:spacing w:val="-6"/>
        </w:rPr>
        <w:t xml:space="preserve"> </w:t>
      </w:r>
      <w:r w:rsidRPr="00300F7B">
        <w:t>plus</w:t>
      </w:r>
      <w:r w:rsidRPr="00300F7B">
        <w:rPr>
          <w:spacing w:val="-1"/>
        </w:rPr>
        <w:t xml:space="preserve"> </w:t>
      </w:r>
      <w:r w:rsidRPr="00300F7B">
        <w:t>importants</w:t>
      </w:r>
      <w:r w:rsidRPr="00300F7B">
        <w:rPr>
          <w:spacing w:val="-6"/>
        </w:rPr>
        <w:t xml:space="preserve"> </w:t>
      </w:r>
      <w:r w:rsidRPr="00300F7B">
        <w:t>pour les entreprises du e-commerce et les entreprises à faible capitalisation boursière. La fenêtre d’analyse de jours proches de l’évènement paraît être décisive et refléter les réactions des investisseurs à ces annonces. L’étude ne montre cependant pas de fenêtre d’analyse suffisamment grande pour pouvoir constater avec certitude si l’effet de l’annonce s’estompe ou non. De plus, il était intéressant de constater à cette période, symbole des prémices du e-commerce, que ces entreprises étaient plus vulnérables. Cependant, sur la période actuelle, presque toutes les entreprises proposent des biens ou services à la vente sur internet. Analyser uniquement l’échantillon sous cet angle semblerait moins</w:t>
      </w:r>
      <w:r w:rsidRPr="00300F7B">
        <w:rPr>
          <w:spacing w:val="-6"/>
        </w:rPr>
        <w:t xml:space="preserve"> </w:t>
      </w:r>
      <w:r w:rsidRPr="00300F7B">
        <w:t>pertinent.</w:t>
      </w:r>
    </w:p>
    <w:p w:rsidR="003E7CF5" w:rsidRPr="00300F7B" w:rsidRDefault="00024B00" w:rsidP="00300F7B">
      <w:pPr>
        <w:pStyle w:val="Corpsdetexte"/>
        <w:spacing w:before="240" w:after="240" w:line="360" w:lineRule="auto"/>
        <w:ind w:right="1521"/>
        <w:jc w:val="both"/>
      </w:pPr>
      <w:r w:rsidRPr="00300F7B">
        <w:t>De</w:t>
      </w:r>
      <w:r w:rsidRPr="00300F7B">
        <w:rPr>
          <w:spacing w:val="-8"/>
        </w:rPr>
        <w:t xml:space="preserve"> </w:t>
      </w:r>
      <w:r w:rsidRPr="00300F7B">
        <w:t>plus,</w:t>
      </w:r>
      <w:r w:rsidRPr="00300F7B">
        <w:rPr>
          <w:spacing w:val="-4"/>
        </w:rPr>
        <w:t xml:space="preserve"> </w:t>
      </w:r>
      <w:r w:rsidRPr="00300F7B">
        <w:t>Hovav</w:t>
      </w:r>
      <w:r w:rsidRPr="00300F7B">
        <w:rPr>
          <w:spacing w:val="-7"/>
        </w:rPr>
        <w:t xml:space="preserve"> </w:t>
      </w:r>
      <w:r w:rsidRPr="00300F7B">
        <w:t>et</w:t>
      </w:r>
      <w:r w:rsidRPr="00300F7B">
        <w:rPr>
          <w:spacing w:val="-7"/>
        </w:rPr>
        <w:t xml:space="preserve"> </w:t>
      </w:r>
      <w:r w:rsidRPr="00300F7B">
        <w:t>D'Arcy</w:t>
      </w:r>
      <w:r w:rsidRPr="00300F7B">
        <w:rPr>
          <w:spacing w:val="-2"/>
        </w:rPr>
        <w:t xml:space="preserve"> </w:t>
      </w:r>
      <w:r w:rsidRPr="00300F7B">
        <w:t>(2003)</w:t>
      </w:r>
      <w:r w:rsidRPr="00300F7B">
        <w:rPr>
          <w:spacing w:val="-5"/>
        </w:rPr>
        <w:t xml:space="preserve"> </w:t>
      </w:r>
      <w:r w:rsidRPr="00300F7B">
        <w:t>ont</w:t>
      </w:r>
      <w:r w:rsidRPr="00300F7B">
        <w:rPr>
          <w:spacing w:val="-3"/>
        </w:rPr>
        <w:t xml:space="preserve"> </w:t>
      </w:r>
      <w:r w:rsidRPr="00300F7B">
        <w:t>suivi</w:t>
      </w:r>
      <w:r w:rsidRPr="00300F7B">
        <w:rPr>
          <w:spacing w:val="-8"/>
        </w:rPr>
        <w:t xml:space="preserve"> </w:t>
      </w:r>
      <w:r w:rsidRPr="00300F7B">
        <w:t>une</w:t>
      </w:r>
      <w:r w:rsidRPr="00300F7B">
        <w:rPr>
          <w:spacing w:val="-7"/>
        </w:rPr>
        <w:t xml:space="preserve"> </w:t>
      </w:r>
      <w:r w:rsidRPr="00300F7B">
        <w:t>méthode</w:t>
      </w:r>
      <w:r w:rsidRPr="00300F7B">
        <w:rPr>
          <w:spacing w:val="-7"/>
        </w:rPr>
        <w:t xml:space="preserve"> </w:t>
      </w:r>
      <w:r w:rsidRPr="00300F7B">
        <w:t>similaire</w:t>
      </w:r>
      <w:r w:rsidRPr="00300F7B">
        <w:rPr>
          <w:spacing w:val="-8"/>
        </w:rPr>
        <w:t xml:space="preserve"> </w:t>
      </w:r>
      <w:r w:rsidRPr="00300F7B">
        <w:t>à</w:t>
      </w:r>
      <w:r w:rsidRPr="00300F7B">
        <w:rPr>
          <w:spacing w:val="-2"/>
        </w:rPr>
        <w:t xml:space="preserve"> </w:t>
      </w:r>
      <w:r w:rsidRPr="00300F7B">
        <w:t>la</w:t>
      </w:r>
      <w:r w:rsidRPr="00300F7B">
        <w:rPr>
          <w:spacing w:val="-3"/>
        </w:rPr>
        <w:t xml:space="preserve"> </w:t>
      </w:r>
      <w:r w:rsidRPr="00300F7B">
        <w:t>précédente</w:t>
      </w:r>
      <w:r w:rsidRPr="00300F7B">
        <w:rPr>
          <w:spacing w:val="-3"/>
        </w:rPr>
        <w:t xml:space="preserve"> </w:t>
      </w:r>
      <w:r w:rsidRPr="00300F7B">
        <w:t>étude,</w:t>
      </w:r>
      <w:r w:rsidRPr="00300F7B">
        <w:rPr>
          <w:spacing w:val="-6"/>
        </w:rPr>
        <w:t xml:space="preserve"> </w:t>
      </w:r>
      <w:r w:rsidRPr="00300F7B">
        <w:t>mais</w:t>
      </w:r>
      <w:r w:rsidRPr="00300F7B">
        <w:rPr>
          <w:spacing w:val="-5"/>
        </w:rPr>
        <w:t xml:space="preserve"> </w:t>
      </w:r>
      <w:r w:rsidRPr="00300F7B">
        <w:t>n'ont enquêté que sur les attaques DoS. Ils n'ont trouvé aucun résultat permettant d’appuyer l'hypothèse de</w:t>
      </w:r>
      <w:r w:rsidRPr="00300F7B">
        <w:rPr>
          <w:spacing w:val="-10"/>
        </w:rPr>
        <w:t xml:space="preserve"> </w:t>
      </w:r>
      <w:r w:rsidRPr="00300F7B">
        <w:t>réaction</w:t>
      </w:r>
      <w:r w:rsidRPr="00300F7B">
        <w:rPr>
          <w:spacing w:val="-8"/>
        </w:rPr>
        <w:t xml:space="preserve"> </w:t>
      </w:r>
      <w:r w:rsidRPr="00300F7B">
        <w:t>négative</w:t>
      </w:r>
      <w:r w:rsidRPr="00300F7B">
        <w:rPr>
          <w:spacing w:val="-10"/>
        </w:rPr>
        <w:t xml:space="preserve"> </w:t>
      </w:r>
      <w:r w:rsidRPr="00300F7B">
        <w:t>du</w:t>
      </w:r>
      <w:r w:rsidRPr="00300F7B">
        <w:rPr>
          <w:spacing w:val="-8"/>
        </w:rPr>
        <w:t xml:space="preserve"> </w:t>
      </w:r>
      <w:r w:rsidRPr="00300F7B">
        <w:t>marché</w:t>
      </w:r>
      <w:r w:rsidRPr="00300F7B">
        <w:rPr>
          <w:spacing w:val="-10"/>
        </w:rPr>
        <w:t xml:space="preserve"> </w:t>
      </w:r>
      <w:r w:rsidRPr="00300F7B">
        <w:t>boursier</w:t>
      </w:r>
      <w:r w:rsidRPr="00300F7B">
        <w:rPr>
          <w:spacing w:val="-3"/>
        </w:rPr>
        <w:t xml:space="preserve"> </w:t>
      </w:r>
      <w:r w:rsidRPr="00300F7B">
        <w:t>suite</w:t>
      </w:r>
      <w:r w:rsidRPr="00300F7B">
        <w:rPr>
          <w:spacing w:val="-5"/>
        </w:rPr>
        <w:t xml:space="preserve"> </w:t>
      </w:r>
      <w:r w:rsidRPr="00300F7B">
        <w:t>aux</w:t>
      </w:r>
      <w:r w:rsidRPr="00300F7B">
        <w:rPr>
          <w:spacing w:val="-8"/>
        </w:rPr>
        <w:t xml:space="preserve"> </w:t>
      </w:r>
      <w:r w:rsidRPr="00300F7B">
        <w:t>annonces.</w:t>
      </w:r>
      <w:r w:rsidRPr="00300F7B">
        <w:rPr>
          <w:spacing w:val="-8"/>
        </w:rPr>
        <w:t xml:space="preserve"> </w:t>
      </w:r>
      <w:r w:rsidRPr="00300F7B">
        <w:t>À</w:t>
      </w:r>
      <w:r w:rsidRPr="00300F7B">
        <w:rPr>
          <w:spacing w:val="-6"/>
        </w:rPr>
        <w:t xml:space="preserve"> </w:t>
      </w:r>
      <w:r w:rsidRPr="00300F7B">
        <w:t>cette</w:t>
      </w:r>
      <w:r w:rsidRPr="00300F7B">
        <w:rPr>
          <w:spacing w:val="-10"/>
        </w:rPr>
        <w:t xml:space="preserve"> </w:t>
      </w:r>
      <w:r w:rsidRPr="00300F7B">
        <w:t>occasion,</w:t>
      </w:r>
      <w:r w:rsidRPr="00300F7B">
        <w:rPr>
          <w:spacing w:val="-7"/>
        </w:rPr>
        <w:t xml:space="preserve"> </w:t>
      </w:r>
      <w:r w:rsidRPr="00300F7B">
        <w:t>ils</w:t>
      </w:r>
      <w:r w:rsidRPr="00300F7B">
        <w:rPr>
          <w:spacing w:val="-7"/>
        </w:rPr>
        <w:t xml:space="preserve"> </w:t>
      </w:r>
      <w:r w:rsidRPr="00300F7B">
        <w:t>s’étaient</w:t>
      </w:r>
      <w:r w:rsidRPr="00300F7B">
        <w:rPr>
          <w:spacing w:val="-4"/>
        </w:rPr>
        <w:t xml:space="preserve"> </w:t>
      </w:r>
      <w:r w:rsidRPr="00300F7B">
        <w:t>appuyés sur un échantillon réduit en analysant uniquement vingt incidents. Lors d’une étude ultérieure, impliquant un échantillon beaucoup plus vaste de 186 attaques de virus, Hovav et D'Arcy (2004) n’avaient de nouveau pas pu dégager une tendance claire. Cependant, les résultats de cette étude peuvent</w:t>
      </w:r>
      <w:r w:rsidRPr="00300F7B">
        <w:rPr>
          <w:spacing w:val="-14"/>
        </w:rPr>
        <w:t xml:space="preserve"> </w:t>
      </w:r>
      <w:r w:rsidRPr="00300F7B">
        <w:t>être</w:t>
      </w:r>
      <w:r w:rsidRPr="00300F7B">
        <w:rPr>
          <w:spacing w:val="-17"/>
        </w:rPr>
        <w:t xml:space="preserve"> </w:t>
      </w:r>
      <w:r w:rsidRPr="00300F7B">
        <w:t>faussés</w:t>
      </w:r>
      <w:r w:rsidRPr="00300F7B">
        <w:rPr>
          <w:spacing w:val="-13"/>
        </w:rPr>
        <w:t xml:space="preserve"> </w:t>
      </w:r>
      <w:r w:rsidRPr="00300F7B">
        <w:t>par</w:t>
      </w:r>
      <w:r w:rsidRPr="00300F7B">
        <w:rPr>
          <w:spacing w:val="-17"/>
        </w:rPr>
        <w:t xml:space="preserve"> </w:t>
      </w:r>
      <w:r w:rsidRPr="00300F7B">
        <w:t>la</w:t>
      </w:r>
      <w:r w:rsidRPr="00300F7B">
        <w:rPr>
          <w:spacing w:val="-18"/>
        </w:rPr>
        <w:t xml:space="preserve"> </w:t>
      </w:r>
      <w:r w:rsidRPr="00300F7B">
        <w:t>nature</w:t>
      </w:r>
      <w:r w:rsidRPr="00300F7B">
        <w:rPr>
          <w:spacing w:val="-18"/>
        </w:rPr>
        <w:t xml:space="preserve"> </w:t>
      </w:r>
      <w:r w:rsidRPr="00300F7B">
        <w:t>des</w:t>
      </w:r>
      <w:r w:rsidRPr="00300F7B">
        <w:rPr>
          <w:spacing w:val="-10"/>
        </w:rPr>
        <w:t xml:space="preserve"> </w:t>
      </w:r>
      <w:r w:rsidRPr="00300F7B">
        <w:t>attaques.</w:t>
      </w:r>
      <w:r w:rsidRPr="00300F7B">
        <w:rPr>
          <w:spacing w:val="-18"/>
        </w:rPr>
        <w:t xml:space="preserve"> </w:t>
      </w:r>
      <w:r w:rsidRPr="00300F7B">
        <w:t>En</w:t>
      </w:r>
      <w:r w:rsidRPr="00300F7B">
        <w:rPr>
          <w:spacing w:val="-12"/>
        </w:rPr>
        <w:t xml:space="preserve"> </w:t>
      </w:r>
      <w:r w:rsidRPr="00300F7B">
        <w:t>effet,</w:t>
      </w:r>
      <w:r w:rsidRPr="00300F7B">
        <w:rPr>
          <w:spacing w:val="-17"/>
        </w:rPr>
        <w:t xml:space="preserve"> </w:t>
      </w:r>
      <w:r w:rsidRPr="00300F7B">
        <w:t>les</w:t>
      </w:r>
      <w:r w:rsidRPr="00300F7B">
        <w:rPr>
          <w:spacing w:val="-16"/>
        </w:rPr>
        <w:t xml:space="preserve"> </w:t>
      </w:r>
      <w:r w:rsidRPr="00300F7B">
        <w:t>virus</w:t>
      </w:r>
      <w:r w:rsidRPr="00300F7B">
        <w:rPr>
          <w:spacing w:val="-13"/>
        </w:rPr>
        <w:t xml:space="preserve"> </w:t>
      </w:r>
      <w:r w:rsidRPr="00300F7B">
        <w:t>les</w:t>
      </w:r>
      <w:r w:rsidRPr="00300F7B">
        <w:rPr>
          <w:spacing w:val="-15"/>
        </w:rPr>
        <w:t xml:space="preserve"> </w:t>
      </w:r>
      <w:r w:rsidRPr="00300F7B">
        <w:t>plus</w:t>
      </w:r>
      <w:r w:rsidRPr="00300F7B">
        <w:rPr>
          <w:spacing w:val="-15"/>
        </w:rPr>
        <w:t xml:space="preserve"> </w:t>
      </w:r>
      <w:r w:rsidRPr="00300F7B">
        <w:t>virulents</w:t>
      </w:r>
      <w:r w:rsidRPr="00300F7B">
        <w:rPr>
          <w:spacing w:val="-14"/>
        </w:rPr>
        <w:t xml:space="preserve"> </w:t>
      </w:r>
      <w:r w:rsidRPr="00300F7B">
        <w:t>affectent</w:t>
      </w:r>
      <w:r w:rsidRPr="00300F7B">
        <w:rPr>
          <w:spacing w:val="-18"/>
        </w:rPr>
        <w:t xml:space="preserve"> </w:t>
      </w:r>
      <w:r w:rsidRPr="00300F7B">
        <w:t>souvent un grand nombre d'entreprises simultanément ce qui peut rendre l'analyse des évènements moins efficiente.</w:t>
      </w:r>
      <w:r w:rsidRPr="00300F7B">
        <w:rPr>
          <w:spacing w:val="-3"/>
        </w:rPr>
        <w:t xml:space="preserve"> </w:t>
      </w:r>
      <w:r w:rsidRPr="00300F7B">
        <w:t>Lors</w:t>
      </w:r>
      <w:r w:rsidRPr="00300F7B">
        <w:rPr>
          <w:spacing w:val="-1"/>
        </w:rPr>
        <w:t xml:space="preserve"> </w:t>
      </w:r>
      <w:r w:rsidRPr="00300F7B">
        <w:t>d’attaques</w:t>
      </w:r>
      <w:r w:rsidRPr="00300F7B">
        <w:rPr>
          <w:spacing w:val="-2"/>
        </w:rPr>
        <w:t xml:space="preserve"> </w:t>
      </w:r>
      <w:r w:rsidRPr="00300F7B">
        <w:t>de</w:t>
      </w:r>
      <w:r w:rsidRPr="00300F7B">
        <w:rPr>
          <w:spacing w:val="-4"/>
        </w:rPr>
        <w:t xml:space="preserve"> </w:t>
      </w:r>
      <w:r w:rsidRPr="00300F7B">
        <w:t>grande</w:t>
      </w:r>
      <w:r w:rsidRPr="00300F7B">
        <w:rPr>
          <w:spacing w:val="-5"/>
        </w:rPr>
        <w:t xml:space="preserve"> </w:t>
      </w:r>
      <w:r w:rsidRPr="00300F7B">
        <w:t>ampleur,</w:t>
      </w:r>
      <w:r w:rsidRPr="00300F7B">
        <w:rPr>
          <w:spacing w:val="-2"/>
        </w:rPr>
        <w:t xml:space="preserve"> </w:t>
      </w:r>
      <w:r w:rsidRPr="00300F7B">
        <w:t>comme</w:t>
      </w:r>
      <w:r w:rsidRPr="00300F7B">
        <w:rPr>
          <w:spacing w:val="-5"/>
        </w:rPr>
        <w:t xml:space="preserve"> </w:t>
      </w:r>
      <w:r w:rsidRPr="00300F7B">
        <w:t>ce</w:t>
      </w:r>
      <w:r w:rsidRPr="00300F7B">
        <w:rPr>
          <w:spacing w:val="-4"/>
        </w:rPr>
        <w:t xml:space="preserve"> </w:t>
      </w:r>
      <w:r w:rsidRPr="00300F7B">
        <w:t>fut</w:t>
      </w:r>
      <w:r w:rsidRPr="00300F7B">
        <w:rPr>
          <w:spacing w:val="-5"/>
        </w:rPr>
        <w:t xml:space="preserve"> </w:t>
      </w:r>
      <w:r w:rsidRPr="00300F7B">
        <w:t>le</w:t>
      </w:r>
      <w:r w:rsidRPr="00300F7B">
        <w:rPr>
          <w:spacing w:val="-4"/>
        </w:rPr>
        <w:t xml:space="preserve"> </w:t>
      </w:r>
      <w:r w:rsidRPr="00300F7B">
        <w:t>cas</w:t>
      </w:r>
      <w:r w:rsidRPr="00300F7B">
        <w:rPr>
          <w:spacing w:val="-1"/>
        </w:rPr>
        <w:t xml:space="preserve"> </w:t>
      </w:r>
      <w:r w:rsidRPr="00300F7B">
        <w:t>en</w:t>
      </w:r>
      <w:r w:rsidRPr="00300F7B">
        <w:rPr>
          <w:spacing w:val="-3"/>
        </w:rPr>
        <w:t xml:space="preserve"> </w:t>
      </w:r>
      <w:r w:rsidRPr="00300F7B">
        <w:t>2017</w:t>
      </w:r>
      <w:r w:rsidRPr="00300F7B">
        <w:rPr>
          <w:spacing w:val="-2"/>
        </w:rPr>
        <w:t xml:space="preserve"> </w:t>
      </w:r>
      <w:r w:rsidRPr="00300F7B">
        <w:t>par</w:t>
      </w:r>
      <w:r w:rsidRPr="00300F7B">
        <w:rPr>
          <w:spacing w:val="-3"/>
        </w:rPr>
        <w:t xml:space="preserve"> </w:t>
      </w:r>
      <w:r w:rsidRPr="00300F7B">
        <w:t>exemple,</w:t>
      </w:r>
      <w:r w:rsidRPr="00300F7B">
        <w:rPr>
          <w:spacing w:val="-2"/>
        </w:rPr>
        <w:t xml:space="preserve"> </w:t>
      </w:r>
      <w:r w:rsidRPr="00300F7B">
        <w:t>il</w:t>
      </w:r>
      <w:r w:rsidRPr="00300F7B">
        <w:rPr>
          <w:spacing w:val="-5"/>
        </w:rPr>
        <w:t xml:space="preserve"> </w:t>
      </w:r>
      <w:r w:rsidRPr="00300F7B">
        <w:t>est</w:t>
      </w:r>
      <w:r w:rsidRPr="00300F7B">
        <w:rPr>
          <w:spacing w:val="-4"/>
        </w:rPr>
        <w:t xml:space="preserve"> </w:t>
      </w:r>
      <w:r w:rsidRPr="00300F7B">
        <w:t>fort probable que les postes de travail et systèmes d’information touchés, appartenant à des sociétés cotées</w:t>
      </w:r>
      <w:r w:rsidRPr="00300F7B">
        <w:rPr>
          <w:spacing w:val="-16"/>
        </w:rPr>
        <w:t xml:space="preserve"> </w:t>
      </w:r>
      <w:r w:rsidRPr="00300F7B">
        <w:t>en</w:t>
      </w:r>
      <w:r w:rsidRPr="00300F7B">
        <w:rPr>
          <w:spacing w:val="-13"/>
        </w:rPr>
        <w:t xml:space="preserve"> </w:t>
      </w:r>
      <w:r w:rsidRPr="00300F7B">
        <w:t>bourse,</w:t>
      </w:r>
      <w:r w:rsidRPr="00300F7B">
        <w:rPr>
          <w:spacing w:val="-18"/>
        </w:rPr>
        <w:t xml:space="preserve"> </w:t>
      </w:r>
      <w:r w:rsidRPr="00300F7B">
        <w:t>ne</w:t>
      </w:r>
      <w:r w:rsidRPr="00300F7B">
        <w:rPr>
          <w:spacing w:val="-19"/>
        </w:rPr>
        <w:t xml:space="preserve"> </w:t>
      </w:r>
      <w:r w:rsidRPr="00300F7B">
        <w:t>soient</w:t>
      </w:r>
      <w:r w:rsidRPr="00300F7B">
        <w:rPr>
          <w:spacing w:val="-18"/>
        </w:rPr>
        <w:t xml:space="preserve"> </w:t>
      </w:r>
      <w:r w:rsidRPr="00300F7B">
        <w:t>pas</w:t>
      </w:r>
      <w:r w:rsidRPr="00300F7B">
        <w:rPr>
          <w:spacing w:val="-11"/>
        </w:rPr>
        <w:t xml:space="preserve"> </w:t>
      </w:r>
      <w:r w:rsidRPr="00300F7B">
        <w:t>individuellement</w:t>
      </w:r>
      <w:r w:rsidRPr="00300F7B">
        <w:rPr>
          <w:spacing w:val="-19"/>
        </w:rPr>
        <w:t xml:space="preserve"> </w:t>
      </w:r>
      <w:r w:rsidRPr="00300F7B">
        <w:t>impactés</w:t>
      </w:r>
      <w:r w:rsidRPr="00300F7B">
        <w:rPr>
          <w:spacing w:val="-16"/>
        </w:rPr>
        <w:t xml:space="preserve"> </w:t>
      </w:r>
      <w:r w:rsidRPr="00300F7B">
        <w:t>sur</w:t>
      </w:r>
      <w:r w:rsidRPr="00300F7B">
        <w:rPr>
          <w:spacing w:val="-16"/>
        </w:rPr>
        <w:t xml:space="preserve"> </w:t>
      </w:r>
      <w:r w:rsidRPr="00300F7B">
        <w:t>leur</w:t>
      </w:r>
      <w:r w:rsidRPr="00300F7B">
        <w:rPr>
          <w:spacing w:val="-12"/>
        </w:rPr>
        <w:t xml:space="preserve"> </w:t>
      </w:r>
      <w:r w:rsidRPr="00300F7B">
        <w:t>cours</w:t>
      </w:r>
      <w:r w:rsidRPr="00300F7B">
        <w:rPr>
          <w:spacing w:val="-16"/>
        </w:rPr>
        <w:t xml:space="preserve"> </w:t>
      </w:r>
      <w:r w:rsidRPr="00300F7B">
        <w:t>de</w:t>
      </w:r>
      <w:r w:rsidRPr="00300F7B">
        <w:rPr>
          <w:spacing w:val="-19"/>
        </w:rPr>
        <w:t xml:space="preserve"> </w:t>
      </w:r>
      <w:r w:rsidRPr="00300F7B">
        <w:t>bourse.</w:t>
      </w:r>
      <w:r w:rsidRPr="00300F7B">
        <w:rPr>
          <w:spacing w:val="-2"/>
        </w:rPr>
        <w:t xml:space="preserve"> </w:t>
      </w:r>
      <w:r w:rsidRPr="00300F7B">
        <w:t>L’effet</w:t>
      </w:r>
      <w:r w:rsidRPr="00300F7B">
        <w:rPr>
          <w:spacing w:val="-19"/>
        </w:rPr>
        <w:t xml:space="preserve"> </w:t>
      </w:r>
      <w:r w:rsidRPr="00300F7B">
        <w:t>de</w:t>
      </w:r>
      <w:r w:rsidRPr="00300F7B">
        <w:rPr>
          <w:spacing w:val="-14"/>
        </w:rPr>
        <w:t xml:space="preserve"> </w:t>
      </w:r>
      <w:r w:rsidRPr="00300F7B">
        <w:t xml:space="preserve">masse a pu réduire </w:t>
      </w:r>
      <w:r w:rsidRPr="00300F7B">
        <w:lastRenderedPageBreak/>
        <w:t>l’inquiétude et la perception négative des</w:t>
      </w:r>
      <w:r w:rsidRPr="00300F7B">
        <w:rPr>
          <w:spacing w:val="-8"/>
        </w:rPr>
        <w:t xml:space="preserve"> </w:t>
      </w:r>
      <w:r w:rsidRPr="00300F7B">
        <w:t>investisseurs.</w:t>
      </w:r>
    </w:p>
    <w:p w:rsidR="003E7CF5" w:rsidRPr="00300F7B" w:rsidRDefault="00024B00" w:rsidP="00300F7B">
      <w:pPr>
        <w:pStyle w:val="Corpsdetexte"/>
        <w:spacing w:before="240" w:after="240" w:line="360" w:lineRule="auto"/>
        <w:ind w:right="1521"/>
        <w:jc w:val="both"/>
      </w:pPr>
      <w:r w:rsidRPr="00300F7B">
        <w:t>Enfin</w:t>
      </w:r>
      <w:r w:rsidRPr="00300F7B">
        <w:rPr>
          <w:spacing w:val="-8"/>
        </w:rPr>
        <w:t xml:space="preserve"> </w:t>
      </w:r>
      <w:r w:rsidRPr="00300F7B">
        <w:t>en</w:t>
      </w:r>
      <w:r w:rsidRPr="00300F7B">
        <w:rPr>
          <w:spacing w:val="-8"/>
        </w:rPr>
        <w:t xml:space="preserve"> </w:t>
      </w:r>
      <w:r w:rsidRPr="00300F7B">
        <w:t>2018,</w:t>
      </w:r>
      <w:r w:rsidRPr="00300F7B">
        <w:rPr>
          <w:spacing w:val="-7"/>
        </w:rPr>
        <w:t xml:space="preserve"> </w:t>
      </w:r>
      <w:r w:rsidRPr="00300F7B">
        <w:t>un</w:t>
      </w:r>
      <w:r w:rsidRPr="00300F7B">
        <w:rPr>
          <w:spacing w:val="-9"/>
        </w:rPr>
        <w:t xml:space="preserve"> </w:t>
      </w:r>
      <w:r w:rsidRPr="00300F7B">
        <w:t>groupe</w:t>
      </w:r>
      <w:r w:rsidRPr="00300F7B">
        <w:rPr>
          <w:spacing w:val="-9"/>
        </w:rPr>
        <w:t xml:space="preserve"> </w:t>
      </w:r>
      <w:r w:rsidRPr="00300F7B">
        <w:t>de</w:t>
      </w:r>
      <w:r w:rsidRPr="00300F7B">
        <w:rPr>
          <w:spacing w:val="-9"/>
        </w:rPr>
        <w:t xml:space="preserve"> </w:t>
      </w:r>
      <w:r w:rsidRPr="00300F7B">
        <w:t>chercheurs</w:t>
      </w:r>
      <w:r w:rsidRPr="00300F7B">
        <w:rPr>
          <w:spacing w:val="-6"/>
        </w:rPr>
        <w:t xml:space="preserve"> </w:t>
      </w:r>
      <w:r w:rsidRPr="00300F7B">
        <w:t>(Kamiya</w:t>
      </w:r>
      <w:r w:rsidRPr="00300F7B">
        <w:rPr>
          <w:spacing w:val="-9"/>
        </w:rPr>
        <w:t xml:space="preserve"> </w:t>
      </w:r>
      <w:r w:rsidRPr="00300F7B">
        <w:t>et</w:t>
      </w:r>
      <w:r w:rsidRPr="00300F7B">
        <w:rPr>
          <w:spacing w:val="-9"/>
        </w:rPr>
        <w:t xml:space="preserve"> </w:t>
      </w:r>
      <w:r w:rsidRPr="00300F7B">
        <w:t>coll.</w:t>
      </w:r>
      <w:r w:rsidRPr="00300F7B">
        <w:rPr>
          <w:spacing w:val="-8"/>
        </w:rPr>
        <w:t xml:space="preserve"> </w:t>
      </w:r>
      <w:r w:rsidRPr="00300F7B">
        <w:t>2018)</w:t>
      </w:r>
      <w:r w:rsidRPr="00300F7B">
        <w:rPr>
          <w:spacing w:val="-7"/>
        </w:rPr>
        <w:t xml:space="preserve"> </w:t>
      </w:r>
      <w:r w:rsidRPr="00300F7B">
        <w:t>ont</w:t>
      </w:r>
      <w:r w:rsidRPr="00300F7B">
        <w:rPr>
          <w:spacing w:val="-9"/>
        </w:rPr>
        <w:t xml:space="preserve"> </w:t>
      </w:r>
      <w:r w:rsidRPr="00300F7B">
        <w:t>également</w:t>
      </w:r>
      <w:r w:rsidRPr="00300F7B">
        <w:rPr>
          <w:spacing w:val="-8"/>
        </w:rPr>
        <w:t xml:space="preserve"> </w:t>
      </w:r>
      <w:r w:rsidRPr="00300F7B">
        <w:t>analysé</w:t>
      </w:r>
      <w:r w:rsidRPr="00300F7B">
        <w:rPr>
          <w:spacing w:val="-9"/>
        </w:rPr>
        <w:t xml:space="preserve"> </w:t>
      </w:r>
      <w:r w:rsidRPr="00300F7B">
        <w:t>les</w:t>
      </w:r>
      <w:r w:rsidRPr="00300F7B">
        <w:rPr>
          <w:spacing w:val="-7"/>
        </w:rPr>
        <w:t xml:space="preserve"> </w:t>
      </w:r>
      <w:r w:rsidRPr="00300F7B">
        <w:t>réactions du marché à l'annonce de cyberattaques. Ils s’attendaient à ce qu'une cyberattaque soit coûteuse pour une entreprise, car susceptible de conduire à des dépenses sur les systèmes d’information, de faire</w:t>
      </w:r>
      <w:r w:rsidRPr="00300F7B">
        <w:rPr>
          <w:spacing w:val="5"/>
        </w:rPr>
        <w:t xml:space="preserve"> </w:t>
      </w:r>
      <w:r w:rsidRPr="00300F7B">
        <w:t>face</w:t>
      </w:r>
      <w:r w:rsidRPr="00300F7B">
        <w:rPr>
          <w:spacing w:val="6"/>
        </w:rPr>
        <w:t xml:space="preserve"> </w:t>
      </w:r>
      <w:r w:rsidRPr="00300F7B">
        <w:t>à</w:t>
      </w:r>
      <w:r w:rsidRPr="00300F7B">
        <w:rPr>
          <w:spacing w:val="6"/>
        </w:rPr>
        <w:t xml:space="preserve"> </w:t>
      </w:r>
      <w:r w:rsidRPr="00300F7B">
        <w:t>des</w:t>
      </w:r>
      <w:r w:rsidRPr="00300F7B">
        <w:rPr>
          <w:spacing w:val="10"/>
        </w:rPr>
        <w:t xml:space="preserve"> </w:t>
      </w:r>
      <w:r w:rsidRPr="00300F7B">
        <w:t>frais</w:t>
      </w:r>
      <w:r w:rsidRPr="00300F7B">
        <w:rPr>
          <w:spacing w:val="9"/>
        </w:rPr>
        <w:t xml:space="preserve"> </w:t>
      </w:r>
      <w:r w:rsidRPr="00300F7B">
        <w:t>de</w:t>
      </w:r>
      <w:r w:rsidRPr="00300F7B">
        <w:rPr>
          <w:spacing w:val="6"/>
        </w:rPr>
        <w:t xml:space="preserve"> </w:t>
      </w:r>
      <w:r w:rsidRPr="00300F7B">
        <w:t>litiges</w:t>
      </w:r>
      <w:r w:rsidRPr="00300F7B">
        <w:rPr>
          <w:spacing w:val="10"/>
        </w:rPr>
        <w:t xml:space="preserve"> </w:t>
      </w:r>
      <w:r w:rsidRPr="00300F7B">
        <w:t>et</w:t>
      </w:r>
      <w:r w:rsidRPr="00300F7B">
        <w:rPr>
          <w:spacing w:val="6"/>
        </w:rPr>
        <w:t xml:space="preserve"> </w:t>
      </w:r>
      <w:r w:rsidRPr="00300F7B">
        <w:t>amendes.</w:t>
      </w:r>
      <w:r w:rsidRPr="00300F7B">
        <w:rPr>
          <w:spacing w:val="7"/>
        </w:rPr>
        <w:t xml:space="preserve"> </w:t>
      </w:r>
      <w:r w:rsidRPr="00300F7B">
        <w:t>Par</w:t>
      </w:r>
      <w:r w:rsidRPr="00300F7B">
        <w:rPr>
          <w:spacing w:val="7"/>
        </w:rPr>
        <w:t xml:space="preserve"> </w:t>
      </w:r>
      <w:r w:rsidRPr="00300F7B">
        <w:t>conséquent,</w:t>
      </w:r>
      <w:r w:rsidRPr="00300F7B">
        <w:rPr>
          <w:spacing w:val="10"/>
        </w:rPr>
        <w:t xml:space="preserve"> </w:t>
      </w:r>
      <w:r w:rsidRPr="00300F7B">
        <w:t>à</w:t>
      </w:r>
      <w:r w:rsidRPr="00300F7B">
        <w:rPr>
          <w:spacing w:val="6"/>
        </w:rPr>
        <w:t xml:space="preserve"> </w:t>
      </w:r>
      <w:r w:rsidRPr="00300F7B">
        <w:t>ce</w:t>
      </w:r>
      <w:r w:rsidRPr="00300F7B">
        <w:rPr>
          <w:spacing w:val="6"/>
        </w:rPr>
        <w:t xml:space="preserve"> </w:t>
      </w:r>
      <w:r w:rsidRPr="00300F7B">
        <w:t>que</w:t>
      </w:r>
      <w:r w:rsidRPr="00300F7B">
        <w:rPr>
          <w:spacing w:val="11"/>
        </w:rPr>
        <w:t xml:space="preserve"> </w:t>
      </w:r>
      <w:r w:rsidRPr="00300F7B">
        <w:t>les</w:t>
      </w:r>
      <w:r w:rsidRPr="00300F7B">
        <w:rPr>
          <w:spacing w:val="9"/>
        </w:rPr>
        <w:t xml:space="preserve"> </w:t>
      </w:r>
      <w:r w:rsidRPr="00300F7B">
        <w:t>entreprises</w:t>
      </w:r>
      <w:r w:rsidRPr="00300F7B">
        <w:rPr>
          <w:spacing w:val="9"/>
        </w:rPr>
        <w:t xml:space="preserve"> </w:t>
      </w:r>
      <w:r w:rsidRPr="00300F7B">
        <w:t>subissent</w:t>
      </w:r>
      <w:r w:rsidRPr="00300F7B">
        <w:rPr>
          <w:spacing w:val="10"/>
        </w:rPr>
        <w:t xml:space="preserve"> </w:t>
      </w:r>
      <w:r w:rsidRPr="00300F7B">
        <w:t>une rentabilité anormalement négative à la suite des différentes annonces. Conformément à cette attente, ils ont constaté un rendement anormal cumulatif moyen (RCA) significatif de 0,84 % au cours d’une période de trois jours entourant les annonces de cyberattaques. Avec une valeur marchande moyenne d'environ 58,93 milliards de dollars pour leur échantillon, cette baisse de rendement s’est traduite par une perte de valeur moyenne de 495 millions de dollars par attaque. Ils ont également constaté que les entreprises ayant fait face à des attaques entraînant une perte d'informations financières personnelles, leur RCA moyen est de 1,09%.</w:t>
      </w:r>
    </w:p>
    <w:p w:rsidR="003E7CF5" w:rsidRPr="00300F7B" w:rsidRDefault="00024B00" w:rsidP="00300F7B">
      <w:pPr>
        <w:pStyle w:val="Corpsdetexte"/>
        <w:spacing w:before="240" w:after="240" w:line="360" w:lineRule="auto"/>
        <w:ind w:right="1521"/>
        <w:jc w:val="both"/>
      </w:pPr>
      <w:r w:rsidRPr="00300F7B">
        <w:t>Après lecture et étude de différentes analyses, nous constatons alors que les résultats sont</w:t>
      </w:r>
      <w:r w:rsidRPr="00300F7B">
        <w:rPr>
          <w:spacing w:val="59"/>
        </w:rPr>
        <w:t xml:space="preserve"> </w:t>
      </w:r>
      <w:r w:rsidRPr="00300F7B">
        <w:t>mitigés</w:t>
      </w:r>
      <w:r w:rsidR="00300F7B">
        <w:t xml:space="preserve"> </w:t>
      </w:r>
      <w:r w:rsidRPr="00300F7B">
        <w:t>: les annonces ont souvent, mais pas nécessairement, eu un impact négatif significatif sur le rendement des actions. (Hovav et D’Arcy, 2003,2004 ; Kannan, 2007 ; Winn and Govern, 2009 ; Brockett, 2012 ; Shackelford, 2012). Cavusoglu (Carvusoglu, 2004) constate que les entreprises qui</w:t>
      </w:r>
      <w:r w:rsidRPr="00300F7B">
        <w:rPr>
          <w:spacing w:val="-13"/>
        </w:rPr>
        <w:t xml:space="preserve"> </w:t>
      </w:r>
      <w:r w:rsidRPr="00300F7B">
        <w:t>ont</w:t>
      </w:r>
      <w:r w:rsidRPr="00300F7B">
        <w:rPr>
          <w:spacing w:val="-7"/>
        </w:rPr>
        <w:t xml:space="preserve"> </w:t>
      </w:r>
      <w:r w:rsidRPr="00300F7B">
        <w:t>subi</w:t>
      </w:r>
      <w:r w:rsidRPr="00300F7B">
        <w:rPr>
          <w:spacing w:val="-12"/>
        </w:rPr>
        <w:t xml:space="preserve"> </w:t>
      </w:r>
      <w:r w:rsidRPr="00300F7B">
        <w:t>une</w:t>
      </w:r>
      <w:r w:rsidRPr="00300F7B">
        <w:rPr>
          <w:spacing w:val="-7"/>
        </w:rPr>
        <w:t xml:space="preserve"> </w:t>
      </w:r>
      <w:r w:rsidRPr="00300F7B">
        <w:t>attaque</w:t>
      </w:r>
      <w:r w:rsidRPr="00300F7B">
        <w:rPr>
          <w:spacing w:val="-5"/>
        </w:rPr>
        <w:t xml:space="preserve"> </w:t>
      </w:r>
      <w:r w:rsidRPr="00300F7B">
        <w:t>perdent</w:t>
      </w:r>
      <w:r w:rsidRPr="00300F7B">
        <w:rPr>
          <w:spacing w:val="-8"/>
        </w:rPr>
        <w:t xml:space="preserve"> </w:t>
      </w:r>
      <w:r w:rsidRPr="00300F7B">
        <w:t>en</w:t>
      </w:r>
      <w:r w:rsidRPr="00300F7B">
        <w:rPr>
          <w:spacing w:val="-11"/>
        </w:rPr>
        <w:t xml:space="preserve"> </w:t>
      </w:r>
      <w:r w:rsidRPr="00300F7B">
        <w:t>moyenne</w:t>
      </w:r>
      <w:r w:rsidRPr="00300F7B">
        <w:rPr>
          <w:spacing w:val="-7"/>
        </w:rPr>
        <w:t xml:space="preserve"> </w:t>
      </w:r>
      <w:r w:rsidRPr="00300F7B">
        <w:t>2,1</w:t>
      </w:r>
      <w:r w:rsidRPr="00300F7B">
        <w:rPr>
          <w:spacing w:val="-11"/>
        </w:rPr>
        <w:t xml:space="preserve"> </w:t>
      </w:r>
      <w:r w:rsidRPr="00300F7B">
        <w:t>%</w:t>
      </w:r>
      <w:r w:rsidRPr="00300F7B">
        <w:rPr>
          <w:spacing w:val="-6"/>
        </w:rPr>
        <w:t xml:space="preserve"> </w:t>
      </w:r>
      <w:r w:rsidRPr="00300F7B">
        <w:t>dans</w:t>
      </w:r>
      <w:r w:rsidRPr="00300F7B">
        <w:rPr>
          <w:spacing w:val="-10"/>
        </w:rPr>
        <w:t xml:space="preserve"> </w:t>
      </w:r>
      <w:r w:rsidRPr="00300F7B">
        <w:t>les</w:t>
      </w:r>
      <w:r w:rsidRPr="00300F7B">
        <w:rPr>
          <w:spacing w:val="-9"/>
        </w:rPr>
        <w:t xml:space="preserve"> </w:t>
      </w:r>
      <w:r w:rsidRPr="00300F7B">
        <w:t>deux</w:t>
      </w:r>
      <w:r w:rsidRPr="00300F7B">
        <w:rPr>
          <w:spacing w:val="-11"/>
        </w:rPr>
        <w:t xml:space="preserve"> </w:t>
      </w:r>
      <w:r w:rsidRPr="00300F7B">
        <w:t>jours</w:t>
      </w:r>
      <w:r w:rsidRPr="00300F7B">
        <w:rPr>
          <w:spacing w:val="-4"/>
        </w:rPr>
        <w:t xml:space="preserve"> </w:t>
      </w:r>
      <w:r w:rsidRPr="00300F7B">
        <w:t>suivant</w:t>
      </w:r>
      <w:r w:rsidRPr="00300F7B">
        <w:rPr>
          <w:spacing w:val="-7"/>
        </w:rPr>
        <w:t xml:space="preserve"> </w:t>
      </w:r>
      <w:r w:rsidRPr="00300F7B">
        <w:t>l'annonce.</w:t>
      </w:r>
      <w:r w:rsidRPr="00300F7B">
        <w:rPr>
          <w:spacing w:val="-12"/>
        </w:rPr>
        <w:t xml:space="preserve"> </w:t>
      </w:r>
      <w:r w:rsidRPr="00300F7B">
        <w:t>Acquisti, (Acquisti, 2006) montre que les atteintes à la protection des données ont un impact négatif et statistiquement significatif sur la valeur marchande d'une entreprise le jour de l'annonce. Enfin, d’autres études constatent de significatives réactions dans les dix jours suivant l’annonce de faille de</w:t>
      </w:r>
      <w:r w:rsidRPr="00300F7B">
        <w:rPr>
          <w:spacing w:val="-3"/>
        </w:rPr>
        <w:t xml:space="preserve"> </w:t>
      </w:r>
      <w:r w:rsidRPr="00300F7B">
        <w:t>sécurité.</w:t>
      </w:r>
    </w:p>
    <w:p w:rsidR="003E7CF5" w:rsidRPr="00300F7B" w:rsidRDefault="00024B00" w:rsidP="00300F7B">
      <w:pPr>
        <w:pStyle w:val="Corpsdetexte"/>
        <w:spacing w:before="240" w:after="240" w:line="360" w:lineRule="auto"/>
        <w:ind w:right="1521"/>
        <w:jc w:val="both"/>
      </w:pPr>
      <w:r w:rsidRPr="00300F7B">
        <w:t>Les résultats divergent notamment en fonction de la taille de l’échantillon et à la nature des évènements de sécurité impactant ainsi la cohérence globale de la méthodologie d'analyse des évènements. Les échantillons de trop petite taille peuvent se révéler non significatifs cependant, il n’est</w:t>
      </w:r>
      <w:r w:rsidRPr="00300F7B">
        <w:rPr>
          <w:spacing w:val="-20"/>
        </w:rPr>
        <w:t xml:space="preserve"> </w:t>
      </w:r>
      <w:r w:rsidRPr="00300F7B">
        <w:t>pas</w:t>
      </w:r>
      <w:r w:rsidRPr="00300F7B">
        <w:rPr>
          <w:spacing w:val="-16"/>
        </w:rPr>
        <w:t xml:space="preserve"> </w:t>
      </w:r>
      <w:r w:rsidRPr="00300F7B">
        <w:t>toujours</w:t>
      </w:r>
      <w:r w:rsidRPr="00300F7B">
        <w:rPr>
          <w:spacing w:val="-16"/>
        </w:rPr>
        <w:t xml:space="preserve"> </w:t>
      </w:r>
      <w:r w:rsidRPr="00300F7B">
        <w:t>évident</w:t>
      </w:r>
      <w:r w:rsidRPr="00300F7B">
        <w:rPr>
          <w:spacing w:val="-15"/>
        </w:rPr>
        <w:t xml:space="preserve"> </w:t>
      </w:r>
      <w:r w:rsidRPr="00300F7B">
        <w:t>de</w:t>
      </w:r>
      <w:r w:rsidRPr="00300F7B">
        <w:rPr>
          <w:spacing w:val="-16"/>
        </w:rPr>
        <w:t xml:space="preserve"> </w:t>
      </w:r>
      <w:r w:rsidRPr="00300F7B">
        <w:t>pouvoir</w:t>
      </w:r>
      <w:r w:rsidRPr="00300F7B">
        <w:rPr>
          <w:spacing w:val="-14"/>
        </w:rPr>
        <w:t xml:space="preserve"> </w:t>
      </w:r>
      <w:r w:rsidRPr="00300F7B">
        <w:t>détecter</w:t>
      </w:r>
      <w:r w:rsidRPr="00300F7B">
        <w:rPr>
          <w:spacing w:val="-13"/>
        </w:rPr>
        <w:t xml:space="preserve"> </w:t>
      </w:r>
      <w:r w:rsidRPr="00300F7B">
        <w:t>ce</w:t>
      </w:r>
      <w:r w:rsidRPr="00300F7B">
        <w:rPr>
          <w:spacing w:val="-15"/>
        </w:rPr>
        <w:t xml:space="preserve"> </w:t>
      </w:r>
      <w:r w:rsidRPr="00300F7B">
        <w:t>type</w:t>
      </w:r>
      <w:r w:rsidRPr="00300F7B">
        <w:rPr>
          <w:spacing w:val="-14"/>
        </w:rPr>
        <w:t xml:space="preserve"> </w:t>
      </w:r>
      <w:r w:rsidRPr="00300F7B">
        <w:t>d’incidents</w:t>
      </w:r>
      <w:r w:rsidRPr="00300F7B">
        <w:rPr>
          <w:spacing w:val="-17"/>
        </w:rPr>
        <w:t xml:space="preserve"> </w:t>
      </w:r>
      <w:r w:rsidRPr="00300F7B">
        <w:t>notamment</w:t>
      </w:r>
      <w:r w:rsidRPr="00300F7B">
        <w:rPr>
          <w:spacing w:val="-14"/>
        </w:rPr>
        <w:t xml:space="preserve"> </w:t>
      </w:r>
      <w:r w:rsidRPr="00300F7B">
        <w:t>avant</w:t>
      </w:r>
      <w:r w:rsidRPr="00300F7B">
        <w:rPr>
          <w:spacing w:val="-19"/>
        </w:rPr>
        <w:t xml:space="preserve"> </w:t>
      </w:r>
      <w:r w:rsidRPr="00300F7B">
        <w:t>les</w:t>
      </w:r>
      <w:r w:rsidRPr="00300F7B">
        <w:rPr>
          <w:spacing w:val="-12"/>
        </w:rPr>
        <w:t xml:space="preserve"> </w:t>
      </w:r>
      <w:r w:rsidRPr="00300F7B">
        <w:t>années</w:t>
      </w:r>
      <w:r w:rsidRPr="00300F7B">
        <w:rPr>
          <w:spacing w:val="-16"/>
        </w:rPr>
        <w:t xml:space="preserve"> </w:t>
      </w:r>
      <w:r w:rsidRPr="00300F7B">
        <w:t xml:space="preserve">2000. </w:t>
      </w:r>
      <w:bookmarkStart w:id="6" w:name="Objectifs_de_la_recherche"/>
      <w:bookmarkStart w:id="7" w:name="_bookmark4"/>
      <w:bookmarkEnd w:id="6"/>
      <w:bookmarkEnd w:id="7"/>
      <w:r w:rsidR="00A5268B">
        <w:t>Il</w:t>
      </w:r>
      <w:r w:rsidRPr="00300F7B">
        <w:t xml:space="preserve"> s’avère que la littérature s’attardant uniquement sur la rentabilité des actions suite à une annonce de faille portant atteinte à la sécurité des systèmes d’information sur le marché des entreprises de la Bourse de Paris est très peu développée. De même, le marché boursier européen ne fait pas l’objet d’étude spécifique bien qu’il paraisse parfaitement adapté et intégré à la fois dans un processus de développement du numérique et du cyberespace. Il apparaît également intéressant de mener cette étude sur une période durant laquelle l’exposition aux cyber menaces n’a cessé de grandir et durant </w:t>
      </w:r>
      <w:r w:rsidRPr="00300F7B">
        <w:lastRenderedPageBreak/>
        <w:t>laquelle les entreprises ont consacré de plus en plus de budgets et de temps à la maîtrise de ce risque. C’est également depuis quelques années que les investisseurs et clients de ces entreprises se sont familiarisés avec le risque cyber, qu’ils y ont été sensibilisés</w:t>
      </w:r>
      <w:r w:rsidRPr="00300F7B">
        <w:rPr>
          <w:spacing w:val="-5"/>
        </w:rPr>
        <w:t xml:space="preserve"> </w:t>
      </w:r>
      <w:r w:rsidRPr="00300F7B">
        <w:t>et</w:t>
      </w:r>
      <w:r w:rsidRPr="00300F7B">
        <w:rPr>
          <w:spacing w:val="-8"/>
        </w:rPr>
        <w:t xml:space="preserve"> </w:t>
      </w:r>
      <w:r w:rsidRPr="00300F7B">
        <w:t>formés.</w:t>
      </w:r>
      <w:r w:rsidRPr="00300F7B">
        <w:rPr>
          <w:spacing w:val="-6"/>
        </w:rPr>
        <w:t xml:space="preserve"> </w:t>
      </w:r>
      <w:r w:rsidRPr="00300F7B">
        <w:t>Il</w:t>
      </w:r>
      <w:r w:rsidRPr="00300F7B">
        <w:rPr>
          <w:spacing w:val="-8"/>
        </w:rPr>
        <w:t xml:space="preserve"> </w:t>
      </w:r>
      <w:r w:rsidRPr="00300F7B">
        <w:t>se</w:t>
      </w:r>
      <w:r w:rsidRPr="00300F7B">
        <w:rPr>
          <w:spacing w:val="-8"/>
        </w:rPr>
        <w:t xml:space="preserve"> </w:t>
      </w:r>
      <w:r w:rsidRPr="00300F7B">
        <w:t>peut</w:t>
      </w:r>
      <w:r w:rsidRPr="00300F7B">
        <w:rPr>
          <w:spacing w:val="-7"/>
        </w:rPr>
        <w:t xml:space="preserve"> </w:t>
      </w:r>
      <w:r w:rsidRPr="00300F7B">
        <w:t>donc</w:t>
      </w:r>
      <w:r w:rsidRPr="00300F7B">
        <w:rPr>
          <w:spacing w:val="-8"/>
        </w:rPr>
        <w:t xml:space="preserve"> </w:t>
      </w:r>
      <w:r w:rsidRPr="00300F7B">
        <w:t>que</w:t>
      </w:r>
      <w:r w:rsidRPr="00300F7B">
        <w:rPr>
          <w:spacing w:val="-7"/>
        </w:rPr>
        <w:t xml:space="preserve"> </w:t>
      </w:r>
      <w:r w:rsidRPr="00300F7B">
        <w:t>cette</w:t>
      </w:r>
      <w:r w:rsidRPr="00300F7B">
        <w:rPr>
          <w:spacing w:val="-3"/>
        </w:rPr>
        <w:t xml:space="preserve"> </w:t>
      </w:r>
      <w:r w:rsidRPr="00300F7B">
        <w:t>recherche</w:t>
      </w:r>
      <w:r w:rsidRPr="00300F7B">
        <w:rPr>
          <w:spacing w:val="-8"/>
        </w:rPr>
        <w:t xml:space="preserve"> </w:t>
      </w:r>
      <w:r w:rsidRPr="00300F7B">
        <w:t>apporte</w:t>
      </w:r>
      <w:r w:rsidRPr="00300F7B">
        <w:rPr>
          <w:spacing w:val="-7"/>
        </w:rPr>
        <w:t xml:space="preserve"> </w:t>
      </w:r>
      <w:r w:rsidRPr="00300F7B">
        <w:t>des</w:t>
      </w:r>
      <w:r w:rsidRPr="00300F7B">
        <w:rPr>
          <w:spacing w:val="1"/>
        </w:rPr>
        <w:t xml:space="preserve"> </w:t>
      </w:r>
      <w:r w:rsidRPr="00300F7B">
        <w:t>résultats</w:t>
      </w:r>
      <w:r w:rsidRPr="00300F7B">
        <w:rPr>
          <w:spacing w:val="-5"/>
        </w:rPr>
        <w:t xml:space="preserve"> </w:t>
      </w:r>
      <w:r w:rsidRPr="00300F7B">
        <w:t>plus</w:t>
      </w:r>
      <w:r w:rsidRPr="00300F7B">
        <w:rPr>
          <w:spacing w:val="-4"/>
        </w:rPr>
        <w:t xml:space="preserve"> </w:t>
      </w:r>
      <w:r w:rsidRPr="00300F7B">
        <w:t>forts</w:t>
      </w:r>
      <w:r w:rsidRPr="00300F7B">
        <w:rPr>
          <w:spacing w:val="-5"/>
        </w:rPr>
        <w:t xml:space="preserve"> </w:t>
      </w:r>
      <w:r w:rsidRPr="00300F7B">
        <w:t>quant</w:t>
      </w:r>
      <w:r w:rsidRPr="00300F7B">
        <w:rPr>
          <w:spacing w:val="-3"/>
        </w:rPr>
        <w:t xml:space="preserve"> </w:t>
      </w:r>
      <w:r w:rsidRPr="00300F7B">
        <w:t>aux rentabilités</w:t>
      </w:r>
      <w:r w:rsidRPr="00300F7B">
        <w:rPr>
          <w:spacing w:val="-7"/>
        </w:rPr>
        <w:t xml:space="preserve"> </w:t>
      </w:r>
      <w:r w:rsidRPr="00300F7B">
        <w:t>anormales</w:t>
      </w:r>
      <w:r w:rsidRPr="00300F7B">
        <w:rPr>
          <w:spacing w:val="-6"/>
        </w:rPr>
        <w:t xml:space="preserve"> </w:t>
      </w:r>
      <w:r w:rsidRPr="00300F7B">
        <w:t>des</w:t>
      </w:r>
      <w:r w:rsidRPr="00300F7B">
        <w:rPr>
          <w:spacing w:val="-6"/>
        </w:rPr>
        <w:t xml:space="preserve"> </w:t>
      </w:r>
      <w:r w:rsidRPr="00300F7B">
        <w:t>entreprises</w:t>
      </w:r>
      <w:r w:rsidRPr="00300F7B">
        <w:rPr>
          <w:spacing w:val="-6"/>
        </w:rPr>
        <w:t xml:space="preserve"> </w:t>
      </w:r>
      <w:r w:rsidRPr="00300F7B">
        <w:t>ayant</w:t>
      </w:r>
      <w:r w:rsidRPr="00300F7B">
        <w:rPr>
          <w:spacing w:val="-9"/>
        </w:rPr>
        <w:t xml:space="preserve"> </w:t>
      </w:r>
      <w:r w:rsidRPr="00300F7B">
        <w:t>subi</w:t>
      </w:r>
      <w:r w:rsidRPr="00300F7B">
        <w:rPr>
          <w:spacing w:val="-4"/>
        </w:rPr>
        <w:t xml:space="preserve"> </w:t>
      </w:r>
      <w:r w:rsidRPr="00300F7B">
        <w:t>ces</w:t>
      </w:r>
      <w:r w:rsidRPr="00300F7B">
        <w:rPr>
          <w:spacing w:val="-2"/>
        </w:rPr>
        <w:t xml:space="preserve"> </w:t>
      </w:r>
      <w:r w:rsidRPr="00300F7B">
        <w:t>préjudices.</w:t>
      </w:r>
      <w:r w:rsidRPr="00300F7B">
        <w:rPr>
          <w:spacing w:val="-6"/>
        </w:rPr>
        <w:t xml:space="preserve"> </w:t>
      </w:r>
      <w:r w:rsidRPr="00300F7B">
        <w:t>De</w:t>
      </w:r>
      <w:r w:rsidRPr="00300F7B">
        <w:rPr>
          <w:spacing w:val="-9"/>
        </w:rPr>
        <w:t xml:space="preserve"> </w:t>
      </w:r>
      <w:r w:rsidRPr="00300F7B">
        <w:t>plus,</w:t>
      </w:r>
      <w:r w:rsidRPr="00300F7B">
        <w:rPr>
          <w:spacing w:val="-6"/>
        </w:rPr>
        <w:t xml:space="preserve"> </w:t>
      </w:r>
      <w:r w:rsidRPr="00300F7B">
        <w:t>bien</w:t>
      </w:r>
      <w:r w:rsidRPr="00300F7B">
        <w:rPr>
          <w:spacing w:val="-3"/>
        </w:rPr>
        <w:t xml:space="preserve"> </w:t>
      </w:r>
      <w:r w:rsidRPr="00300F7B">
        <w:t>que</w:t>
      </w:r>
      <w:r w:rsidRPr="00300F7B">
        <w:rPr>
          <w:spacing w:val="-9"/>
        </w:rPr>
        <w:t xml:space="preserve"> </w:t>
      </w:r>
      <w:r w:rsidRPr="00300F7B">
        <w:t>tous</w:t>
      </w:r>
      <w:r w:rsidRPr="00300F7B">
        <w:rPr>
          <w:spacing w:val="-2"/>
        </w:rPr>
        <w:t xml:space="preserve"> </w:t>
      </w:r>
      <w:r w:rsidRPr="00300F7B">
        <w:t>les</w:t>
      </w:r>
      <w:r w:rsidRPr="00300F7B">
        <w:rPr>
          <w:spacing w:val="-6"/>
        </w:rPr>
        <w:t xml:space="preserve"> </w:t>
      </w:r>
      <w:r w:rsidRPr="00300F7B">
        <w:t>secteurs soient</w:t>
      </w:r>
      <w:r w:rsidRPr="00300F7B">
        <w:rPr>
          <w:spacing w:val="-8"/>
        </w:rPr>
        <w:t xml:space="preserve"> </w:t>
      </w:r>
      <w:r w:rsidRPr="00300F7B">
        <w:t>aujourd’hui</w:t>
      </w:r>
      <w:r w:rsidRPr="00300F7B">
        <w:rPr>
          <w:spacing w:val="-3"/>
        </w:rPr>
        <w:t xml:space="preserve"> </w:t>
      </w:r>
      <w:r w:rsidRPr="00300F7B">
        <w:t>la</w:t>
      </w:r>
      <w:r w:rsidRPr="00300F7B">
        <w:rPr>
          <w:spacing w:val="-8"/>
        </w:rPr>
        <w:t xml:space="preserve"> </w:t>
      </w:r>
      <w:r w:rsidRPr="00300F7B">
        <w:t>proie</w:t>
      </w:r>
      <w:r w:rsidRPr="00300F7B">
        <w:rPr>
          <w:spacing w:val="-7"/>
        </w:rPr>
        <w:t xml:space="preserve"> </w:t>
      </w:r>
      <w:r w:rsidRPr="00300F7B">
        <w:t>de</w:t>
      </w:r>
      <w:r w:rsidRPr="00300F7B">
        <w:rPr>
          <w:spacing w:val="-8"/>
        </w:rPr>
        <w:t xml:space="preserve"> </w:t>
      </w:r>
      <w:r w:rsidRPr="00300F7B">
        <w:t>ces</w:t>
      </w:r>
      <w:r w:rsidRPr="00300F7B">
        <w:rPr>
          <w:spacing w:val="-5"/>
        </w:rPr>
        <w:t xml:space="preserve"> </w:t>
      </w:r>
      <w:r w:rsidRPr="00300F7B">
        <w:t>menaces,</w:t>
      </w:r>
      <w:r w:rsidRPr="00300F7B">
        <w:rPr>
          <w:spacing w:val="4"/>
        </w:rPr>
        <w:t xml:space="preserve"> </w:t>
      </w:r>
      <w:r w:rsidRPr="00300F7B">
        <w:t>certains</w:t>
      </w:r>
      <w:r w:rsidRPr="00300F7B">
        <w:rPr>
          <w:spacing w:val="-5"/>
        </w:rPr>
        <w:t xml:space="preserve"> </w:t>
      </w:r>
      <w:r w:rsidRPr="00300F7B">
        <w:t>sont</w:t>
      </w:r>
      <w:r w:rsidRPr="00300F7B">
        <w:rPr>
          <w:spacing w:val="-7"/>
        </w:rPr>
        <w:t xml:space="preserve"> </w:t>
      </w:r>
      <w:r w:rsidRPr="00300F7B">
        <w:t>plus</w:t>
      </w:r>
      <w:r w:rsidRPr="00300F7B">
        <w:rPr>
          <w:spacing w:val="-3"/>
        </w:rPr>
        <w:t xml:space="preserve"> </w:t>
      </w:r>
      <w:r w:rsidRPr="00300F7B">
        <w:t>attrayants</w:t>
      </w:r>
      <w:r w:rsidRPr="00300F7B">
        <w:rPr>
          <w:spacing w:val="-5"/>
        </w:rPr>
        <w:t xml:space="preserve"> </w:t>
      </w:r>
      <w:r w:rsidRPr="00300F7B">
        <w:t>que</w:t>
      </w:r>
      <w:r w:rsidRPr="00300F7B">
        <w:rPr>
          <w:spacing w:val="-2"/>
        </w:rPr>
        <w:t xml:space="preserve"> </w:t>
      </w:r>
      <w:r w:rsidRPr="00300F7B">
        <w:t>d’autres.</w:t>
      </w:r>
      <w:r w:rsidRPr="00300F7B">
        <w:rPr>
          <w:spacing w:val="-6"/>
        </w:rPr>
        <w:t xml:space="preserve"> </w:t>
      </w:r>
      <w:r w:rsidRPr="00300F7B">
        <w:t>Ils</w:t>
      </w:r>
      <w:r w:rsidRPr="00300F7B">
        <w:rPr>
          <w:spacing w:val="-5"/>
        </w:rPr>
        <w:t xml:space="preserve"> </w:t>
      </w:r>
      <w:r w:rsidRPr="00300F7B">
        <w:t>collectent plus de données à fort potentiel comme les données personnelles sensibles sur les clients dans le secteur de la santé et de la finance. Bien que ces secteurs soient de plus en plus réglementés en France</w:t>
      </w:r>
      <w:r w:rsidRPr="00300F7B">
        <w:rPr>
          <w:spacing w:val="-19"/>
        </w:rPr>
        <w:t xml:space="preserve"> </w:t>
      </w:r>
      <w:r w:rsidRPr="00300F7B">
        <w:t>et</w:t>
      </w:r>
      <w:r w:rsidRPr="00300F7B">
        <w:rPr>
          <w:spacing w:val="-18"/>
        </w:rPr>
        <w:t xml:space="preserve"> </w:t>
      </w:r>
      <w:r w:rsidRPr="00300F7B">
        <w:t>en</w:t>
      </w:r>
      <w:r w:rsidRPr="00300F7B">
        <w:rPr>
          <w:spacing w:val="-12"/>
        </w:rPr>
        <w:t xml:space="preserve"> </w:t>
      </w:r>
      <w:r w:rsidRPr="00300F7B">
        <w:t>Europe</w:t>
      </w:r>
      <w:r w:rsidRPr="00300F7B">
        <w:rPr>
          <w:spacing w:val="-11"/>
        </w:rPr>
        <w:t xml:space="preserve"> </w:t>
      </w:r>
      <w:r w:rsidRPr="00300F7B">
        <w:t>et</w:t>
      </w:r>
      <w:r w:rsidRPr="00300F7B">
        <w:rPr>
          <w:spacing w:val="-18"/>
        </w:rPr>
        <w:t xml:space="preserve"> </w:t>
      </w:r>
      <w:r w:rsidRPr="00300F7B">
        <w:t>que</w:t>
      </w:r>
      <w:r w:rsidRPr="00300F7B">
        <w:rPr>
          <w:spacing w:val="-13"/>
        </w:rPr>
        <w:t xml:space="preserve"> </w:t>
      </w:r>
      <w:r w:rsidRPr="00300F7B">
        <w:t>les</w:t>
      </w:r>
      <w:r w:rsidRPr="00300F7B">
        <w:rPr>
          <w:spacing w:val="-11"/>
        </w:rPr>
        <w:t xml:space="preserve"> </w:t>
      </w:r>
      <w:r w:rsidRPr="00300F7B">
        <w:t>entreprises</w:t>
      </w:r>
      <w:r w:rsidRPr="00300F7B">
        <w:rPr>
          <w:spacing w:val="-15"/>
        </w:rPr>
        <w:t xml:space="preserve"> </w:t>
      </w:r>
      <w:r w:rsidRPr="00300F7B">
        <w:t>déploient</w:t>
      </w:r>
      <w:r w:rsidRPr="00300F7B">
        <w:rPr>
          <w:spacing w:val="-14"/>
        </w:rPr>
        <w:t xml:space="preserve"> </w:t>
      </w:r>
      <w:r w:rsidRPr="00300F7B">
        <w:t>de</w:t>
      </w:r>
      <w:r w:rsidRPr="00300F7B">
        <w:rPr>
          <w:spacing w:val="-13"/>
        </w:rPr>
        <w:t xml:space="preserve"> </w:t>
      </w:r>
      <w:r w:rsidRPr="00300F7B">
        <w:t>plus</w:t>
      </w:r>
      <w:r w:rsidRPr="00300F7B">
        <w:rPr>
          <w:spacing w:val="-15"/>
        </w:rPr>
        <w:t xml:space="preserve"> </w:t>
      </w:r>
      <w:r w:rsidRPr="00300F7B">
        <w:t>en</w:t>
      </w:r>
      <w:r w:rsidRPr="00300F7B">
        <w:rPr>
          <w:spacing w:val="-13"/>
        </w:rPr>
        <w:t xml:space="preserve"> </w:t>
      </w:r>
      <w:r w:rsidRPr="00300F7B">
        <w:t>plus</w:t>
      </w:r>
      <w:r w:rsidRPr="00300F7B">
        <w:rPr>
          <w:spacing w:val="-15"/>
        </w:rPr>
        <w:t xml:space="preserve"> </w:t>
      </w:r>
      <w:r w:rsidRPr="00300F7B">
        <w:t>de</w:t>
      </w:r>
      <w:r w:rsidRPr="00300F7B">
        <w:rPr>
          <w:spacing w:val="-13"/>
        </w:rPr>
        <w:t xml:space="preserve"> </w:t>
      </w:r>
      <w:r w:rsidRPr="00300F7B">
        <w:t>moyens</w:t>
      </w:r>
      <w:r w:rsidRPr="00300F7B">
        <w:rPr>
          <w:spacing w:val="-11"/>
        </w:rPr>
        <w:t xml:space="preserve"> </w:t>
      </w:r>
      <w:r w:rsidRPr="00300F7B">
        <w:t>en</w:t>
      </w:r>
      <w:r w:rsidRPr="00300F7B">
        <w:rPr>
          <w:spacing w:val="-12"/>
        </w:rPr>
        <w:t xml:space="preserve"> </w:t>
      </w:r>
      <w:r w:rsidRPr="00300F7B">
        <w:t>matière</w:t>
      </w:r>
      <w:r w:rsidRPr="00300F7B">
        <w:rPr>
          <w:spacing w:val="-14"/>
        </w:rPr>
        <w:t xml:space="preserve"> </w:t>
      </w:r>
      <w:r w:rsidRPr="00300F7B">
        <w:t>de</w:t>
      </w:r>
      <w:r w:rsidRPr="00300F7B">
        <w:rPr>
          <w:spacing w:val="-18"/>
        </w:rPr>
        <w:t xml:space="preserve"> </w:t>
      </w:r>
      <w:r w:rsidRPr="00300F7B">
        <w:t>gestion de risque cyber, ce dernier n’est jamais</w:t>
      </w:r>
      <w:r w:rsidRPr="00300F7B">
        <w:rPr>
          <w:spacing w:val="-2"/>
        </w:rPr>
        <w:t xml:space="preserve"> </w:t>
      </w:r>
      <w:r w:rsidRPr="00300F7B">
        <w:t>écarté.</w:t>
      </w:r>
    </w:p>
    <w:p w:rsidR="003E7CF5" w:rsidRPr="00CF78B8" w:rsidRDefault="00024B00" w:rsidP="00CF78B8">
      <w:pPr>
        <w:pStyle w:val="Corpsdetexte"/>
        <w:spacing w:before="240" w:after="240" w:line="360" w:lineRule="auto"/>
        <w:ind w:right="1521"/>
        <w:jc w:val="both"/>
      </w:pPr>
      <w:r w:rsidRPr="00300F7B">
        <w:t xml:space="preserve">Enfin, notre étude s’attardera uniquement à l’analyse des cours boursiers suite aux évènements collectés contrairement aux précédentes études (Kamiya et coll., </w:t>
      </w:r>
      <w:r w:rsidR="00A5268B">
        <w:t>2020 ; Amir, 2018</w:t>
      </w:r>
      <w:r w:rsidRPr="00300F7B">
        <w:t>) qui ont considéré les impacts également sur des éléments fiscaux.</w:t>
      </w:r>
      <w:r w:rsidR="00A5268B">
        <w:t xml:space="preserve"> </w:t>
      </w:r>
      <w:r w:rsidRPr="00300F7B">
        <w:t>C’est dans ce contexte que nous chercherons à répondre à cette question : Quel est l’impact d’une annonce publique de faille de sécurité informatique sur la rentabilité d’une entreprise cotée sur le marché boursier français ?</w:t>
      </w:r>
    </w:p>
    <w:p w:rsidR="003E7CF5" w:rsidRPr="00CF78B8" w:rsidRDefault="00024B00" w:rsidP="00CF78B8">
      <w:pPr>
        <w:pStyle w:val="Titre2"/>
        <w:spacing w:before="240" w:after="240" w:line="360" w:lineRule="auto"/>
        <w:ind w:left="0" w:right="1521"/>
        <w:jc w:val="both"/>
        <w:rPr>
          <w:sz w:val="24"/>
          <w:szCs w:val="24"/>
          <w:u w:val="none"/>
        </w:rPr>
      </w:pPr>
      <w:bookmarkStart w:id="8" w:name="Hypothèses_de_développement"/>
      <w:bookmarkStart w:id="9" w:name="_bookmark5"/>
      <w:bookmarkEnd w:id="8"/>
      <w:bookmarkEnd w:id="9"/>
      <w:r w:rsidRPr="00CF78B8">
        <w:rPr>
          <w:sz w:val="24"/>
          <w:szCs w:val="24"/>
          <w:u w:val="none"/>
        </w:rPr>
        <w:t>Hypothèses</w:t>
      </w:r>
    </w:p>
    <w:p w:rsidR="00300F7B" w:rsidRPr="00CF78B8" w:rsidRDefault="00024B00" w:rsidP="00CF78B8">
      <w:pPr>
        <w:pStyle w:val="Corpsdetexte"/>
        <w:spacing w:before="240" w:after="240" w:line="360" w:lineRule="auto"/>
        <w:ind w:right="1521"/>
        <w:jc w:val="both"/>
      </w:pPr>
      <w:r w:rsidRPr="00CF78B8">
        <w:t>Suite à l’analyse des précédentes littératures, il ressort que les résultats ne sont pas toujours cohérents bien qu’assez souvent un impact négatif sur la valeur marchande des entreprises soit observé sans être pour autant très significatif. Plusieurs facteurs ont pu influencer ces résultats notamment les facteurs méthodologiques sélectionnés dans les études antérieures. Globalement, les études sur les évènements de faille de sécurité informatique sont basées sur de petits échantillons. En effet, ce n’est que très récemment que les entreprises françaises et européennes ont des obligations légales de déclaration de ce genre d’incident. Auparavant, les entreprises évitaient au maximum de laisser s’ébruiter ce genre de nouvelle qui pouvait quoiqu’il arrive nuire à l’image de l’entreprise et avoir de nombreux impacts négatifs. De plus, certaines études se sont focalisées sur un type d’attaque en particulier comme les virus (Hovav et D’Arcy, 2004).</w:t>
      </w:r>
    </w:p>
    <w:p w:rsidR="003E7CF5" w:rsidRPr="00CF78B8" w:rsidRDefault="00024B00" w:rsidP="00CF78B8">
      <w:pPr>
        <w:pStyle w:val="Corpsdetexte"/>
        <w:spacing w:before="240" w:after="240" w:line="360" w:lineRule="auto"/>
        <w:ind w:right="1521"/>
        <w:jc w:val="both"/>
      </w:pPr>
      <w:r w:rsidRPr="00CF78B8">
        <w:t>Aujourd’hui, réaliser une étude uniquement sur les attaques et infections de poste par virus ne pourrait</w:t>
      </w:r>
      <w:r w:rsidRPr="00CF78B8">
        <w:rPr>
          <w:spacing w:val="-14"/>
        </w:rPr>
        <w:t xml:space="preserve"> </w:t>
      </w:r>
      <w:r w:rsidRPr="00CF78B8">
        <w:t>plus</w:t>
      </w:r>
      <w:r w:rsidRPr="00CF78B8">
        <w:rPr>
          <w:spacing w:val="-11"/>
        </w:rPr>
        <w:t xml:space="preserve"> </w:t>
      </w:r>
      <w:r w:rsidRPr="00CF78B8">
        <w:t>se</w:t>
      </w:r>
      <w:r w:rsidRPr="00CF78B8">
        <w:rPr>
          <w:spacing w:val="-13"/>
        </w:rPr>
        <w:t xml:space="preserve"> </w:t>
      </w:r>
      <w:r w:rsidRPr="00CF78B8">
        <w:t>révéler</w:t>
      </w:r>
      <w:r w:rsidRPr="00CF78B8">
        <w:rPr>
          <w:spacing w:val="-8"/>
        </w:rPr>
        <w:t xml:space="preserve"> </w:t>
      </w:r>
      <w:r w:rsidRPr="00CF78B8">
        <w:t>efficace</w:t>
      </w:r>
      <w:r w:rsidRPr="00CF78B8">
        <w:rPr>
          <w:spacing w:val="-13"/>
        </w:rPr>
        <w:t xml:space="preserve"> </w:t>
      </w:r>
      <w:r w:rsidRPr="00CF78B8">
        <w:t>tant</w:t>
      </w:r>
      <w:r w:rsidRPr="00CF78B8">
        <w:rPr>
          <w:spacing w:val="-9"/>
        </w:rPr>
        <w:t xml:space="preserve"> </w:t>
      </w:r>
      <w:r w:rsidRPr="00CF78B8">
        <w:t>les</w:t>
      </w:r>
      <w:r w:rsidRPr="00CF78B8">
        <w:rPr>
          <w:spacing w:val="-1"/>
        </w:rPr>
        <w:t xml:space="preserve"> </w:t>
      </w:r>
      <w:r w:rsidRPr="00CF78B8">
        <w:t>attaques</w:t>
      </w:r>
      <w:r w:rsidRPr="00CF78B8">
        <w:rPr>
          <w:spacing w:val="-10"/>
        </w:rPr>
        <w:t xml:space="preserve"> </w:t>
      </w:r>
      <w:r w:rsidRPr="00CF78B8">
        <w:t>ont</w:t>
      </w:r>
      <w:r w:rsidRPr="00CF78B8">
        <w:rPr>
          <w:spacing w:val="-9"/>
        </w:rPr>
        <w:t xml:space="preserve"> </w:t>
      </w:r>
      <w:r w:rsidRPr="00CF78B8">
        <w:t>évolué,</w:t>
      </w:r>
      <w:r w:rsidRPr="00CF78B8">
        <w:rPr>
          <w:spacing w:val="-12"/>
        </w:rPr>
        <w:t xml:space="preserve"> </w:t>
      </w:r>
      <w:r w:rsidRPr="00CF78B8">
        <w:t>se</w:t>
      </w:r>
      <w:r w:rsidRPr="00CF78B8">
        <w:rPr>
          <w:spacing w:val="-13"/>
        </w:rPr>
        <w:t xml:space="preserve"> </w:t>
      </w:r>
      <w:r w:rsidRPr="00CF78B8">
        <w:t>sont</w:t>
      </w:r>
      <w:r w:rsidRPr="00CF78B8">
        <w:rPr>
          <w:spacing w:val="-9"/>
        </w:rPr>
        <w:t xml:space="preserve"> </w:t>
      </w:r>
      <w:r w:rsidRPr="00CF78B8">
        <w:t>complexifiées</w:t>
      </w:r>
      <w:r w:rsidRPr="00CF78B8">
        <w:rPr>
          <w:spacing w:val="-5"/>
        </w:rPr>
        <w:t xml:space="preserve"> </w:t>
      </w:r>
      <w:r w:rsidRPr="00CF78B8">
        <w:t>et</w:t>
      </w:r>
      <w:r w:rsidRPr="00CF78B8">
        <w:rPr>
          <w:spacing w:val="-9"/>
        </w:rPr>
        <w:t xml:space="preserve"> </w:t>
      </w:r>
      <w:r w:rsidRPr="00CF78B8">
        <w:t>sophistiquées. De</w:t>
      </w:r>
      <w:r w:rsidRPr="00CF78B8">
        <w:rPr>
          <w:spacing w:val="-10"/>
        </w:rPr>
        <w:t xml:space="preserve"> </w:t>
      </w:r>
      <w:r w:rsidRPr="00CF78B8">
        <w:t>nombreuses</w:t>
      </w:r>
      <w:r w:rsidRPr="00CF78B8">
        <w:rPr>
          <w:spacing w:val="-5"/>
        </w:rPr>
        <w:t xml:space="preserve"> </w:t>
      </w:r>
      <w:r w:rsidRPr="00CF78B8">
        <w:t>études</w:t>
      </w:r>
      <w:r w:rsidRPr="00CF78B8">
        <w:rPr>
          <w:spacing w:val="-5"/>
        </w:rPr>
        <w:t xml:space="preserve"> </w:t>
      </w:r>
      <w:r w:rsidRPr="00CF78B8">
        <w:t>analysant</w:t>
      </w:r>
      <w:r w:rsidRPr="00CF78B8">
        <w:rPr>
          <w:spacing w:val="-8"/>
        </w:rPr>
        <w:t xml:space="preserve"> </w:t>
      </w:r>
      <w:r w:rsidRPr="00CF78B8">
        <w:t>les</w:t>
      </w:r>
      <w:r w:rsidRPr="00CF78B8">
        <w:rPr>
          <w:spacing w:val="-6"/>
        </w:rPr>
        <w:t xml:space="preserve"> </w:t>
      </w:r>
      <w:r w:rsidRPr="00CF78B8">
        <w:t>rentabilités</w:t>
      </w:r>
      <w:r w:rsidRPr="00CF78B8">
        <w:rPr>
          <w:spacing w:val="-5"/>
        </w:rPr>
        <w:t xml:space="preserve"> </w:t>
      </w:r>
      <w:r w:rsidRPr="00CF78B8">
        <w:t>anormales</w:t>
      </w:r>
      <w:r w:rsidRPr="00CF78B8">
        <w:rPr>
          <w:spacing w:val="-6"/>
        </w:rPr>
        <w:t xml:space="preserve"> </w:t>
      </w:r>
      <w:r w:rsidRPr="00CF78B8">
        <w:t>de</w:t>
      </w:r>
      <w:r w:rsidRPr="00CF78B8">
        <w:rPr>
          <w:spacing w:val="-4"/>
        </w:rPr>
        <w:t xml:space="preserve"> </w:t>
      </w:r>
      <w:r w:rsidRPr="00CF78B8">
        <w:t>la</w:t>
      </w:r>
      <w:r w:rsidRPr="00CF78B8">
        <w:rPr>
          <w:spacing w:val="-9"/>
        </w:rPr>
        <w:t xml:space="preserve"> </w:t>
      </w:r>
      <w:r w:rsidRPr="00CF78B8">
        <w:t>valeur</w:t>
      </w:r>
      <w:r w:rsidRPr="00CF78B8">
        <w:rPr>
          <w:spacing w:val="-3"/>
        </w:rPr>
        <w:t xml:space="preserve"> </w:t>
      </w:r>
      <w:r w:rsidRPr="00CF78B8">
        <w:t>d’une</w:t>
      </w:r>
      <w:r w:rsidRPr="00CF78B8">
        <w:rPr>
          <w:spacing w:val="-9"/>
        </w:rPr>
        <w:t xml:space="preserve"> </w:t>
      </w:r>
      <w:r w:rsidRPr="00CF78B8">
        <w:t>action</w:t>
      </w:r>
      <w:r w:rsidRPr="00CF78B8">
        <w:rPr>
          <w:spacing w:val="-8"/>
        </w:rPr>
        <w:t xml:space="preserve"> </w:t>
      </w:r>
      <w:r w:rsidRPr="00CF78B8">
        <w:t>se</w:t>
      </w:r>
      <w:r w:rsidRPr="00CF78B8">
        <w:rPr>
          <w:spacing w:val="-4"/>
        </w:rPr>
        <w:t xml:space="preserve"> </w:t>
      </w:r>
      <w:r w:rsidRPr="00CF78B8">
        <w:t>sont</w:t>
      </w:r>
      <w:r w:rsidRPr="00CF78B8">
        <w:rPr>
          <w:spacing w:val="-7"/>
        </w:rPr>
        <w:t xml:space="preserve"> </w:t>
      </w:r>
      <w:r w:rsidRPr="00CF78B8">
        <w:t>basées sur l’hypothèse d’efficience des marchés avancée par Fama en 1970. Ainsi, selon ce modèle, il</w:t>
      </w:r>
      <w:r w:rsidRPr="00CF78B8">
        <w:rPr>
          <w:spacing w:val="-40"/>
        </w:rPr>
        <w:t xml:space="preserve"> </w:t>
      </w:r>
      <w:r w:rsidRPr="00CF78B8">
        <w:t xml:space="preserve">est admis </w:t>
      </w:r>
      <w:r w:rsidRPr="00CF78B8">
        <w:lastRenderedPageBreak/>
        <w:t>que les investisseurs prennent en considération toute l’information disponible et évaluent</w:t>
      </w:r>
      <w:r w:rsidRPr="00CF78B8">
        <w:rPr>
          <w:spacing w:val="-28"/>
        </w:rPr>
        <w:t xml:space="preserve"> </w:t>
      </w:r>
      <w:r w:rsidRPr="00CF78B8">
        <w:t>la valeur</w:t>
      </w:r>
      <w:r w:rsidRPr="00CF78B8">
        <w:rPr>
          <w:spacing w:val="-16"/>
        </w:rPr>
        <w:t xml:space="preserve"> </w:t>
      </w:r>
      <w:r w:rsidRPr="00CF78B8">
        <w:t>de</w:t>
      </w:r>
      <w:r w:rsidRPr="00CF78B8">
        <w:rPr>
          <w:spacing w:val="-13"/>
        </w:rPr>
        <w:t xml:space="preserve"> </w:t>
      </w:r>
      <w:r w:rsidRPr="00CF78B8">
        <w:t>l’entreprise</w:t>
      </w:r>
      <w:r w:rsidRPr="00CF78B8">
        <w:rPr>
          <w:spacing w:val="-12"/>
        </w:rPr>
        <w:t xml:space="preserve"> </w:t>
      </w:r>
      <w:r w:rsidRPr="00CF78B8">
        <w:t>en</w:t>
      </w:r>
      <w:r w:rsidRPr="00CF78B8">
        <w:rPr>
          <w:spacing w:val="-17"/>
        </w:rPr>
        <w:t xml:space="preserve"> </w:t>
      </w:r>
      <w:r w:rsidRPr="00CF78B8">
        <w:t>tenant</w:t>
      </w:r>
      <w:r w:rsidRPr="00CF78B8">
        <w:rPr>
          <w:spacing w:val="-13"/>
        </w:rPr>
        <w:t xml:space="preserve"> </w:t>
      </w:r>
      <w:r w:rsidRPr="00CF78B8">
        <w:t>compte</w:t>
      </w:r>
      <w:r w:rsidRPr="00CF78B8">
        <w:rPr>
          <w:spacing w:val="-12"/>
        </w:rPr>
        <w:t xml:space="preserve"> </w:t>
      </w:r>
      <w:r w:rsidRPr="00CF78B8">
        <w:t>de</w:t>
      </w:r>
      <w:r w:rsidRPr="00CF78B8">
        <w:rPr>
          <w:spacing w:val="-13"/>
        </w:rPr>
        <w:t xml:space="preserve"> </w:t>
      </w:r>
      <w:r w:rsidRPr="00CF78B8">
        <w:t>ces</w:t>
      </w:r>
      <w:r w:rsidRPr="00CF78B8">
        <w:rPr>
          <w:spacing w:val="-15"/>
        </w:rPr>
        <w:t xml:space="preserve"> </w:t>
      </w:r>
      <w:r w:rsidRPr="00CF78B8">
        <w:t>facteurs.</w:t>
      </w:r>
      <w:r w:rsidRPr="00CF78B8">
        <w:rPr>
          <w:spacing w:val="-16"/>
        </w:rPr>
        <w:t xml:space="preserve"> </w:t>
      </w:r>
      <w:r w:rsidRPr="00CF78B8">
        <w:t>Lorsqu’une</w:t>
      </w:r>
      <w:r w:rsidRPr="00CF78B8">
        <w:rPr>
          <w:spacing w:val="-18"/>
        </w:rPr>
        <w:t xml:space="preserve"> </w:t>
      </w:r>
      <w:r w:rsidRPr="00CF78B8">
        <w:t>nouvelle</w:t>
      </w:r>
      <w:r w:rsidRPr="00CF78B8">
        <w:rPr>
          <w:spacing w:val="-18"/>
        </w:rPr>
        <w:t xml:space="preserve"> </w:t>
      </w:r>
      <w:r w:rsidRPr="00CF78B8">
        <w:t>information</w:t>
      </w:r>
      <w:r w:rsidRPr="00CF78B8">
        <w:rPr>
          <w:spacing w:val="-16"/>
        </w:rPr>
        <w:t xml:space="preserve"> </w:t>
      </w:r>
      <w:r w:rsidRPr="00CF78B8">
        <w:t>intervient, comme une annonce de faille de sécurité, ces derniers recalculent la valeur de l’entreprise. Ainsi, cette</w:t>
      </w:r>
      <w:r w:rsidRPr="00CF78B8">
        <w:rPr>
          <w:spacing w:val="-15"/>
        </w:rPr>
        <w:t xml:space="preserve"> </w:t>
      </w:r>
      <w:r w:rsidRPr="00CF78B8">
        <w:t>différence</w:t>
      </w:r>
      <w:r w:rsidRPr="00CF78B8">
        <w:rPr>
          <w:spacing w:val="-14"/>
        </w:rPr>
        <w:t xml:space="preserve"> </w:t>
      </w:r>
      <w:r w:rsidRPr="00CF78B8">
        <w:t>représente</w:t>
      </w:r>
      <w:r w:rsidRPr="00CF78B8">
        <w:rPr>
          <w:spacing w:val="-11"/>
        </w:rPr>
        <w:t xml:space="preserve"> </w:t>
      </w:r>
      <w:r w:rsidRPr="00CF78B8">
        <w:t>la</w:t>
      </w:r>
      <w:r w:rsidRPr="00CF78B8">
        <w:rPr>
          <w:spacing w:val="-15"/>
        </w:rPr>
        <w:t xml:space="preserve"> </w:t>
      </w:r>
      <w:r w:rsidRPr="00CF78B8">
        <w:t>variation</w:t>
      </w:r>
      <w:r w:rsidRPr="00CF78B8">
        <w:rPr>
          <w:spacing w:val="-13"/>
        </w:rPr>
        <w:t xml:space="preserve"> </w:t>
      </w:r>
      <w:r w:rsidRPr="00CF78B8">
        <w:t>de</w:t>
      </w:r>
      <w:r w:rsidRPr="00CF78B8">
        <w:rPr>
          <w:spacing w:val="-14"/>
        </w:rPr>
        <w:t xml:space="preserve"> </w:t>
      </w:r>
      <w:r w:rsidRPr="00CF78B8">
        <w:t>valeur</w:t>
      </w:r>
      <w:r w:rsidRPr="00CF78B8">
        <w:rPr>
          <w:spacing w:val="-13"/>
        </w:rPr>
        <w:t xml:space="preserve"> </w:t>
      </w:r>
      <w:r w:rsidRPr="00CF78B8">
        <w:t>de</w:t>
      </w:r>
      <w:r w:rsidRPr="00CF78B8">
        <w:rPr>
          <w:spacing w:val="-14"/>
        </w:rPr>
        <w:t xml:space="preserve"> </w:t>
      </w:r>
      <w:r w:rsidRPr="00CF78B8">
        <w:t>l’entreprise</w:t>
      </w:r>
      <w:r w:rsidRPr="00CF78B8">
        <w:rPr>
          <w:spacing w:val="-11"/>
        </w:rPr>
        <w:t xml:space="preserve"> </w:t>
      </w:r>
      <w:r w:rsidRPr="00CF78B8">
        <w:t>qu’a</w:t>
      </w:r>
      <w:r w:rsidRPr="00CF78B8">
        <w:rPr>
          <w:spacing w:val="-15"/>
        </w:rPr>
        <w:t xml:space="preserve"> </w:t>
      </w:r>
      <w:r w:rsidRPr="00CF78B8">
        <w:t>entraînée</w:t>
      </w:r>
      <w:r w:rsidRPr="00CF78B8">
        <w:rPr>
          <w:spacing w:val="-14"/>
        </w:rPr>
        <w:t xml:space="preserve"> </w:t>
      </w:r>
      <w:r w:rsidRPr="00CF78B8">
        <w:t>l’information</w:t>
      </w:r>
      <w:r w:rsidRPr="00CF78B8">
        <w:rPr>
          <w:spacing w:val="-13"/>
        </w:rPr>
        <w:t xml:space="preserve"> </w:t>
      </w:r>
      <w:r w:rsidRPr="00CF78B8">
        <w:t>rendue publique. Nous pouvons alors comprendre que la réaction des marchés boursiers aux annonces d’évènements</w:t>
      </w:r>
      <w:r w:rsidRPr="00CF78B8">
        <w:rPr>
          <w:spacing w:val="-10"/>
        </w:rPr>
        <w:t xml:space="preserve"> </w:t>
      </w:r>
      <w:r w:rsidRPr="00CF78B8">
        <w:t>est</w:t>
      </w:r>
      <w:r w:rsidRPr="00CF78B8">
        <w:rPr>
          <w:spacing w:val="-9"/>
        </w:rPr>
        <w:t xml:space="preserve"> </w:t>
      </w:r>
      <w:r w:rsidRPr="00CF78B8">
        <w:t>le</w:t>
      </w:r>
      <w:r w:rsidRPr="00CF78B8">
        <w:rPr>
          <w:spacing w:val="-14"/>
        </w:rPr>
        <w:t xml:space="preserve"> </w:t>
      </w:r>
      <w:r w:rsidRPr="00CF78B8">
        <w:t>reflet</w:t>
      </w:r>
      <w:r w:rsidRPr="00CF78B8">
        <w:rPr>
          <w:spacing w:val="-14"/>
        </w:rPr>
        <w:t xml:space="preserve"> </w:t>
      </w:r>
      <w:r w:rsidRPr="00CF78B8">
        <w:t>de</w:t>
      </w:r>
      <w:r w:rsidRPr="00CF78B8">
        <w:rPr>
          <w:spacing w:val="-9"/>
        </w:rPr>
        <w:t xml:space="preserve"> </w:t>
      </w:r>
      <w:r w:rsidRPr="00CF78B8">
        <w:t>la</w:t>
      </w:r>
      <w:r w:rsidRPr="00CF78B8">
        <w:rPr>
          <w:spacing w:val="-9"/>
        </w:rPr>
        <w:t xml:space="preserve"> </w:t>
      </w:r>
      <w:r w:rsidRPr="00CF78B8">
        <w:t>perception</w:t>
      </w:r>
      <w:r w:rsidRPr="00CF78B8">
        <w:rPr>
          <w:spacing w:val="-8"/>
        </w:rPr>
        <w:t xml:space="preserve"> </w:t>
      </w:r>
      <w:r w:rsidRPr="00CF78B8">
        <w:t>des</w:t>
      </w:r>
      <w:r w:rsidRPr="00CF78B8">
        <w:rPr>
          <w:spacing w:val="-11"/>
        </w:rPr>
        <w:t xml:space="preserve"> </w:t>
      </w:r>
      <w:r w:rsidRPr="00CF78B8">
        <w:t>investisseurs</w:t>
      </w:r>
      <w:r w:rsidRPr="00CF78B8">
        <w:rPr>
          <w:spacing w:val="-4"/>
        </w:rPr>
        <w:t xml:space="preserve"> </w:t>
      </w:r>
      <w:r w:rsidRPr="00CF78B8">
        <w:t>quant</w:t>
      </w:r>
      <w:r w:rsidRPr="00CF78B8">
        <w:rPr>
          <w:spacing w:val="-14"/>
        </w:rPr>
        <w:t xml:space="preserve"> </w:t>
      </w:r>
      <w:r w:rsidRPr="00CF78B8">
        <w:t>au</w:t>
      </w:r>
      <w:r w:rsidRPr="00CF78B8">
        <w:rPr>
          <w:spacing w:val="-13"/>
        </w:rPr>
        <w:t xml:space="preserve"> </w:t>
      </w:r>
      <w:r w:rsidRPr="00CF78B8">
        <w:t>potentiel</w:t>
      </w:r>
      <w:r w:rsidRPr="00CF78B8">
        <w:rPr>
          <w:spacing w:val="-9"/>
        </w:rPr>
        <w:t xml:space="preserve"> </w:t>
      </w:r>
      <w:r w:rsidRPr="00CF78B8">
        <w:t>futur</w:t>
      </w:r>
      <w:r w:rsidRPr="00CF78B8">
        <w:rPr>
          <w:spacing w:val="-12"/>
        </w:rPr>
        <w:t xml:space="preserve"> </w:t>
      </w:r>
      <w:r w:rsidRPr="00CF78B8">
        <w:t>de</w:t>
      </w:r>
      <w:r w:rsidRPr="00CF78B8">
        <w:rPr>
          <w:spacing w:val="-9"/>
        </w:rPr>
        <w:t xml:space="preserve"> </w:t>
      </w:r>
      <w:r w:rsidRPr="00CF78B8">
        <w:t>l’entreprise. Ce modèle appliqué aux failles de sécurité informatique permettrait d’avancer que suite à une annonce, les investisseurs considéreraient la faille comme une menace potentielle pour les performances</w:t>
      </w:r>
      <w:r w:rsidRPr="00CF78B8">
        <w:rPr>
          <w:spacing w:val="-7"/>
        </w:rPr>
        <w:t xml:space="preserve"> </w:t>
      </w:r>
      <w:r w:rsidRPr="00CF78B8">
        <w:t>futures.</w:t>
      </w:r>
      <w:r w:rsidRPr="00CF78B8">
        <w:rPr>
          <w:spacing w:val="-9"/>
        </w:rPr>
        <w:t xml:space="preserve"> </w:t>
      </w:r>
      <w:r w:rsidRPr="00CF78B8">
        <w:t>Ces</w:t>
      </w:r>
      <w:r w:rsidRPr="00CF78B8">
        <w:rPr>
          <w:spacing w:val="-2"/>
        </w:rPr>
        <w:t xml:space="preserve"> </w:t>
      </w:r>
      <w:r w:rsidRPr="00CF78B8">
        <w:t>annoncent</w:t>
      </w:r>
      <w:r w:rsidRPr="00CF78B8">
        <w:rPr>
          <w:spacing w:val="-10"/>
        </w:rPr>
        <w:t xml:space="preserve"> </w:t>
      </w:r>
      <w:r w:rsidRPr="00CF78B8">
        <w:t>pourraient</w:t>
      </w:r>
      <w:r w:rsidRPr="00CF78B8">
        <w:rPr>
          <w:spacing w:val="-5"/>
        </w:rPr>
        <w:t xml:space="preserve"> </w:t>
      </w:r>
      <w:r w:rsidRPr="00CF78B8">
        <w:t>également</w:t>
      </w:r>
      <w:r w:rsidRPr="00CF78B8">
        <w:rPr>
          <w:spacing w:val="-2"/>
        </w:rPr>
        <w:t xml:space="preserve"> </w:t>
      </w:r>
      <w:r w:rsidRPr="00CF78B8">
        <w:t>entraîner</w:t>
      </w:r>
      <w:r w:rsidRPr="00CF78B8">
        <w:rPr>
          <w:spacing w:val="-8"/>
        </w:rPr>
        <w:t xml:space="preserve"> </w:t>
      </w:r>
      <w:r w:rsidRPr="00CF78B8">
        <w:t>d’autres</w:t>
      </w:r>
      <w:r w:rsidRPr="00CF78B8">
        <w:rPr>
          <w:spacing w:val="-2"/>
        </w:rPr>
        <w:t xml:space="preserve"> </w:t>
      </w:r>
      <w:r w:rsidRPr="00CF78B8">
        <w:t>coûts</w:t>
      </w:r>
      <w:r w:rsidRPr="00CF78B8">
        <w:rPr>
          <w:spacing w:val="-7"/>
        </w:rPr>
        <w:t xml:space="preserve"> </w:t>
      </w:r>
      <w:r w:rsidRPr="00CF78B8">
        <w:t>divers</w:t>
      </w:r>
      <w:r w:rsidRPr="00CF78B8">
        <w:rPr>
          <w:spacing w:val="-7"/>
        </w:rPr>
        <w:t xml:space="preserve"> </w:t>
      </w:r>
      <w:r w:rsidRPr="00CF78B8">
        <w:t>pouvant impacter la capacité de l’entreprise à produire des bénéfices à court et moyen terme. Enfin, les failles de sécurités peuvent être directement perçues par les investisseurs comme une menace puisque l’entreprise apparaît alors incapable de protéger correctement ses systèmes d’information et toutes les données plus ou moins confidentielles qu’ils</w:t>
      </w:r>
      <w:r w:rsidRPr="00CF78B8">
        <w:rPr>
          <w:spacing w:val="1"/>
        </w:rPr>
        <w:t xml:space="preserve"> </w:t>
      </w:r>
      <w:r w:rsidRPr="00CF78B8">
        <w:t>contiennent.</w:t>
      </w:r>
      <w:r w:rsidR="00A5268B">
        <w:t xml:space="preserve"> </w:t>
      </w:r>
      <w:r w:rsidRPr="00CF78B8">
        <w:t>Ces constats premiers nous permettent de poser la première hypothèse, à savoir :</w:t>
      </w:r>
    </w:p>
    <w:p w:rsidR="003E7CF5" w:rsidRPr="00CF78B8" w:rsidRDefault="00024B00" w:rsidP="00CF78B8">
      <w:pPr>
        <w:pStyle w:val="Corpsdetexte"/>
        <w:spacing w:before="240" w:after="240" w:line="360" w:lineRule="auto"/>
        <w:ind w:right="1521"/>
        <w:jc w:val="both"/>
      </w:pPr>
      <w:r w:rsidRPr="00CF78B8">
        <w:rPr>
          <w:b/>
        </w:rPr>
        <w:t xml:space="preserve">Hypothèse n°1 : </w:t>
      </w:r>
      <w:r w:rsidRPr="00CF78B8">
        <w:t>Une atteinte à la sécurité des systèmes d’information d’une entreprise entraîne une rentabilité anormalement négative de la valeur de ses actions lorsqu’elle est rendue publique.</w:t>
      </w:r>
    </w:p>
    <w:p w:rsidR="003E7CF5" w:rsidRPr="00CF78B8" w:rsidRDefault="00024B00" w:rsidP="00CF78B8">
      <w:pPr>
        <w:pStyle w:val="Corpsdetexte"/>
        <w:spacing w:before="240" w:after="240" w:line="360" w:lineRule="auto"/>
        <w:ind w:right="1521"/>
        <w:jc w:val="both"/>
      </w:pPr>
      <w:r w:rsidRPr="00CF78B8">
        <w:t>Les</w:t>
      </w:r>
      <w:r w:rsidRPr="00CF78B8">
        <w:rPr>
          <w:spacing w:val="-6"/>
        </w:rPr>
        <w:t xml:space="preserve"> </w:t>
      </w:r>
      <w:r w:rsidRPr="00CF78B8">
        <w:t>failles</w:t>
      </w:r>
      <w:r w:rsidRPr="00CF78B8">
        <w:rPr>
          <w:spacing w:val="-5"/>
        </w:rPr>
        <w:t xml:space="preserve"> </w:t>
      </w:r>
      <w:r w:rsidRPr="00CF78B8">
        <w:t>de</w:t>
      </w:r>
      <w:r w:rsidRPr="00CF78B8">
        <w:rPr>
          <w:spacing w:val="-8"/>
        </w:rPr>
        <w:t xml:space="preserve"> </w:t>
      </w:r>
      <w:r w:rsidRPr="00CF78B8">
        <w:t>sécurité</w:t>
      </w:r>
      <w:r w:rsidRPr="00CF78B8">
        <w:rPr>
          <w:spacing w:val="-1"/>
        </w:rPr>
        <w:t xml:space="preserve"> </w:t>
      </w:r>
      <w:r w:rsidRPr="00CF78B8">
        <w:t>vont</w:t>
      </w:r>
      <w:r w:rsidRPr="00CF78B8">
        <w:rPr>
          <w:spacing w:val="-3"/>
        </w:rPr>
        <w:t xml:space="preserve"> </w:t>
      </w:r>
      <w:r w:rsidRPr="00CF78B8">
        <w:t>également</w:t>
      </w:r>
      <w:r w:rsidRPr="00CF78B8">
        <w:rPr>
          <w:spacing w:val="-8"/>
        </w:rPr>
        <w:t xml:space="preserve"> </w:t>
      </w:r>
      <w:r w:rsidRPr="00CF78B8">
        <w:t>impacter</w:t>
      </w:r>
      <w:r w:rsidRPr="00CF78B8">
        <w:rPr>
          <w:spacing w:val="-2"/>
        </w:rPr>
        <w:t xml:space="preserve"> </w:t>
      </w:r>
      <w:r w:rsidRPr="00CF78B8">
        <w:t>la</w:t>
      </w:r>
      <w:r w:rsidRPr="00CF78B8">
        <w:rPr>
          <w:spacing w:val="-8"/>
        </w:rPr>
        <w:t xml:space="preserve"> </w:t>
      </w:r>
      <w:r w:rsidRPr="00CF78B8">
        <w:t>perception</w:t>
      </w:r>
      <w:r w:rsidRPr="00CF78B8">
        <w:rPr>
          <w:spacing w:val="-3"/>
        </w:rPr>
        <w:t xml:space="preserve"> </w:t>
      </w:r>
      <w:r w:rsidRPr="00CF78B8">
        <w:t>des</w:t>
      </w:r>
      <w:r w:rsidRPr="00CF78B8">
        <w:rPr>
          <w:spacing w:val="-5"/>
        </w:rPr>
        <w:t xml:space="preserve"> </w:t>
      </w:r>
      <w:r w:rsidRPr="00CF78B8">
        <w:t>clients</w:t>
      </w:r>
      <w:r w:rsidRPr="00CF78B8">
        <w:rPr>
          <w:spacing w:val="-5"/>
        </w:rPr>
        <w:t xml:space="preserve"> </w:t>
      </w:r>
      <w:r w:rsidRPr="00CF78B8">
        <w:t>et</w:t>
      </w:r>
      <w:r w:rsidRPr="00CF78B8">
        <w:rPr>
          <w:spacing w:val="-4"/>
        </w:rPr>
        <w:t xml:space="preserve"> </w:t>
      </w:r>
      <w:r w:rsidRPr="00CF78B8">
        <w:t>utilisateurs</w:t>
      </w:r>
      <w:r w:rsidRPr="00CF78B8">
        <w:rPr>
          <w:spacing w:val="-5"/>
        </w:rPr>
        <w:t xml:space="preserve"> </w:t>
      </w:r>
      <w:r w:rsidRPr="00CF78B8">
        <w:t>des</w:t>
      </w:r>
      <w:r w:rsidRPr="00CF78B8">
        <w:rPr>
          <w:spacing w:val="-5"/>
        </w:rPr>
        <w:t xml:space="preserve"> </w:t>
      </w:r>
      <w:r w:rsidRPr="00CF78B8">
        <w:t>services relatifs proposés. Ces derniers peuvent alors remettre en question l’efficacité, la fiabilité et la capacité des systèmes d’information, des outils déployés tels que les pare-feu et systèmes anti- intrusion. Ces lacunes témoigneront d’une mauvaise gestion de la sécurité aux yeux des clients et d’une</w:t>
      </w:r>
      <w:r w:rsidRPr="00CF78B8">
        <w:rPr>
          <w:spacing w:val="-14"/>
        </w:rPr>
        <w:t xml:space="preserve"> </w:t>
      </w:r>
      <w:r w:rsidRPr="00CF78B8">
        <w:t>potentielle</w:t>
      </w:r>
      <w:r w:rsidRPr="00CF78B8">
        <w:rPr>
          <w:spacing w:val="-9"/>
        </w:rPr>
        <w:t xml:space="preserve"> </w:t>
      </w:r>
      <w:r w:rsidRPr="00CF78B8">
        <w:t>menace</w:t>
      </w:r>
      <w:r w:rsidRPr="00CF78B8">
        <w:rPr>
          <w:spacing w:val="-14"/>
        </w:rPr>
        <w:t xml:space="preserve"> </w:t>
      </w:r>
      <w:r w:rsidRPr="00CF78B8">
        <w:t>pour</w:t>
      </w:r>
      <w:r w:rsidRPr="00CF78B8">
        <w:rPr>
          <w:spacing w:val="-7"/>
        </w:rPr>
        <w:t xml:space="preserve"> </w:t>
      </w:r>
      <w:r w:rsidRPr="00CF78B8">
        <w:t>leurs</w:t>
      </w:r>
      <w:r w:rsidRPr="00CF78B8">
        <w:rPr>
          <w:spacing w:val="-11"/>
        </w:rPr>
        <w:t xml:space="preserve"> </w:t>
      </w:r>
      <w:r w:rsidRPr="00CF78B8">
        <w:t>données</w:t>
      </w:r>
      <w:r w:rsidRPr="00CF78B8">
        <w:rPr>
          <w:spacing w:val="-11"/>
        </w:rPr>
        <w:t xml:space="preserve"> </w:t>
      </w:r>
      <w:r w:rsidRPr="00CF78B8">
        <w:t>personnelles.</w:t>
      </w:r>
      <w:r w:rsidRPr="00CF78B8">
        <w:rPr>
          <w:spacing w:val="-6"/>
        </w:rPr>
        <w:t xml:space="preserve"> </w:t>
      </w:r>
      <w:r w:rsidRPr="00CF78B8">
        <w:t>Cette</w:t>
      </w:r>
      <w:r w:rsidRPr="00CF78B8">
        <w:rPr>
          <w:spacing w:val="-14"/>
        </w:rPr>
        <w:t xml:space="preserve"> </w:t>
      </w:r>
      <w:r w:rsidRPr="00CF78B8">
        <w:t>perte</w:t>
      </w:r>
      <w:r w:rsidRPr="00CF78B8">
        <w:rPr>
          <w:spacing w:val="-13"/>
        </w:rPr>
        <w:t xml:space="preserve"> </w:t>
      </w:r>
      <w:r w:rsidRPr="00CF78B8">
        <w:t>de</w:t>
      </w:r>
      <w:r w:rsidRPr="00CF78B8">
        <w:rPr>
          <w:spacing w:val="-9"/>
        </w:rPr>
        <w:t xml:space="preserve"> </w:t>
      </w:r>
      <w:r w:rsidRPr="00CF78B8">
        <w:t>confiance</w:t>
      </w:r>
      <w:r w:rsidRPr="00CF78B8">
        <w:rPr>
          <w:spacing w:val="-9"/>
        </w:rPr>
        <w:t xml:space="preserve"> </w:t>
      </w:r>
      <w:r w:rsidRPr="00CF78B8">
        <w:t>laisse</w:t>
      </w:r>
      <w:r w:rsidRPr="00CF78B8">
        <w:rPr>
          <w:spacing w:val="-9"/>
        </w:rPr>
        <w:t xml:space="preserve"> </w:t>
      </w:r>
      <w:r w:rsidRPr="00CF78B8">
        <w:t>entrevoir une</w:t>
      </w:r>
      <w:r w:rsidRPr="00CF78B8">
        <w:rPr>
          <w:spacing w:val="-8"/>
        </w:rPr>
        <w:t xml:space="preserve"> </w:t>
      </w:r>
      <w:r w:rsidRPr="00CF78B8">
        <w:t>mauvaise</w:t>
      </w:r>
      <w:r w:rsidRPr="00CF78B8">
        <w:rPr>
          <w:spacing w:val="-7"/>
        </w:rPr>
        <w:t xml:space="preserve"> </w:t>
      </w:r>
      <w:r w:rsidRPr="00CF78B8">
        <w:t>gestion</w:t>
      </w:r>
      <w:r w:rsidRPr="00CF78B8">
        <w:rPr>
          <w:spacing w:val="-4"/>
        </w:rPr>
        <w:t xml:space="preserve"> </w:t>
      </w:r>
      <w:r w:rsidRPr="00CF78B8">
        <w:t>stratégique</w:t>
      </w:r>
      <w:r w:rsidRPr="00CF78B8">
        <w:rPr>
          <w:spacing w:val="-7"/>
        </w:rPr>
        <w:t xml:space="preserve"> </w:t>
      </w:r>
      <w:r w:rsidRPr="00CF78B8">
        <w:t>et</w:t>
      </w:r>
      <w:r w:rsidRPr="00CF78B8">
        <w:rPr>
          <w:spacing w:val="-7"/>
        </w:rPr>
        <w:t xml:space="preserve"> </w:t>
      </w:r>
      <w:r w:rsidRPr="00CF78B8">
        <w:t>globale</w:t>
      </w:r>
      <w:r w:rsidRPr="00CF78B8">
        <w:rPr>
          <w:spacing w:val="-8"/>
        </w:rPr>
        <w:t xml:space="preserve"> </w:t>
      </w:r>
      <w:r w:rsidRPr="00CF78B8">
        <w:t>de</w:t>
      </w:r>
      <w:r w:rsidRPr="00CF78B8">
        <w:rPr>
          <w:spacing w:val="-7"/>
        </w:rPr>
        <w:t xml:space="preserve"> </w:t>
      </w:r>
      <w:r w:rsidRPr="00CF78B8">
        <w:t>l’entreprise</w:t>
      </w:r>
      <w:r w:rsidRPr="00CF78B8">
        <w:rPr>
          <w:spacing w:val="-7"/>
        </w:rPr>
        <w:t xml:space="preserve"> </w:t>
      </w:r>
      <w:r w:rsidRPr="00CF78B8">
        <w:t>en</w:t>
      </w:r>
      <w:r w:rsidRPr="00CF78B8">
        <w:rPr>
          <w:spacing w:val="-7"/>
        </w:rPr>
        <w:t xml:space="preserve"> </w:t>
      </w:r>
      <w:r w:rsidRPr="00CF78B8">
        <w:t>question</w:t>
      </w:r>
      <w:r w:rsidRPr="00CF78B8">
        <w:rPr>
          <w:spacing w:val="-6"/>
        </w:rPr>
        <w:t xml:space="preserve"> </w:t>
      </w:r>
      <w:r w:rsidRPr="00CF78B8">
        <w:t>pouvant</w:t>
      </w:r>
      <w:r w:rsidRPr="00CF78B8">
        <w:rPr>
          <w:spacing w:val="-8"/>
        </w:rPr>
        <w:t xml:space="preserve"> </w:t>
      </w:r>
      <w:r w:rsidRPr="00CF78B8">
        <w:t>entraîner</w:t>
      </w:r>
      <w:r w:rsidRPr="00CF78B8">
        <w:rPr>
          <w:spacing w:val="-6"/>
        </w:rPr>
        <w:t xml:space="preserve"> </w:t>
      </w:r>
      <w:r w:rsidRPr="00CF78B8">
        <w:t>une</w:t>
      </w:r>
      <w:r w:rsidRPr="00CF78B8">
        <w:rPr>
          <w:spacing w:val="-7"/>
        </w:rPr>
        <w:t xml:space="preserve"> </w:t>
      </w:r>
      <w:r w:rsidRPr="00CF78B8">
        <w:t xml:space="preserve">perte de confiance des parties prenantes. De plus, nombre d’entreprises collectent et détiennent des données très sensibles sur les collaborateurs, prospects, clients et processus internes ou nationaux. C’est le cas notamment des entreprises du secteur de l’armement, </w:t>
      </w:r>
      <w:r w:rsidRPr="00CF78B8">
        <w:rPr>
          <w:spacing w:val="4"/>
        </w:rPr>
        <w:t xml:space="preserve">du </w:t>
      </w:r>
      <w:r w:rsidRPr="00CF78B8">
        <w:t>médical, de la finance et des énergies. Cependant, il n’est pas rare que ces entreprises aient dû faire face à diverses attaques</w:t>
      </w:r>
      <w:r w:rsidR="00CF78B8" w:rsidRPr="00CF78B8">
        <w:rPr>
          <w:spacing w:val="-38"/>
        </w:rPr>
        <w:t xml:space="preserve"> ces </w:t>
      </w:r>
      <w:r w:rsidRPr="00CF78B8">
        <w:t>dix dernières années, parfois réussies et non sans conséquence. Ainsi, nous pouvons annoncer la seconde hypothèse, à savoir :</w:t>
      </w:r>
    </w:p>
    <w:p w:rsidR="003E7CF5" w:rsidRPr="00CF78B8" w:rsidRDefault="00024B00" w:rsidP="00CF78B8">
      <w:pPr>
        <w:pStyle w:val="Corpsdetexte"/>
        <w:spacing w:before="240" w:after="240" w:line="360" w:lineRule="auto"/>
        <w:ind w:right="1521"/>
        <w:jc w:val="both"/>
      </w:pPr>
      <w:r w:rsidRPr="00CF78B8">
        <w:rPr>
          <w:b/>
        </w:rPr>
        <w:t xml:space="preserve">Hypothèse 2 : </w:t>
      </w:r>
      <w:r w:rsidRPr="00CF78B8">
        <w:t>Une atteinte à la sécurité des systèmes d’information d’une entreprise entraîne une rentabilité anormalement négative sur la valeur de ses actions lorsqu’elle est rendue publique en fonction de son secteur d’activité.</w:t>
      </w:r>
    </w:p>
    <w:p w:rsidR="003E7CF5" w:rsidRPr="00CF78B8" w:rsidRDefault="00024B00" w:rsidP="00CF78B8">
      <w:pPr>
        <w:pStyle w:val="Corpsdetexte"/>
        <w:spacing w:before="240" w:after="240" w:line="360" w:lineRule="auto"/>
        <w:ind w:right="1521"/>
        <w:jc w:val="both"/>
      </w:pPr>
      <w:r w:rsidRPr="00CF78B8">
        <w:lastRenderedPageBreak/>
        <w:t>De plus, ces dernières années les attaques se sont multipliées, complexifiées et ont eu des impacts de plus en plus importants. Face à ces enjeux, chaque acteur a dû se saisir de ces phénomènes et mettre en place des mesures parfois imposées et réglementaires ou non. En mai 2018 est entré en vigueur le Règlement Européen sur la Protection des Données (RGPD). Il harmonise les règles et les pratiques européennes, applicables en matière de protection des données à caractère</w:t>
      </w:r>
      <w:r w:rsidRPr="00CF78B8">
        <w:rPr>
          <w:spacing w:val="-32"/>
        </w:rPr>
        <w:t xml:space="preserve"> </w:t>
      </w:r>
      <w:r w:rsidRPr="00CF78B8">
        <w:t>personnel. Il concerne les entités publiques ou privées, établies dans l’UE ou touchant des personnes dans l’UE, les entreprises de toutes tailles, administrations et collectivités qui traitent des données à caractère personnel sont concernées. (ANSSI,</w:t>
      </w:r>
      <w:r w:rsidRPr="00CF78B8">
        <w:rPr>
          <w:spacing w:val="-3"/>
        </w:rPr>
        <w:t xml:space="preserve"> </w:t>
      </w:r>
      <w:r w:rsidRPr="00CF78B8">
        <w:t>2018).</w:t>
      </w:r>
    </w:p>
    <w:p w:rsidR="003E7CF5" w:rsidRPr="00CF78B8" w:rsidRDefault="00024B00" w:rsidP="00CF78B8">
      <w:pPr>
        <w:pStyle w:val="Corpsdetexte"/>
        <w:spacing w:before="240" w:after="240" w:line="360" w:lineRule="auto"/>
        <w:ind w:right="1521"/>
        <w:jc w:val="both"/>
      </w:pPr>
      <w:r w:rsidRPr="00CF78B8">
        <w:t>Aujourd’hui, les entreprises européennes ont donc en partie l’obligation de déclarer aux autorités compétentes lorsqu’elles ont fait l’objet d’une atteinte aux données personnelles qu’elles possédaient et peuvent être sanctionnées pour ces faits. Les clients et investisseurs devraient donc quelque part se sentir rassurés par ces mesures et les investissements réalisés par les entreprises. Ainsi, notamment pour mettre en conformité les systèmes et processus métiers, les dépenses en cybersécurité progressent trois fois plus vite que la dépense informatique totale avec une perspective de +8,6% en 2020. (IDC, 2019)</w:t>
      </w:r>
    </w:p>
    <w:p w:rsidR="003E7CF5" w:rsidRPr="00CF78B8" w:rsidRDefault="00024B00" w:rsidP="00CF78B8">
      <w:pPr>
        <w:pStyle w:val="Corpsdetexte"/>
        <w:spacing w:before="240" w:after="240" w:line="360" w:lineRule="auto"/>
        <w:ind w:right="1521"/>
        <w:jc w:val="both"/>
      </w:pPr>
      <w:r w:rsidRPr="00CF78B8">
        <w:t>Cependant</w:t>
      </w:r>
      <w:r w:rsidRPr="00CF78B8">
        <w:rPr>
          <w:spacing w:val="-16"/>
        </w:rPr>
        <w:t xml:space="preserve"> </w:t>
      </w:r>
      <w:r w:rsidRPr="00CF78B8">
        <w:t>les</w:t>
      </w:r>
      <w:r w:rsidRPr="00CF78B8">
        <w:rPr>
          <w:spacing w:val="-13"/>
        </w:rPr>
        <w:t xml:space="preserve"> </w:t>
      </w:r>
      <w:r w:rsidRPr="00CF78B8">
        <w:t>entreprises</w:t>
      </w:r>
      <w:r w:rsidRPr="00CF78B8">
        <w:rPr>
          <w:spacing w:val="-13"/>
        </w:rPr>
        <w:t xml:space="preserve"> </w:t>
      </w:r>
      <w:r w:rsidRPr="00CF78B8">
        <w:t>peuvent</w:t>
      </w:r>
      <w:r w:rsidRPr="00CF78B8">
        <w:rPr>
          <w:spacing w:val="-16"/>
        </w:rPr>
        <w:t xml:space="preserve"> </w:t>
      </w:r>
      <w:r w:rsidRPr="00CF78B8">
        <w:t>subir</w:t>
      </w:r>
      <w:r w:rsidRPr="00CF78B8">
        <w:rPr>
          <w:spacing w:val="-14"/>
        </w:rPr>
        <w:t xml:space="preserve"> </w:t>
      </w:r>
      <w:r w:rsidRPr="00CF78B8">
        <w:t>différents</w:t>
      </w:r>
      <w:r w:rsidRPr="00CF78B8">
        <w:rPr>
          <w:spacing w:val="-13"/>
        </w:rPr>
        <w:t xml:space="preserve"> </w:t>
      </w:r>
      <w:r w:rsidRPr="00CF78B8">
        <w:t>types</w:t>
      </w:r>
      <w:r w:rsidRPr="00CF78B8">
        <w:rPr>
          <w:spacing w:val="-13"/>
        </w:rPr>
        <w:t xml:space="preserve"> </w:t>
      </w:r>
      <w:r w:rsidRPr="00CF78B8">
        <w:t>d’atteintes</w:t>
      </w:r>
      <w:r w:rsidRPr="00CF78B8">
        <w:rPr>
          <w:spacing w:val="-13"/>
        </w:rPr>
        <w:t xml:space="preserve"> </w:t>
      </w:r>
      <w:r w:rsidRPr="00CF78B8">
        <w:t>et</w:t>
      </w:r>
      <w:r w:rsidRPr="00CF78B8">
        <w:rPr>
          <w:spacing w:val="-16"/>
        </w:rPr>
        <w:t xml:space="preserve"> </w:t>
      </w:r>
      <w:r w:rsidRPr="00CF78B8">
        <w:t>failles</w:t>
      </w:r>
      <w:r w:rsidRPr="00CF78B8">
        <w:rPr>
          <w:spacing w:val="-13"/>
        </w:rPr>
        <w:t xml:space="preserve"> </w:t>
      </w:r>
      <w:r w:rsidRPr="00CF78B8">
        <w:t>de</w:t>
      </w:r>
      <w:r w:rsidRPr="00CF78B8">
        <w:rPr>
          <w:spacing w:val="-16"/>
        </w:rPr>
        <w:t xml:space="preserve"> </w:t>
      </w:r>
      <w:r w:rsidRPr="00CF78B8">
        <w:t>sécurité</w:t>
      </w:r>
      <w:r w:rsidRPr="00CF78B8">
        <w:rPr>
          <w:spacing w:val="-7"/>
        </w:rPr>
        <w:t xml:space="preserve"> </w:t>
      </w:r>
      <w:r w:rsidRPr="00CF78B8">
        <w:t>ne</w:t>
      </w:r>
      <w:r w:rsidRPr="00CF78B8">
        <w:rPr>
          <w:spacing w:val="-16"/>
        </w:rPr>
        <w:t xml:space="preserve"> </w:t>
      </w:r>
      <w:r w:rsidRPr="00CF78B8">
        <w:t>touchant pas systématiquement des données personnelles. Depuis dix ans, les types d’atteintes à la sécurité ont été très variés. Chaque atteinte peut avoir des conséquences différentes en fonction des entreprises</w:t>
      </w:r>
      <w:r w:rsidRPr="00CF78B8">
        <w:rPr>
          <w:spacing w:val="-6"/>
        </w:rPr>
        <w:t xml:space="preserve"> </w:t>
      </w:r>
      <w:r w:rsidRPr="00CF78B8">
        <w:t>et</w:t>
      </w:r>
      <w:r w:rsidRPr="00CF78B8">
        <w:rPr>
          <w:spacing w:val="-8"/>
        </w:rPr>
        <w:t xml:space="preserve"> </w:t>
      </w:r>
      <w:r w:rsidRPr="00CF78B8">
        <w:t>objectifs</w:t>
      </w:r>
      <w:r w:rsidRPr="00CF78B8">
        <w:rPr>
          <w:spacing w:val="-5"/>
        </w:rPr>
        <w:t xml:space="preserve"> </w:t>
      </w:r>
      <w:r w:rsidRPr="00CF78B8">
        <w:t>de</w:t>
      </w:r>
      <w:r w:rsidRPr="00CF78B8">
        <w:rPr>
          <w:spacing w:val="-3"/>
        </w:rPr>
        <w:t xml:space="preserve"> </w:t>
      </w:r>
      <w:r w:rsidRPr="00CF78B8">
        <w:t>l’attaque.</w:t>
      </w:r>
      <w:r w:rsidRPr="00CF78B8">
        <w:rPr>
          <w:spacing w:val="-3"/>
        </w:rPr>
        <w:t xml:space="preserve"> </w:t>
      </w:r>
      <w:r w:rsidRPr="00CF78B8">
        <w:t>Outre</w:t>
      </w:r>
      <w:r w:rsidRPr="00CF78B8">
        <w:rPr>
          <w:spacing w:val="-9"/>
        </w:rPr>
        <w:t xml:space="preserve"> </w:t>
      </w:r>
      <w:r w:rsidRPr="00CF78B8">
        <w:t>les</w:t>
      </w:r>
      <w:r w:rsidRPr="00CF78B8">
        <w:rPr>
          <w:spacing w:val="-5"/>
        </w:rPr>
        <w:t xml:space="preserve"> </w:t>
      </w:r>
      <w:r w:rsidRPr="00CF78B8">
        <w:t>atteintes</w:t>
      </w:r>
      <w:r w:rsidRPr="00CF78B8">
        <w:rPr>
          <w:spacing w:val="-5"/>
        </w:rPr>
        <w:t xml:space="preserve"> </w:t>
      </w:r>
      <w:r w:rsidRPr="00CF78B8">
        <w:t>aux</w:t>
      </w:r>
      <w:r w:rsidRPr="00CF78B8">
        <w:rPr>
          <w:spacing w:val="-7"/>
        </w:rPr>
        <w:t xml:space="preserve"> </w:t>
      </w:r>
      <w:r w:rsidRPr="00CF78B8">
        <w:t>données</w:t>
      </w:r>
      <w:r w:rsidRPr="00CF78B8">
        <w:rPr>
          <w:spacing w:val="-5"/>
        </w:rPr>
        <w:t xml:space="preserve"> </w:t>
      </w:r>
      <w:r w:rsidRPr="00CF78B8">
        <w:t>personnelles qui</w:t>
      </w:r>
      <w:r w:rsidRPr="00CF78B8">
        <w:rPr>
          <w:spacing w:val="-8"/>
        </w:rPr>
        <w:t xml:space="preserve"> </w:t>
      </w:r>
      <w:r w:rsidRPr="00CF78B8">
        <w:t>sont</w:t>
      </w:r>
      <w:r w:rsidRPr="00CF78B8">
        <w:rPr>
          <w:spacing w:val="-8"/>
        </w:rPr>
        <w:t xml:space="preserve"> </w:t>
      </w:r>
      <w:r w:rsidRPr="00CF78B8">
        <w:t>à</w:t>
      </w:r>
      <w:r w:rsidRPr="00CF78B8">
        <w:rPr>
          <w:spacing w:val="-3"/>
        </w:rPr>
        <w:t xml:space="preserve"> </w:t>
      </w:r>
      <w:r w:rsidRPr="00CF78B8">
        <w:t>présent sanctionnées,</w:t>
      </w:r>
      <w:r w:rsidRPr="00CF78B8">
        <w:rPr>
          <w:spacing w:val="-9"/>
        </w:rPr>
        <w:t xml:space="preserve"> </w:t>
      </w:r>
      <w:r w:rsidRPr="00CF78B8">
        <w:t>l’accès</w:t>
      </w:r>
      <w:r w:rsidRPr="00CF78B8">
        <w:rPr>
          <w:spacing w:val="-7"/>
        </w:rPr>
        <w:t xml:space="preserve"> </w:t>
      </w:r>
      <w:r w:rsidRPr="00CF78B8">
        <w:t>non</w:t>
      </w:r>
      <w:r w:rsidRPr="00CF78B8">
        <w:rPr>
          <w:spacing w:val="-9"/>
        </w:rPr>
        <w:t xml:space="preserve"> </w:t>
      </w:r>
      <w:r w:rsidRPr="00CF78B8">
        <w:t>autorisé</w:t>
      </w:r>
      <w:r w:rsidRPr="00CF78B8">
        <w:rPr>
          <w:spacing w:val="-9"/>
        </w:rPr>
        <w:t xml:space="preserve"> </w:t>
      </w:r>
      <w:r w:rsidRPr="00CF78B8">
        <w:t>aux</w:t>
      </w:r>
      <w:r w:rsidRPr="00CF78B8">
        <w:rPr>
          <w:spacing w:val="-9"/>
        </w:rPr>
        <w:t xml:space="preserve"> </w:t>
      </w:r>
      <w:r w:rsidRPr="00CF78B8">
        <w:t>informations</w:t>
      </w:r>
      <w:r w:rsidRPr="00CF78B8">
        <w:rPr>
          <w:spacing w:val="-7"/>
        </w:rPr>
        <w:t xml:space="preserve"> </w:t>
      </w:r>
      <w:r w:rsidRPr="00CF78B8">
        <w:t>confidentielles</w:t>
      </w:r>
      <w:r w:rsidRPr="00CF78B8">
        <w:rPr>
          <w:spacing w:val="-8"/>
        </w:rPr>
        <w:t xml:space="preserve"> </w:t>
      </w:r>
      <w:r w:rsidRPr="00CF78B8">
        <w:t>des</w:t>
      </w:r>
      <w:r w:rsidRPr="00CF78B8">
        <w:rPr>
          <w:spacing w:val="-7"/>
        </w:rPr>
        <w:t xml:space="preserve"> </w:t>
      </w:r>
      <w:r w:rsidRPr="00CF78B8">
        <w:t>entreprises</w:t>
      </w:r>
      <w:r w:rsidRPr="00CF78B8">
        <w:rPr>
          <w:spacing w:val="-3"/>
        </w:rPr>
        <w:t xml:space="preserve"> </w:t>
      </w:r>
      <w:r w:rsidRPr="00CF78B8">
        <w:t>devrait</w:t>
      </w:r>
      <w:r w:rsidRPr="00CF78B8">
        <w:rPr>
          <w:spacing w:val="-10"/>
        </w:rPr>
        <w:t xml:space="preserve"> </w:t>
      </w:r>
      <w:r w:rsidRPr="00CF78B8">
        <w:t>lui</w:t>
      </w:r>
      <w:r w:rsidRPr="00CF78B8">
        <w:rPr>
          <w:spacing w:val="-10"/>
        </w:rPr>
        <w:t xml:space="preserve"> </w:t>
      </w:r>
      <w:r w:rsidRPr="00CF78B8">
        <w:t>aussi entraîner</w:t>
      </w:r>
      <w:r w:rsidRPr="00CF78B8">
        <w:rPr>
          <w:spacing w:val="-17"/>
        </w:rPr>
        <w:t xml:space="preserve"> </w:t>
      </w:r>
      <w:r w:rsidRPr="00CF78B8">
        <w:t>des</w:t>
      </w:r>
      <w:r w:rsidRPr="00CF78B8">
        <w:rPr>
          <w:spacing w:val="-15"/>
        </w:rPr>
        <w:t xml:space="preserve"> </w:t>
      </w:r>
      <w:r w:rsidRPr="00CF78B8">
        <w:t>répercussions</w:t>
      </w:r>
      <w:r w:rsidRPr="00CF78B8">
        <w:rPr>
          <w:spacing w:val="-15"/>
        </w:rPr>
        <w:t xml:space="preserve"> </w:t>
      </w:r>
      <w:r w:rsidRPr="00CF78B8">
        <w:t>négatives,</w:t>
      </w:r>
      <w:r w:rsidRPr="00CF78B8">
        <w:rPr>
          <w:spacing w:val="-17"/>
        </w:rPr>
        <w:t xml:space="preserve"> </w:t>
      </w:r>
      <w:r w:rsidRPr="00CF78B8">
        <w:t>quel</w:t>
      </w:r>
      <w:r w:rsidRPr="00CF78B8">
        <w:rPr>
          <w:spacing w:val="-18"/>
        </w:rPr>
        <w:t xml:space="preserve"> </w:t>
      </w:r>
      <w:r w:rsidRPr="00CF78B8">
        <w:t>que</w:t>
      </w:r>
      <w:r w:rsidRPr="00CF78B8">
        <w:rPr>
          <w:spacing w:val="-14"/>
        </w:rPr>
        <w:t xml:space="preserve"> </w:t>
      </w:r>
      <w:r w:rsidRPr="00CF78B8">
        <w:t>soit</w:t>
      </w:r>
      <w:r w:rsidRPr="00CF78B8">
        <w:rPr>
          <w:spacing w:val="-14"/>
        </w:rPr>
        <w:t xml:space="preserve"> </w:t>
      </w:r>
      <w:r w:rsidRPr="00CF78B8">
        <w:t>le</w:t>
      </w:r>
      <w:r w:rsidRPr="00CF78B8">
        <w:rPr>
          <w:spacing w:val="-14"/>
        </w:rPr>
        <w:t xml:space="preserve"> </w:t>
      </w:r>
      <w:r w:rsidRPr="00CF78B8">
        <w:t>type.</w:t>
      </w:r>
      <w:r w:rsidRPr="00CF78B8">
        <w:rPr>
          <w:spacing w:val="-17"/>
        </w:rPr>
        <w:t xml:space="preserve"> </w:t>
      </w:r>
      <w:r w:rsidRPr="00CF78B8">
        <w:t>Cependant,</w:t>
      </w:r>
      <w:r w:rsidRPr="00CF78B8">
        <w:rPr>
          <w:spacing w:val="-12"/>
        </w:rPr>
        <w:t xml:space="preserve"> </w:t>
      </w:r>
      <w:r w:rsidRPr="00CF78B8">
        <w:t>les</w:t>
      </w:r>
      <w:r w:rsidRPr="00CF78B8">
        <w:rPr>
          <w:spacing w:val="-16"/>
        </w:rPr>
        <w:t xml:space="preserve"> </w:t>
      </w:r>
      <w:r w:rsidRPr="00CF78B8">
        <w:t>études</w:t>
      </w:r>
      <w:r w:rsidRPr="00CF78B8">
        <w:rPr>
          <w:spacing w:val="-16"/>
        </w:rPr>
        <w:t xml:space="preserve"> </w:t>
      </w:r>
      <w:r w:rsidRPr="00CF78B8">
        <w:t>précédentes</w:t>
      </w:r>
      <w:r w:rsidRPr="00CF78B8">
        <w:rPr>
          <w:spacing w:val="-13"/>
        </w:rPr>
        <w:t xml:space="preserve"> </w:t>
      </w:r>
      <w:r w:rsidRPr="00CF78B8">
        <w:t>n’ont pas</w:t>
      </w:r>
      <w:r w:rsidRPr="00CF78B8">
        <w:rPr>
          <w:spacing w:val="-12"/>
        </w:rPr>
        <w:t xml:space="preserve"> </w:t>
      </w:r>
      <w:r w:rsidRPr="00CF78B8">
        <w:t>toujours</w:t>
      </w:r>
      <w:r w:rsidRPr="00CF78B8">
        <w:rPr>
          <w:spacing w:val="-12"/>
        </w:rPr>
        <w:t xml:space="preserve"> </w:t>
      </w:r>
      <w:r w:rsidRPr="00CF78B8">
        <w:t>permis</w:t>
      </w:r>
      <w:r w:rsidRPr="00CF78B8">
        <w:rPr>
          <w:spacing w:val="-11"/>
        </w:rPr>
        <w:t xml:space="preserve"> </w:t>
      </w:r>
      <w:r w:rsidRPr="00CF78B8">
        <w:t>d’affirmer</w:t>
      </w:r>
      <w:r w:rsidRPr="00CF78B8">
        <w:rPr>
          <w:spacing w:val="-13"/>
        </w:rPr>
        <w:t xml:space="preserve"> </w:t>
      </w:r>
      <w:r w:rsidRPr="00CF78B8">
        <w:t>cette</w:t>
      </w:r>
      <w:r w:rsidRPr="00CF78B8">
        <w:rPr>
          <w:spacing w:val="-14"/>
        </w:rPr>
        <w:t xml:space="preserve"> </w:t>
      </w:r>
      <w:r w:rsidRPr="00CF78B8">
        <w:t>supposition</w:t>
      </w:r>
      <w:r w:rsidRPr="00CF78B8">
        <w:rPr>
          <w:spacing w:val="-12"/>
        </w:rPr>
        <w:t xml:space="preserve"> </w:t>
      </w:r>
      <w:r w:rsidRPr="00CF78B8">
        <w:t>malgré</w:t>
      </w:r>
      <w:r w:rsidRPr="00CF78B8">
        <w:rPr>
          <w:spacing w:val="-13"/>
        </w:rPr>
        <w:t xml:space="preserve"> </w:t>
      </w:r>
      <w:r w:rsidRPr="00CF78B8">
        <w:t>l’application</w:t>
      </w:r>
      <w:r w:rsidRPr="00CF78B8">
        <w:rPr>
          <w:spacing w:val="-12"/>
        </w:rPr>
        <w:t xml:space="preserve"> </w:t>
      </w:r>
      <w:r w:rsidRPr="00CF78B8">
        <w:t>de</w:t>
      </w:r>
      <w:r w:rsidRPr="00CF78B8">
        <w:rPr>
          <w:spacing w:val="-14"/>
        </w:rPr>
        <w:t xml:space="preserve"> </w:t>
      </w:r>
      <w:r w:rsidRPr="00CF78B8">
        <w:t>méthodologies</w:t>
      </w:r>
      <w:r w:rsidRPr="00CF78B8">
        <w:rPr>
          <w:spacing w:val="-12"/>
        </w:rPr>
        <w:t xml:space="preserve"> </w:t>
      </w:r>
      <w:r w:rsidRPr="00CF78B8">
        <w:t>différentes. Par exemple, Campbell et coll. (2003) ont regroupé les atteintes à la sécurité en données confidentielles et non confidentielles, et ont gardé les vols de données d'employés, de données d'entreprise et de clients dans un groupe comme confidentiel, tandis Cavusoglu et coll. (2004)</w:t>
      </w:r>
      <w:r w:rsidRPr="00CF78B8">
        <w:rPr>
          <w:spacing w:val="14"/>
        </w:rPr>
        <w:t xml:space="preserve"> </w:t>
      </w:r>
      <w:r w:rsidR="00CF78B8" w:rsidRPr="00CF78B8">
        <w:t xml:space="preserve">ont </w:t>
      </w:r>
      <w:r w:rsidRPr="00CF78B8">
        <w:t>utilisé un autre système en divisant les atteintes à la sécurité informatique en deux catégories : les attaques de déni de service et toutes les autres.</w:t>
      </w:r>
      <w:r w:rsidR="00A5268B">
        <w:t xml:space="preserve"> </w:t>
      </w:r>
      <w:r w:rsidRPr="00CF78B8">
        <w:t>Cette analyse nous amène à avancer une troisième et quatrième hypothèse, à savoir :</w:t>
      </w:r>
    </w:p>
    <w:p w:rsidR="003E7CF5" w:rsidRPr="00CF78B8" w:rsidRDefault="00024B00" w:rsidP="00CF78B8">
      <w:pPr>
        <w:pStyle w:val="Corpsdetexte"/>
        <w:spacing w:before="240" w:after="240" w:line="360" w:lineRule="auto"/>
        <w:ind w:right="1521"/>
        <w:jc w:val="both"/>
      </w:pPr>
      <w:r w:rsidRPr="00CF78B8">
        <w:rPr>
          <w:b/>
        </w:rPr>
        <w:t xml:space="preserve">Hypothèse 3 : </w:t>
      </w:r>
      <w:r w:rsidRPr="00CF78B8">
        <w:t>Une atteinte à la sécurité des systèmes d’information d’une entreprise entraîne une rentabilité</w:t>
      </w:r>
      <w:r w:rsidRPr="00CF78B8">
        <w:rPr>
          <w:spacing w:val="-9"/>
        </w:rPr>
        <w:t xml:space="preserve"> </w:t>
      </w:r>
      <w:r w:rsidRPr="00CF78B8">
        <w:t>anormalement</w:t>
      </w:r>
      <w:r w:rsidRPr="00CF78B8">
        <w:rPr>
          <w:spacing w:val="-4"/>
        </w:rPr>
        <w:t xml:space="preserve"> </w:t>
      </w:r>
      <w:r w:rsidRPr="00CF78B8">
        <w:t>négative de</w:t>
      </w:r>
      <w:r w:rsidRPr="00CF78B8">
        <w:rPr>
          <w:spacing w:val="-8"/>
        </w:rPr>
        <w:t xml:space="preserve"> </w:t>
      </w:r>
      <w:r w:rsidRPr="00CF78B8">
        <w:t>plus</w:t>
      </w:r>
      <w:r w:rsidRPr="00CF78B8">
        <w:rPr>
          <w:spacing w:val="-6"/>
        </w:rPr>
        <w:t xml:space="preserve"> </w:t>
      </w:r>
      <w:r w:rsidRPr="00CF78B8">
        <w:t>ou</w:t>
      </w:r>
      <w:r w:rsidRPr="00CF78B8">
        <w:rPr>
          <w:spacing w:val="-2"/>
        </w:rPr>
        <w:t xml:space="preserve"> </w:t>
      </w:r>
      <w:r w:rsidRPr="00CF78B8">
        <w:t>moins grande</w:t>
      </w:r>
      <w:r w:rsidRPr="00CF78B8">
        <w:rPr>
          <w:spacing w:val="-9"/>
        </w:rPr>
        <w:t xml:space="preserve"> </w:t>
      </w:r>
      <w:r w:rsidRPr="00CF78B8">
        <w:t>importance</w:t>
      </w:r>
      <w:r w:rsidRPr="00CF78B8">
        <w:rPr>
          <w:spacing w:val="-9"/>
        </w:rPr>
        <w:t xml:space="preserve"> </w:t>
      </w:r>
      <w:r w:rsidRPr="00CF78B8">
        <w:t>sur</w:t>
      </w:r>
      <w:r w:rsidRPr="00CF78B8">
        <w:rPr>
          <w:spacing w:val="-1"/>
        </w:rPr>
        <w:t xml:space="preserve"> </w:t>
      </w:r>
      <w:r w:rsidRPr="00CF78B8">
        <w:t>la</w:t>
      </w:r>
      <w:r w:rsidRPr="00CF78B8">
        <w:rPr>
          <w:spacing w:val="-9"/>
        </w:rPr>
        <w:t xml:space="preserve"> </w:t>
      </w:r>
      <w:r w:rsidRPr="00CF78B8">
        <w:t>valeur</w:t>
      </w:r>
      <w:r w:rsidRPr="00CF78B8">
        <w:rPr>
          <w:spacing w:val="-3"/>
        </w:rPr>
        <w:t xml:space="preserve"> </w:t>
      </w:r>
      <w:r w:rsidRPr="00CF78B8">
        <w:t>de</w:t>
      </w:r>
      <w:r w:rsidRPr="00CF78B8">
        <w:rPr>
          <w:spacing w:val="-8"/>
        </w:rPr>
        <w:t xml:space="preserve"> </w:t>
      </w:r>
      <w:r w:rsidRPr="00CF78B8">
        <w:t>ses</w:t>
      </w:r>
      <w:r w:rsidRPr="00CF78B8">
        <w:rPr>
          <w:spacing w:val="-1"/>
        </w:rPr>
        <w:t xml:space="preserve"> </w:t>
      </w:r>
      <w:r w:rsidRPr="00CF78B8">
        <w:t xml:space="preserve">actions </w:t>
      </w:r>
      <w:r w:rsidRPr="00CF78B8">
        <w:lastRenderedPageBreak/>
        <w:t>lorsqu’elle est rendue publique en fonction du type d’atteinte aux systèmes</w:t>
      </w:r>
      <w:r w:rsidRPr="00CF78B8">
        <w:rPr>
          <w:spacing w:val="-7"/>
        </w:rPr>
        <w:t xml:space="preserve"> </w:t>
      </w:r>
      <w:r w:rsidRPr="00CF78B8">
        <w:t>d’information.</w:t>
      </w:r>
    </w:p>
    <w:p w:rsidR="003E7CF5" w:rsidRPr="00CF78B8" w:rsidRDefault="00024B00" w:rsidP="00CF78B8">
      <w:pPr>
        <w:pStyle w:val="Corpsdetexte"/>
        <w:spacing w:before="240" w:after="240" w:line="360" w:lineRule="auto"/>
        <w:ind w:right="1521"/>
        <w:jc w:val="both"/>
      </w:pPr>
      <w:r w:rsidRPr="00CF78B8">
        <w:rPr>
          <w:b/>
        </w:rPr>
        <w:t xml:space="preserve">Hypothèse 4 : </w:t>
      </w:r>
      <w:r w:rsidRPr="00CF78B8">
        <w:t>Une atteinte à la sécurité des systèmes d’information d’une entreprise entraîne une rentabilité anormalement négative de la valeur de ses actions lorsqu’elle est rendue publique en fonction du type de données touchées ou ciblées.</w:t>
      </w:r>
    </w:p>
    <w:p w:rsidR="003E7CF5" w:rsidRPr="00CF78B8" w:rsidRDefault="00024B00" w:rsidP="00CF78B8">
      <w:pPr>
        <w:pStyle w:val="Corpsdetexte"/>
        <w:spacing w:before="240" w:after="240" w:line="360" w:lineRule="auto"/>
        <w:ind w:right="1521"/>
        <w:jc w:val="both"/>
      </w:pPr>
      <w:r w:rsidRPr="00CF78B8">
        <w:t xml:space="preserve">Enfin, malgré le peu de recul que nous avons sur </w:t>
      </w:r>
      <w:r w:rsidRPr="00CF78B8">
        <w:rPr>
          <w:spacing w:val="-3"/>
        </w:rPr>
        <w:t xml:space="preserve">les </w:t>
      </w:r>
      <w:r w:rsidRPr="00CF78B8">
        <w:t>évènements, il est intéressant de comparer l’impact</w:t>
      </w:r>
      <w:r w:rsidRPr="00CF78B8">
        <w:rPr>
          <w:spacing w:val="-5"/>
        </w:rPr>
        <w:t xml:space="preserve"> </w:t>
      </w:r>
      <w:r w:rsidRPr="00CF78B8">
        <w:t>des cyberattaques</w:t>
      </w:r>
      <w:r w:rsidRPr="00CF78B8">
        <w:rPr>
          <w:spacing w:val="-1"/>
        </w:rPr>
        <w:t xml:space="preserve"> </w:t>
      </w:r>
      <w:r w:rsidRPr="00CF78B8">
        <w:t>au</w:t>
      </w:r>
      <w:r w:rsidRPr="00CF78B8">
        <w:rPr>
          <w:spacing w:val="-2"/>
        </w:rPr>
        <w:t xml:space="preserve"> </w:t>
      </w:r>
      <w:r w:rsidRPr="00CF78B8">
        <w:t>début</w:t>
      </w:r>
      <w:r w:rsidRPr="00CF78B8">
        <w:rPr>
          <w:spacing w:val="-4"/>
        </w:rPr>
        <w:t xml:space="preserve"> </w:t>
      </w:r>
      <w:r w:rsidRPr="00CF78B8">
        <w:t>de</w:t>
      </w:r>
      <w:r w:rsidRPr="00CF78B8">
        <w:rPr>
          <w:spacing w:val="-5"/>
        </w:rPr>
        <w:t xml:space="preserve"> </w:t>
      </w:r>
      <w:r w:rsidRPr="00CF78B8">
        <w:t>la</w:t>
      </w:r>
      <w:r w:rsidRPr="00CF78B8">
        <w:rPr>
          <w:spacing w:val="-4"/>
        </w:rPr>
        <w:t xml:space="preserve"> </w:t>
      </w:r>
      <w:r w:rsidRPr="00CF78B8">
        <w:t>période</w:t>
      </w:r>
      <w:r w:rsidRPr="00CF78B8">
        <w:rPr>
          <w:spacing w:val="-4"/>
        </w:rPr>
        <w:t xml:space="preserve"> </w:t>
      </w:r>
      <w:r w:rsidRPr="00CF78B8">
        <w:t>sélectionnée</w:t>
      </w:r>
      <w:r w:rsidRPr="00CF78B8">
        <w:rPr>
          <w:spacing w:val="-5"/>
        </w:rPr>
        <w:t xml:space="preserve"> </w:t>
      </w:r>
      <w:r w:rsidRPr="00CF78B8">
        <w:t>et</w:t>
      </w:r>
      <w:r w:rsidRPr="00CF78B8">
        <w:rPr>
          <w:spacing w:val="-4"/>
        </w:rPr>
        <w:t xml:space="preserve"> </w:t>
      </w:r>
      <w:r w:rsidRPr="00CF78B8">
        <w:t>à</w:t>
      </w:r>
      <w:r w:rsidRPr="00CF78B8">
        <w:rPr>
          <w:spacing w:val="-4"/>
        </w:rPr>
        <w:t xml:space="preserve"> </w:t>
      </w:r>
      <w:r w:rsidRPr="00CF78B8">
        <w:t>la</w:t>
      </w:r>
      <w:r w:rsidRPr="00CF78B8">
        <w:rPr>
          <w:spacing w:val="-5"/>
        </w:rPr>
        <w:t xml:space="preserve"> </w:t>
      </w:r>
      <w:r w:rsidRPr="00CF78B8">
        <w:t>fin</w:t>
      </w:r>
      <w:r w:rsidRPr="00CF78B8">
        <w:rPr>
          <w:spacing w:val="-2"/>
        </w:rPr>
        <w:t xml:space="preserve"> </w:t>
      </w:r>
      <w:r w:rsidRPr="00CF78B8">
        <w:t>de</w:t>
      </w:r>
      <w:r w:rsidRPr="00CF78B8">
        <w:rPr>
          <w:spacing w:val="-4"/>
        </w:rPr>
        <w:t xml:space="preserve"> </w:t>
      </w:r>
      <w:r w:rsidRPr="00CF78B8">
        <w:t>cette</w:t>
      </w:r>
      <w:r w:rsidRPr="00CF78B8">
        <w:rPr>
          <w:spacing w:val="-5"/>
        </w:rPr>
        <w:t xml:space="preserve"> </w:t>
      </w:r>
      <w:r w:rsidRPr="00CF78B8">
        <w:t>dernière.</w:t>
      </w:r>
      <w:r w:rsidRPr="00CF78B8">
        <w:rPr>
          <w:spacing w:val="-2"/>
        </w:rPr>
        <w:t xml:space="preserve"> </w:t>
      </w:r>
      <w:r w:rsidRPr="00CF78B8">
        <w:t>Ces</w:t>
      </w:r>
      <w:r w:rsidRPr="00CF78B8">
        <w:rPr>
          <w:spacing w:val="-1"/>
        </w:rPr>
        <w:t xml:space="preserve"> </w:t>
      </w:r>
      <w:r w:rsidRPr="00CF78B8">
        <w:t>dix dernières années, les usages liés à Internet, à l’Internet des objets, à l’intelligence artificielle a évolué</w:t>
      </w:r>
      <w:r w:rsidRPr="00CF78B8">
        <w:rPr>
          <w:spacing w:val="-16"/>
        </w:rPr>
        <w:t xml:space="preserve"> </w:t>
      </w:r>
      <w:r w:rsidRPr="00CF78B8">
        <w:t>de</w:t>
      </w:r>
      <w:r w:rsidRPr="00CF78B8">
        <w:rPr>
          <w:spacing w:val="-15"/>
        </w:rPr>
        <w:t xml:space="preserve"> </w:t>
      </w:r>
      <w:r w:rsidRPr="00CF78B8">
        <w:t>manière</w:t>
      </w:r>
      <w:r w:rsidRPr="00CF78B8">
        <w:rPr>
          <w:spacing w:val="-15"/>
        </w:rPr>
        <w:t xml:space="preserve"> </w:t>
      </w:r>
      <w:r w:rsidRPr="00CF78B8">
        <w:t>exponentielle.</w:t>
      </w:r>
      <w:r w:rsidRPr="00CF78B8">
        <w:rPr>
          <w:spacing w:val="-13"/>
        </w:rPr>
        <w:t xml:space="preserve"> </w:t>
      </w:r>
      <w:r w:rsidRPr="00CF78B8">
        <w:t>Toutes</w:t>
      </w:r>
      <w:r w:rsidRPr="00CF78B8">
        <w:rPr>
          <w:spacing w:val="-12"/>
        </w:rPr>
        <w:t xml:space="preserve"> </w:t>
      </w:r>
      <w:r w:rsidRPr="00CF78B8">
        <w:t>les</w:t>
      </w:r>
      <w:r w:rsidRPr="00CF78B8">
        <w:rPr>
          <w:spacing w:val="-13"/>
        </w:rPr>
        <w:t xml:space="preserve"> </w:t>
      </w:r>
      <w:r w:rsidRPr="00CF78B8">
        <w:t>infrastructures</w:t>
      </w:r>
      <w:r w:rsidRPr="00CF78B8">
        <w:rPr>
          <w:spacing w:val="-12"/>
        </w:rPr>
        <w:t xml:space="preserve"> </w:t>
      </w:r>
      <w:r w:rsidRPr="00CF78B8">
        <w:t>des</w:t>
      </w:r>
      <w:r w:rsidRPr="00CF78B8">
        <w:rPr>
          <w:spacing w:val="-13"/>
        </w:rPr>
        <w:t xml:space="preserve"> </w:t>
      </w:r>
      <w:r w:rsidRPr="00CF78B8">
        <w:t>réseaux</w:t>
      </w:r>
      <w:r w:rsidRPr="00CF78B8">
        <w:rPr>
          <w:spacing w:val="-14"/>
        </w:rPr>
        <w:t xml:space="preserve"> </w:t>
      </w:r>
      <w:r w:rsidRPr="00CF78B8">
        <w:t>informatiques</w:t>
      </w:r>
      <w:r w:rsidRPr="00CF78B8">
        <w:rPr>
          <w:spacing w:val="-8"/>
        </w:rPr>
        <w:t xml:space="preserve"> </w:t>
      </w:r>
      <w:r w:rsidRPr="00CF78B8">
        <w:t>se</w:t>
      </w:r>
      <w:r w:rsidRPr="00CF78B8">
        <w:rPr>
          <w:spacing w:val="-15"/>
        </w:rPr>
        <w:t xml:space="preserve"> </w:t>
      </w:r>
      <w:r w:rsidRPr="00CF78B8">
        <w:t>retrouvent en interconnexion et exposés. Tous les secteurs professionnels sont concernés par ces évolutions. Les autorités ont également saisi l’importance de ces changements et le cadre réglementaire ne cesse de se transformer pour maîtriser tout ce qu’engendre l’accroissement du cyber espace et de ses menaces. Il est alors intéressant de s’attarder, dans cette étude sur les rendements anormaux constatés</w:t>
      </w:r>
      <w:r w:rsidRPr="00CF78B8">
        <w:rPr>
          <w:spacing w:val="-7"/>
        </w:rPr>
        <w:t xml:space="preserve"> </w:t>
      </w:r>
      <w:r w:rsidRPr="00CF78B8">
        <w:t>au</w:t>
      </w:r>
      <w:r w:rsidRPr="00CF78B8">
        <w:rPr>
          <w:spacing w:val="-8"/>
        </w:rPr>
        <w:t xml:space="preserve"> </w:t>
      </w:r>
      <w:r w:rsidRPr="00CF78B8">
        <w:t>début</w:t>
      </w:r>
      <w:r w:rsidRPr="00CF78B8">
        <w:rPr>
          <w:spacing w:val="-9"/>
        </w:rPr>
        <w:t xml:space="preserve"> </w:t>
      </w:r>
      <w:r w:rsidRPr="00CF78B8">
        <w:t>de</w:t>
      </w:r>
      <w:r w:rsidRPr="00CF78B8">
        <w:rPr>
          <w:spacing w:val="-10"/>
        </w:rPr>
        <w:t xml:space="preserve"> </w:t>
      </w:r>
      <w:r w:rsidRPr="00CF78B8">
        <w:t>notre</w:t>
      </w:r>
      <w:r w:rsidRPr="00CF78B8">
        <w:rPr>
          <w:spacing w:val="-9"/>
        </w:rPr>
        <w:t xml:space="preserve"> </w:t>
      </w:r>
      <w:r w:rsidRPr="00CF78B8">
        <w:t>période</w:t>
      </w:r>
      <w:r w:rsidRPr="00CF78B8">
        <w:rPr>
          <w:spacing w:val="-5"/>
        </w:rPr>
        <w:t xml:space="preserve"> </w:t>
      </w:r>
      <w:r w:rsidRPr="00CF78B8">
        <w:t>d’analyse</w:t>
      </w:r>
      <w:r w:rsidRPr="00CF78B8">
        <w:rPr>
          <w:spacing w:val="-9"/>
        </w:rPr>
        <w:t xml:space="preserve"> </w:t>
      </w:r>
      <w:r w:rsidRPr="00CF78B8">
        <w:t>et</w:t>
      </w:r>
      <w:r w:rsidRPr="00CF78B8">
        <w:rPr>
          <w:spacing w:val="-10"/>
        </w:rPr>
        <w:t xml:space="preserve"> </w:t>
      </w:r>
      <w:r w:rsidRPr="00CF78B8">
        <w:t>ceux</w:t>
      </w:r>
      <w:r w:rsidRPr="00CF78B8">
        <w:rPr>
          <w:spacing w:val="-2"/>
        </w:rPr>
        <w:t xml:space="preserve"> </w:t>
      </w:r>
      <w:r w:rsidRPr="00CF78B8">
        <w:t>constatés</w:t>
      </w:r>
      <w:r w:rsidRPr="00CF78B8">
        <w:rPr>
          <w:spacing w:val="-6"/>
        </w:rPr>
        <w:t xml:space="preserve"> </w:t>
      </w:r>
      <w:r w:rsidRPr="00CF78B8">
        <w:t>en</w:t>
      </w:r>
      <w:r w:rsidRPr="00CF78B8">
        <w:rPr>
          <w:spacing w:val="-9"/>
        </w:rPr>
        <w:t xml:space="preserve"> </w:t>
      </w:r>
      <w:r w:rsidRPr="00CF78B8">
        <w:t>fin</w:t>
      </w:r>
      <w:r w:rsidRPr="00CF78B8">
        <w:rPr>
          <w:spacing w:val="-8"/>
        </w:rPr>
        <w:t xml:space="preserve"> </w:t>
      </w:r>
      <w:r w:rsidRPr="00CF78B8">
        <w:t>de</w:t>
      </w:r>
      <w:r w:rsidRPr="00CF78B8">
        <w:rPr>
          <w:spacing w:val="-9"/>
        </w:rPr>
        <w:t xml:space="preserve"> </w:t>
      </w:r>
      <w:r w:rsidRPr="00CF78B8">
        <w:t>période.</w:t>
      </w:r>
      <w:r w:rsidRPr="00CF78B8">
        <w:rPr>
          <w:spacing w:val="-4"/>
        </w:rPr>
        <w:t xml:space="preserve"> </w:t>
      </w:r>
      <w:r w:rsidRPr="00CF78B8">
        <w:t>En</w:t>
      </w:r>
      <w:r w:rsidRPr="00CF78B8">
        <w:rPr>
          <w:spacing w:val="-8"/>
        </w:rPr>
        <w:t xml:space="preserve"> </w:t>
      </w:r>
      <w:r w:rsidRPr="00CF78B8">
        <w:t>effet,</w:t>
      </w:r>
      <w:r w:rsidRPr="00CF78B8">
        <w:rPr>
          <w:spacing w:val="-8"/>
        </w:rPr>
        <w:t xml:space="preserve"> </w:t>
      </w:r>
      <w:r w:rsidRPr="00CF78B8">
        <w:t>cette</w:t>
      </w:r>
      <w:r w:rsidRPr="00CF78B8">
        <w:rPr>
          <w:spacing w:val="-9"/>
        </w:rPr>
        <w:t xml:space="preserve"> </w:t>
      </w:r>
      <w:r w:rsidRPr="00CF78B8">
        <w:t>fin de période est clairement caractérisée par la prise de conscience généralisée de ces menaces et la volonté de réglementer toutes ces pratiques. Peu d’acteurs peuvent aujourd’hui ignorer le risque cyber, considéré comme risque systémique et majeur aux yeux de toutes les directions d’entreprises.</w:t>
      </w:r>
    </w:p>
    <w:p w:rsidR="003E7CF5" w:rsidRPr="00CF78B8" w:rsidRDefault="00024B00" w:rsidP="00CF78B8">
      <w:pPr>
        <w:pStyle w:val="Corpsdetexte"/>
        <w:spacing w:before="240" w:after="240" w:line="360" w:lineRule="auto"/>
        <w:ind w:right="1521"/>
        <w:jc w:val="both"/>
      </w:pPr>
      <w:r w:rsidRPr="00CF78B8">
        <w:rPr>
          <w:b/>
        </w:rPr>
        <w:t xml:space="preserve">Hypothèse 5 : </w:t>
      </w:r>
      <w:r w:rsidRPr="00CF78B8">
        <w:t>Une atteinte à la sécurité des systèmes d’information d’une entreprise entraîne une rentabilité anormalement négative si elle a eu lieu ces deux dernières années compte tenu de la prise de conscience des acteurs.</w:t>
      </w:r>
    </w:p>
    <w:p w:rsidR="003E7CF5" w:rsidRPr="00CF78B8" w:rsidRDefault="00024B00" w:rsidP="00CF78B8">
      <w:pPr>
        <w:pStyle w:val="Corpsdetexte"/>
        <w:spacing w:before="240" w:after="240" w:line="360" w:lineRule="auto"/>
        <w:ind w:right="1521"/>
        <w:jc w:val="both"/>
      </w:pPr>
      <w:r w:rsidRPr="00CF78B8">
        <w:t>Avant de s’attarder sur la méthodologie de recherche employée à travers cette étude, tentons de définir les origines de la cybersécurité et les enjeux qui, aujourd’hui, ont fait de cette discipline l’une des plus grandes préoccupations des entreprises et institutions partout dans le monde.</w:t>
      </w:r>
    </w:p>
    <w:p w:rsidR="003E7CF5" w:rsidRPr="00A5268B" w:rsidRDefault="00747380" w:rsidP="00A5268B">
      <w:pPr>
        <w:tabs>
          <w:tab w:val="left" w:pos="7610"/>
        </w:tabs>
        <w:rPr>
          <w:b/>
          <w:sz w:val="24"/>
          <w:szCs w:val="24"/>
        </w:rPr>
      </w:pPr>
      <w:bookmarkStart w:id="10" w:name="État_de_l’art"/>
      <w:bookmarkStart w:id="11" w:name="_bookmark6"/>
      <w:bookmarkStart w:id="12" w:name="Méthodologie_de_recherche"/>
      <w:bookmarkStart w:id="13" w:name="_bookmark20"/>
      <w:bookmarkEnd w:id="10"/>
      <w:bookmarkEnd w:id="11"/>
      <w:bookmarkEnd w:id="12"/>
      <w:bookmarkEnd w:id="13"/>
      <w:r w:rsidRPr="00A5268B">
        <w:rPr>
          <w:b/>
          <w:sz w:val="24"/>
          <w:szCs w:val="24"/>
        </w:rPr>
        <w:t>M</w:t>
      </w:r>
      <w:r w:rsidR="00024B00" w:rsidRPr="00A5268B">
        <w:rPr>
          <w:b/>
          <w:sz w:val="24"/>
          <w:szCs w:val="24"/>
        </w:rPr>
        <w:t>éthodologie de recherche</w:t>
      </w:r>
    </w:p>
    <w:p w:rsidR="003E7CF5" w:rsidRPr="00CF78B8" w:rsidRDefault="00024B00" w:rsidP="00CF78B8">
      <w:pPr>
        <w:pStyle w:val="Corpsdetexte"/>
        <w:spacing w:before="240" w:after="240" w:line="360" w:lineRule="auto"/>
        <w:ind w:right="1520"/>
        <w:jc w:val="both"/>
      </w:pPr>
      <w:r w:rsidRPr="00CF78B8">
        <w:t>Nous souhaitons comprendre si les évènements liés aux failles de sécurité dans les systèmes d’information peuvent avoir un impact assez important pour causer des pertes financières significatives et ainsi dévaluer les actions des entreprises cotées en France.</w:t>
      </w:r>
      <w:r w:rsidR="00CF78B8">
        <w:t xml:space="preserve"> </w:t>
      </w:r>
      <w:r w:rsidRPr="00CF78B8">
        <w:t>Aussi, nous allons procéder à une méthode d’analyse et de sélection d’échantillons largement démontrée dans des études antérieures : l’étude d’évènement</w:t>
      </w:r>
      <w:r w:rsidR="00CF78B8">
        <w:t xml:space="preserve">s (Campbell, 2003 ; Gordon, 2011 ; Arcuri, 2017 ; </w:t>
      </w:r>
      <w:r w:rsidR="008C59C3">
        <w:t>Peillex et Ureche-</w:t>
      </w:r>
      <w:r w:rsidR="008C59C3">
        <w:lastRenderedPageBreak/>
        <w:t xml:space="preserve">Rangau, 2014 ; </w:t>
      </w:r>
      <w:r w:rsidR="00CF78B8">
        <w:t>Peillex et Ureche-Rangau, 2015 ;</w:t>
      </w:r>
      <w:r w:rsidR="008C59C3" w:rsidRPr="008C59C3">
        <w:t xml:space="preserve"> </w:t>
      </w:r>
      <w:r w:rsidR="008C59C3">
        <w:t>El Ouadghiri et al., 2016 ; Peillex, 2014</w:t>
      </w:r>
      <w:r w:rsidR="00CF78B8">
        <w:t> ; Jaballah et al., 2018 ; El Ouadghiri et Peillex, 2018 ; El Ouadghiri et al.</w:t>
      </w:r>
      <w:r w:rsidR="008C59C3">
        <w:t>,</w:t>
      </w:r>
      <w:r w:rsidR="00CF78B8">
        <w:t xml:space="preserve"> 2019 ; Peillex et al., 2021</w:t>
      </w:r>
      <w:r w:rsidRPr="00CF78B8">
        <w:t>).</w:t>
      </w:r>
    </w:p>
    <w:p w:rsidR="003E7CF5" w:rsidRPr="00CF78B8" w:rsidRDefault="00024B00" w:rsidP="00CF78B8">
      <w:pPr>
        <w:pStyle w:val="Corpsdetexte"/>
        <w:spacing w:before="240" w:after="240" w:line="360" w:lineRule="auto"/>
        <w:ind w:right="1520"/>
        <w:jc w:val="both"/>
      </w:pPr>
      <w:r w:rsidRPr="00CF78B8">
        <w:t>L’étude d'évènements permet de mesurer l'impact des atteintes à la sécurité des systèmes d’information sur les rendements des actions. L'hypothèse repose sur le fait que les marchés financiers réagissent aux annonces affectant la valeur d'un titre, de sorte que les rendements boursiers</w:t>
      </w:r>
      <w:r w:rsidRPr="00CF78B8">
        <w:rPr>
          <w:spacing w:val="-16"/>
        </w:rPr>
        <w:t xml:space="preserve"> </w:t>
      </w:r>
      <w:r w:rsidRPr="00CF78B8">
        <w:t>sont</w:t>
      </w:r>
      <w:r w:rsidRPr="00CF78B8">
        <w:rPr>
          <w:spacing w:val="-18"/>
        </w:rPr>
        <w:t xml:space="preserve"> </w:t>
      </w:r>
      <w:r w:rsidRPr="00CF78B8">
        <w:t>en</w:t>
      </w:r>
      <w:r w:rsidRPr="00CF78B8">
        <w:rPr>
          <w:spacing w:val="-18"/>
        </w:rPr>
        <w:t xml:space="preserve"> </w:t>
      </w:r>
      <w:r w:rsidRPr="00CF78B8">
        <w:t>mesure</w:t>
      </w:r>
      <w:r w:rsidRPr="00CF78B8">
        <w:rPr>
          <w:spacing w:val="-18"/>
        </w:rPr>
        <w:t xml:space="preserve"> </w:t>
      </w:r>
      <w:r w:rsidRPr="00CF78B8">
        <w:t>de</w:t>
      </w:r>
      <w:r w:rsidRPr="00CF78B8">
        <w:rPr>
          <w:spacing w:val="-13"/>
        </w:rPr>
        <w:t xml:space="preserve"> </w:t>
      </w:r>
      <w:r w:rsidRPr="00CF78B8">
        <w:t>saisir</w:t>
      </w:r>
      <w:r w:rsidRPr="00CF78B8">
        <w:rPr>
          <w:spacing w:val="-17"/>
        </w:rPr>
        <w:t xml:space="preserve"> </w:t>
      </w:r>
      <w:r w:rsidRPr="00CF78B8">
        <w:t>les</w:t>
      </w:r>
      <w:r w:rsidRPr="00CF78B8">
        <w:rPr>
          <w:spacing w:val="-15"/>
        </w:rPr>
        <w:t xml:space="preserve"> </w:t>
      </w:r>
      <w:r w:rsidRPr="00CF78B8">
        <w:t>coûts</w:t>
      </w:r>
      <w:r w:rsidRPr="00CF78B8">
        <w:rPr>
          <w:spacing w:val="-11"/>
        </w:rPr>
        <w:t xml:space="preserve"> </w:t>
      </w:r>
      <w:r w:rsidRPr="00CF78B8">
        <w:t>implicites</w:t>
      </w:r>
      <w:r w:rsidRPr="00CF78B8">
        <w:rPr>
          <w:spacing w:val="-10"/>
        </w:rPr>
        <w:t xml:space="preserve"> </w:t>
      </w:r>
      <w:r w:rsidRPr="00CF78B8">
        <w:t>et</w:t>
      </w:r>
      <w:r w:rsidRPr="00CF78B8">
        <w:rPr>
          <w:spacing w:val="-18"/>
        </w:rPr>
        <w:t xml:space="preserve"> </w:t>
      </w:r>
      <w:r w:rsidRPr="00CF78B8">
        <w:t>explicites</w:t>
      </w:r>
      <w:r w:rsidRPr="00CF78B8">
        <w:rPr>
          <w:spacing w:val="-16"/>
        </w:rPr>
        <w:t xml:space="preserve"> </w:t>
      </w:r>
      <w:r w:rsidRPr="00CF78B8">
        <w:t>des</w:t>
      </w:r>
      <w:r w:rsidRPr="00CF78B8">
        <w:rPr>
          <w:spacing w:val="-10"/>
        </w:rPr>
        <w:t xml:space="preserve"> </w:t>
      </w:r>
      <w:r w:rsidRPr="00CF78B8">
        <w:t>cyberattaques</w:t>
      </w:r>
      <w:r w:rsidRPr="00CF78B8">
        <w:rPr>
          <w:spacing w:val="-16"/>
        </w:rPr>
        <w:t xml:space="preserve"> </w:t>
      </w:r>
      <w:r w:rsidRPr="00CF78B8">
        <w:t>(Arcuri,</w:t>
      </w:r>
      <w:r w:rsidRPr="00CF78B8">
        <w:rPr>
          <w:spacing w:val="-17"/>
        </w:rPr>
        <w:t xml:space="preserve"> </w:t>
      </w:r>
      <w:r w:rsidRPr="00CF78B8">
        <w:t>2017</w:t>
      </w:r>
      <w:r w:rsidRPr="00CF78B8">
        <w:rPr>
          <w:spacing w:val="-2"/>
        </w:rPr>
        <w:t xml:space="preserve"> </w:t>
      </w:r>
      <w:r w:rsidRPr="00CF78B8">
        <w:t>; Acquisti,</w:t>
      </w:r>
      <w:r w:rsidRPr="00CF78B8">
        <w:rPr>
          <w:spacing w:val="-7"/>
        </w:rPr>
        <w:t xml:space="preserve"> </w:t>
      </w:r>
      <w:r w:rsidRPr="00CF78B8">
        <w:t>2006).</w:t>
      </w:r>
      <w:r w:rsidRPr="00CF78B8">
        <w:rPr>
          <w:spacing w:val="-6"/>
        </w:rPr>
        <w:t xml:space="preserve"> </w:t>
      </w:r>
      <w:r w:rsidRPr="00CF78B8">
        <w:t>En</w:t>
      </w:r>
      <w:r w:rsidRPr="00CF78B8">
        <w:rPr>
          <w:spacing w:val="-2"/>
        </w:rPr>
        <w:t xml:space="preserve"> </w:t>
      </w:r>
      <w:r w:rsidRPr="00CF78B8">
        <w:t>particulier,</w:t>
      </w:r>
      <w:r w:rsidRPr="00CF78B8">
        <w:rPr>
          <w:spacing w:val="-6"/>
        </w:rPr>
        <w:t xml:space="preserve"> </w:t>
      </w:r>
      <w:r w:rsidRPr="00CF78B8">
        <w:t>si</w:t>
      </w:r>
      <w:r w:rsidRPr="00CF78B8">
        <w:rPr>
          <w:spacing w:val="-8"/>
        </w:rPr>
        <w:t xml:space="preserve"> </w:t>
      </w:r>
      <w:r w:rsidRPr="00CF78B8">
        <w:t>une</w:t>
      </w:r>
      <w:r w:rsidRPr="00CF78B8">
        <w:rPr>
          <w:spacing w:val="-3"/>
        </w:rPr>
        <w:t xml:space="preserve"> </w:t>
      </w:r>
      <w:r w:rsidRPr="00CF78B8">
        <w:t>entreprise</w:t>
      </w:r>
      <w:r w:rsidRPr="00CF78B8">
        <w:rPr>
          <w:spacing w:val="-8"/>
        </w:rPr>
        <w:t xml:space="preserve"> </w:t>
      </w:r>
      <w:r w:rsidRPr="00CF78B8">
        <w:t>souffre</w:t>
      </w:r>
      <w:r w:rsidRPr="00CF78B8">
        <w:rPr>
          <w:spacing w:val="-8"/>
        </w:rPr>
        <w:t xml:space="preserve"> </w:t>
      </w:r>
      <w:r w:rsidRPr="00CF78B8">
        <w:t>d'une</w:t>
      </w:r>
      <w:r w:rsidRPr="00CF78B8">
        <w:rPr>
          <w:spacing w:val="-3"/>
        </w:rPr>
        <w:t xml:space="preserve"> </w:t>
      </w:r>
      <w:r w:rsidRPr="00CF78B8">
        <w:t>atteinte</w:t>
      </w:r>
      <w:r w:rsidRPr="00CF78B8">
        <w:rPr>
          <w:spacing w:val="-8"/>
        </w:rPr>
        <w:t xml:space="preserve"> </w:t>
      </w:r>
      <w:r w:rsidRPr="00CF78B8">
        <w:t>à</w:t>
      </w:r>
      <w:r w:rsidRPr="00CF78B8">
        <w:rPr>
          <w:spacing w:val="-3"/>
        </w:rPr>
        <w:t xml:space="preserve"> </w:t>
      </w:r>
      <w:r w:rsidRPr="00CF78B8">
        <w:t>la</w:t>
      </w:r>
      <w:r w:rsidRPr="00CF78B8">
        <w:rPr>
          <w:spacing w:val="-8"/>
        </w:rPr>
        <w:t xml:space="preserve"> </w:t>
      </w:r>
      <w:r w:rsidRPr="00CF78B8">
        <w:t>sécurité</w:t>
      </w:r>
      <w:r w:rsidRPr="00CF78B8">
        <w:rPr>
          <w:spacing w:val="5"/>
        </w:rPr>
        <w:t xml:space="preserve"> </w:t>
      </w:r>
      <w:r w:rsidRPr="00CF78B8">
        <w:t>de</w:t>
      </w:r>
      <w:r w:rsidRPr="00CF78B8">
        <w:rPr>
          <w:spacing w:val="-8"/>
        </w:rPr>
        <w:t xml:space="preserve"> </w:t>
      </w:r>
      <w:r w:rsidRPr="00CF78B8">
        <w:t>son</w:t>
      </w:r>
      <w:r w:rsidRPr="00CF78B8">
        <w:rPr>
          <w:spacing w:val="-7"/>
        </w:rPr>
        <w:t xml:space="preserve"> </w:t>
      </w:r>
      <w:r w:rsidRPr="00CF78B8">
        <w:t>système d’information,</w:t>
      </w:r>
      <w:r w:rsidRPr="00CF78B8">
        <w:rPr>
          <w:spacing w:val="-9"/>
        </w:rPr>
        <w:t xml:space="preserve"> </w:t>
      </w:r>
      <w:r w:rsidRPr="00CF78B8">
        <w:t>elle</w:t>
      </w:r>
      <w:r w:rsidRPr="00CF78B8">
        <w:rPr>
          <w:spacing w:val="-9"/>
        </w:rPr>
        <w:t xml:space="preserve"> </w:t>
      </w:r>
      <w:r w:rsidRPr="00CF78B8">
        <w:t>peut</w:t>
      </w:r>
      <w:r w:rsidRPr="00CF78B8">
        <w:rPr>
          <w:spacing w:val="-10"/>
        </w:rPr>
        <w:t xml:space="preserve"> </w:t>
      </w:r>
      <w:r w:rsidRPr="00CF78B8">
        <w:t>subir</w:t>
      </w:r>
      <w:r w:rsidRPr="00CF78B8">
        <w:rPr>
          <w:spacing w:val="-8"/>
        </w:rPr>
        <w:t xml:space="preserve"> </w:t>
      </w:r>
      <w:r w:rsidRPr="00CF78B8">
        <w:t>des</w:t>
      </w:r>
      <w:r w:rsidRPr="00CF78B8">
        <w:rPr>
          <w:spacing w:val="-7"/>
        </w:rPr>
        <w:t xml:space="preserve"> </w:t>
      </w:r>
      <w:r w:rsidRPr="00CF78B8">
        <w:t>pertes</w:t>
      </w:r>
      <w:r w:rsidRPr="00CF78B8">
        <w:rPr>
          <w:spacing w:val="-6"/>
        </w:rPr>
        <w:t xml:space="preserve"> </w:t>
      </w:r>
      <w:r w:rsidRPr="00CF78B8">
        <w:t>financières</w:t>
      </w:r>
      <w:r w:rsidRPr="00CF78B8">
        <w:rPr>
          <w:spacing w:val="-7"/>
        </w:rPr>
        <w:t xml:space="preserve"> </w:t>
      </w:r>
      <w:r w:rsidRPr="00CF78B8">
        <w:t>qui</w:t>
      </w:r>
      <w:r w:rsidRPr="00CF78B8">
        <w:rPr>
          <w:spacing w:val="-9"/>
        </w:rPr>
        <w:t xml:space="preserve"> </w:t>
      </w:r>
      <w:r w:rsidRPr="00CF78B8">
        <w:t>devraient</w:t>
      </w:r>
      <w:r w:rsidRPr="00CF78B8">
        <w:rPr>
          <w:spacing w:val="-9"/>
        </w:rPr>
        <w:t xml:space="preserve"> </w:t>
      </w:r>
      <w:r w:rsidRPr="00CF78B8">
        <w:t>se</w:t>
      </w:r>
      <w:r w:rsidRPr="00CF78B8">
        <w:rPr>
          <w:spacing w:val="-10"/>
        </w:rPr>
        <w:t xml:space="preserve"> </w:t>
      </w:r>
      <w:r w:rsidRPr="00CF78B8">
        <w:t>refléter</w:t>
      </w:r>
      <w:r w:rsidRPr="00CF78B8">
        <w:rPr>
          <w:spacing w:val="-7"/>
        </w:rPr>
        <w:t xml:space="preserve"> </w:t>
      </w:r>
      <w:r w:rsidRPr="00CF78B8">
        <w:t>sur</w:t>
      </w:r>
      <w:r w:rsidRPr="00CF78B8">
        <w:rPr>
          <w:spacing w:val="-8"/>
        </w:rPr>
        <w:t xml:space="preserve"> </w:t>
      </w:r>
      <w:r w:rsidRPr="00CF78B8">
        <w:t>son</w:t>
      </w:r>
      <w:r w:rsidRPr="00CF78B8">
        <w:rPr>
          <w:spacing w:val="-8"/>
        </w:rPr>
        <w:t xml:space="preserve"> </w:t>
      </w:r>
      <w:r w:rsidRPr="00CF78B8">
        <w:t>cours</w:t>
      </w:r>
      <w:r w:rsidRPr="00CF78B8">
        <w:rPr>
          <w:spacing w:val="-6"/>
        </w:rPr>
        <w:t xml:space="preserve"> </w:t>
      </w:r>
      <w:r w:rsidRPr="00CF78B8">
        <w:t>boursier. Les cotations en bourse qui entourent l'évènement peuvent capter l'impact de cette annonce et mesurer</w:t>
      </w:r>
      <w:r w:rsidRPr="00CF78B8">
        <w:rPr>
          <w:spacing w:val="-11"/>
        </w:rPr>
        <w:t xml:space="preserve"> </w:t>
      </w:r>
      <w:r w:rsidRPr="00CF78B8">
        <w:t>le</w:t>
      </w:r>
      <w:r w:rsidRPr="00CF78B8">
        <w:rPr>
          <w:spacing w:val="-8"/>
        </w:rPr>
        <w:t xml:space="preserve"> </w:t>
      </w:r>
      <w:r w:rsidRPr="00CF78B8">
        <w:t>coût</w:t>
      </w:r>
      <w:r w:rsidRPr="00CF78B8">
        <w:rPr>
          <w:spacing w:val="-8"/>
        </w:rPr>
        <w:t xml:space="preserve"> </w:t>
      </w:r>
      <w:r w:rsidRPr="00CF78B8">
        <w:t>économique</w:t>
      </w:r>
      <w:r w:rsidRPr="00CF78B8">
        <w:rPr>
          <w:spacing w:val="-13"/>
        </w:rPr>
        <w:t xml:space="preserve"> </w:t>
      </w:r>
      <w:r w:rsidRPr="00CF78B8">
        <w:t>de</w:t>
      </w:r>
      <w:r w:rsidRPr="00CF78B8">
        <w:rPr>
          <w:spacing w:val="-12"/>
        </w:rPr>
        <w:t xml:space="preserve"> </w:t>
      </w:r>
      <w:r w:rsidRPr="00CF78B8">
        <w:t>la</w:t>
      </w:r>
      <w:r w:rsidRPr="00CF78B8">
        <w:rPr>
          <w:spacing w:val="-8"/>
        </w:rPr>
        <w:t xml:space="preserve"> </w:t>
      </w:r>
      <w:r w:rsidRPr="00CF78B8">
        <w:t>cyberattaque.</w:t>
      </w:r>
      <w:r w:rsidRPr="00CF78B8">
        <w:rPr>
          <w:spacing w:val="-12"/>
        </w:rPr>
        <w:t xml:space="preserve"> </w:t>
      </w:r>
      <w:r w:rsidRPr="00CF78B8">
        <w:t>La</w:t>
      </w:r>
      <w:r w:rsidRPr="00CF78B8">
        <w:rPr>
          <w:spacing w:val="-13"/>
        </w:rPr>
        <w:t xml:space="preserve"> </w:t>
      </w:r>
      <w:r w:rsidRPr="00CF78B8">
        <w:t>méthodologie</w:t>
      </w:r>
      <w:r w:rsidRPr="00CF78B8">
        <w:rPr>
          <w:spacing w:val="-12"/>
        </w:rPr>
        <w:t xml:space="preserve"> </w:t>
      </w:r>
      <w:r w:rsidRPr="00CF78B8">
        <w:t>de</w:t>
      </w:r>
      <w:r w:rsidRPr="00CF78B8">
        <w:rPr>
          <w:spacing w:val="-8"/>
        </w:rPr>
        <w:t xml:space="preserve"> </w:t>
      </w:r>
      <w:r w:rsidRPr="00CF78B8">
        <w:t>l'étude</w:t>
      </w:r>
      <w:r w:rsidRPr="00CF78B8">
        <w:rPr>
          <w:spacing w:val="-13"/>
        </w:rPr>
        <w:t xml:space="preserve"> </w:t>
      </w:r>
      <w:r w:rsidRPr="00CF78B8">
        <w:t>d'évènements</w:t>
      </w:r>
      <w:r w:rsidRPr="00CF78B8">
        <w:rPr>
          <w:spacing w:val="-8"/>
        </w:rPr>
        <w:t xml:space="preserve"> </w:t>
      </w:r>
      <w:r w:rsidRPr="00CF78B8">
        <w:t>est</w:t>
      </w:r>
      <w:r w:rsidRPr="00CF78B8">
        <w:rPr>
          <w:spacing w:val="-12"/>
        </w:rPr>
        <w:t xml:space="preserve"> </w:t>
      </w:r>
      <w:r w:rsidRPr="00CF78B8">
        <w:t>basée sur</w:t>
      </w:r>
      <w:r w:rsidRPr="00CF78B8">
        <w:rPr>
          <w:spacing w:val="-8"/>
        </w:rPr>
        <w:t xml:space="preserve"> </w:t>
      </w:r>
      <w:r w:rsidRPr="00CF78B8">
        <w:t>l'hypothèse</w:t>
      </w:r>
      <w:r w:rsidRPr="00CF78B8">
        <w:rPr>
          <w:spacing w:val="-9"/>
        </w:rPr>
        <w:t xml:space="preserve"> </w:t>
      </w:r>
      <w:r w:rsidRPr="00CF78B8">
        <w:t>de</w:t>
      </w:r>
      <w:r w:rsidRPr="00CF78B8">
        <w:rPr>
          <w:spacing w:val="-10"/>
        </w:rPr>
        <w:t xml:space="preserve"> </w:t>
      </w:r>
      <w:r w:rsidRPr="00CF78B8">
        <w:t>l’efficience</w:t>
      </w:r>
      <w:r w:rsidRPr="00CF78B8">
        <w:rPr>
          <w:spacing w:val="-10"/>
        </w:rPr>
        <w:t xml:space="preserve"> </w:t>
      </w:r>
      <w:r w:rsidRPr="00CF78B8">
        <w:t>des</w:t>
      </w:r>
      <w:r w:rsidRPr="00CF78B8">
        <w:rPr>
          <w:spacing w:val="-7"/>
        </w:rPr>
        <w:t xml:space="preserve"> </w:t>
      </w:r>
      <w:r w:rsidRPr="00CF78B8">
        <w:t>marchés</w:t>
      </w:r>
      <w:r w:rsidRPr="00CF78B8">
        <w:rPr>
          <w:spacing w:val="-7"/>
        </w:rPr>
        <w:t xml:space="preserve"> </w:t>
      </w:r>
      <w:r w:rsidRPr="00CF78B8">
        <w:t>développée</w:t>
      </w:r>
      <w:r w:rsidRPr="00CF78B8">
        <w:rPr>
          <w:spacing w:val="-10"/>
        </w:rPr>
        <w:t xml:space="preserve"> </w:t>
      </w:r>
      <w:r w:rsidRPr="00CF78B8">
        <w:t>par</w:t>
      </w:r>
      <w:r w:rsidRPr="00CF78B8">
        <w:rPr>
          <w:spacing w:val="-9"/>
        </w:rPr>
        <w:t xml:space="preserve"> </w:t>
      </w:r>
      <w:r w:rsidRPr="00CF78B8">
        <w:t>Fama</w:t>
      </w:r>
      <w:r w:rsidRPr="00CF78B8">
        <w:rPr>
          <w:spacing w:val="-9"/>
        </w:rPr>
        <w:t xml:space="preserve"> </w:t>
      </w:r>
      <w:r w:rsidRPr="00CF78B8">
        <w:t>et</w:t>
      </w:r>
      <w:r w:rsidRPr="00CF78B8">
        <w:rPr>
          <w:spacing w:val="-10"/>
        </w:rPr>
        <w:t xml:space="preserve"> </w:t>
      </w:r>
      <w:r w:rsidRPr="00CF78B8">
        <w:t>soutenant</w:t>
      </w:r>
      <w:r w:rsidRPr="00CF78B8">
        <w:rPr>
          <w:spacing w:val="-3"/>
        </w:rPr>
        <w:t xml:space="preserve"> </w:t>
      </w:r>
      <w:r w:rsidRPr="00CF78B8">
        <w:t>que</w:t>
      </w:r>
      <w:r w:rsidRPr="00CF78B8">
        <w:rPr>
          <w:spacing w:val="-10"/>
        </w:rPr>
        <w:t xml:space="preserve"> </w:t>
      </w:r>
      <w:r w:rsidRPr="00CF78B8">
        <w:t>le</w:t>
      </w:r>
      <w:r w:rsidRPr="00CF78B8">
        <w:rPr>
          <w:spacing w:val="-10"/>
        </w:rPr>
        <w:t xml:space="preserve"> </w:t>
      </w:r>
      <w:r w:rsidRPr="00CF78B8">
        <w:t>prix</w:t>
      </w:r>
      <w:r w:rsidRPr="00CF78B8">
        <w:rPr>
          <w:spacing w:val="-9"/>
        </w:rPr>
        <w:t xml:space="preserve"> </w:t>
      </w:r>
      <w:r w:rsidRPr="00CF78B8">
        <w:t>d’un</w:t>
      </w:r>
      <w:r w:rsidRPr="00CF78B8">
        <w:rPr>
          <w:spacing w:val="-8"/>
        </w:rPr>
        <w:t xml:space="preserve"> </w:t>
      </w:r>
      <w:r w:rsidRPr="00CF78B8">
        <w:t>actif sur un marché liquide et efficient reflétera en tout temps toute l’information disponible. Par conséquent, il sera impossible de tirer un rendement « anormal » de ce titre compte tenu de son risque (Fama,</w:t>
      </w:r>
      <w:r w:rsidRPr="00CF78B8">
        <w:rPr>
          <w:spacing w:val="-2"/>
        </w:rPr>
        <w:t xml:space="preserve"> </w:t>
      </w:r>
      <w:r w:rsidRPr="00CF78B8">
        <w:t>1969).</w:t>
      </w:r>
    </w:p>
    <w:p w:rsidR="003E7CF5" w:rsidRPr="00CF78B8" w:rsidRDefault="00024B00" w:rsidP="00481040">
      <w:pPr>
        <w:pStyle w:val="Corpsdetexte"/>
        <w:spacing w:before="240" w:after="240" w:line="360" w:lineRule="auto"/>
        <w:ind w:right="1520"/>
        <w:jc w:val="both"/>
      </w:pPr>
      <w:r w:rsidRPr="00CF78B8">
        <w:t>En 1969, Fama, Fisher, Jensen et Roll (Fama et coll., 1969) ont publié dans « International Economics Review » leur méthodologie appelée depuis « event study methodology ». Cette méthodologie s’appuie sur les résultats des cours boursiers afin d’expliquer les effets qui peuvent apparaître à la suite d’un évènement rendu public. Dans leur démarche, ils ont étudié l’impact produit par l’annonce d’opération de division d’actions sur les actionnaires, aussi appelé « Stock</w:t>
      </w:r>
      <w:r w:rsidR="00747380" w:rsidRPr="00CF78B8">
        <w:t xml:space="preserve"> </w:t>
      </w:r>
      <w:r w:rsidRPr="00CF78B8">
        <w:t>split » (Boufama, 2013). Dans cette optique, ils exploitent le modèle de marché et le MEDAF afin</w:t>
      </w:r>
      <w:r w:rsidRPr="00CF78B8">
        <w:rPr>
          <w:spacing w:val="-7"/>
        </w:rPr>
        <w:t xml:space="preserve"> </w:t>
      </w:r>
      <w:r w:rsidRPr="00CF78B8">
        <w:t>de</w:t>
      </w:r>
      <w:r w:rsidRPr="00CF78B8">
        <w:rPr>
          <w:spacing w:val="-3"/>
        </w:rPr>
        <w:t xml:space="preserve"> </w:t>
      </w:r>
      <w:r w:rsidRPr="00CF78B8">
        <w:t>créer</w:t>
      </w:r>
      <w:r w:rsidRPr="00CF78B8">
        <w:rPr>
          <w:spacing w:val="-7"/>
        </w:rPr>
        <w:t xml:space="preserve"> </w:t>
      </w:r>
      <w:r w:rsidRPr="00CF78B8">
        <w:t>une</w:t>
      </w:r>
      <w:r w:rsidRPr="00CF78B8">
        <w:rPr>
          <w:spacing w:val="-8"/>
        </w:rPr>
        <w:t xml:space="preserve"> </w:t>
      </w:r>
      <w:r w:rsidRPr="00CF78B8">
        <w:t>relation</w:t>
      </w:r>
      <w:r w:rsidRPr="00CF78B8">
        <w:rPr>
          <w:spacing w:val="-1"/>
        </w:rPr>
        <w:t xml:space="preserve"> </w:t>
      </w:r>
      <w:r w:rsidRPr="00CF78B8">
        <w:t>linéaire</w:t>
      </w:r>
      <w:r w:rsidRPr="00CF78B8">
        <w:rPr>
          <w:spacing w:val="-3"/>
        </w:rPr>
        <w:t xml:space="preserve"> </w:t>
      </w:r>
      <w:r w:rsidRPr="00CF78B8">
        <w:t>entre</w:t>
      </w:r>
      <w:r w:rsidRPr="00CF78B8">
        <w:rPr>
          <w:spacing w:val="-8"/>
        </w:rPr>
        <w:t xml:space="preserve"> </w:t>
      </w:r>
      <w:r w:rsidRPr="00CF78B8">
        <w:rPr>
          <w:spacing w:val="2"/>
        </w:rPr>
        <w:t>la</w:t>
      </w:r>
      <w:r w:rsidRPr="00CF78B8">
        <w:rPr>
          <w:spacing w:val="-8"/>
        </w:rPr>
        <w:t xml:space="preserve"> </w:t>
      </w:r>
      <w:r w:rsidRPr="00CF78B8">
        <w:t>rentabilité</w:t>
      </w:r>
      <w:r w:rsidRPr="00CF78B8">
        <w:rPr>
          <w:spacing w:val="-3"/>
        </w:rPr>
        <w:t xml:space="preserve"> </w:t>
      </w:r>
      <w:r w:rsidRPr="00CF78B8">
        <w:t>du</w:t>
      </w:r>
      <w:r w:rsidRPr="00CF78B8">
        <w:rPr>
          <w:spacing w:val="-7"/>
        </w:rPr>
        <w:t xml:space="preserve"> </w:t>
      </w:r>
      <w:r w:rsidRPr="00CF78B8">
        <w:t>titre</w:t>
      </w:r>
      <w:r w:rsidRPr="00CF78B8">
        <w:rPr>
          <w:spacing w:val="-3"/>
        </w:rPr>
        <w:t xml:space="preserve"> </w:t>
      </w:r>
      <w:r w:rsidRPr="00CF78B8">
        <w:t>et</w:t>
      </w:r>
      <w:r w:rsidRPr="00CF78B8">
        <w:rPr>
          <w:spacing w:val="-1"/>
        </w:rPr>
        <w:t xml:space="preserve"> </w:t>
      </w:r>
      <w:r w:rsidRPr="00CF78B8">
        <w:t>la</w:t>
      </w:r>
      <w:r w:rsidRPr="00CF78B8">
        <w:rPr>
          <w:spacing w:val="-3"/>
        </w:rPr>
        <w:t xml:space="preserve"> </w:t>
      </w:r>
      <w:r w:rsidRPr="00CF78B8">
        <w:t>rentabilité</w:t>
      </w:r>
      <w:r w:rsidRPr="00CF78B8">
        <w:rPr>
          <w:spacing w:val="-3"/>
        </w:rPr>
        <w:t xml:space="preserve"> </w:t>
      </w:r>
      <w:r w:rsidRPr="00CF78B8">
        <w:t>du</w:t>
      </w:r>
      <w:r w:rsidRPr="00CF78B8">
        <w:rPr>
          <w:spacing w:val="-7"/>
        </w:rPr>
        <w:t xml:space="preserve"> </w:t>
      </w:r>
      <w:r w:rsidRPr="00CF78B8">
        <w:t>marché.</w:t>
      </w:r>
      <w:r w:rsidRPr="00CF78B8">
        <w:rPr>
          <w:spacing w:val="1"/>
        </w:rPr>
        <w:t xml:space="preserve"> </w:t>
      </w:r>
      <w:r w:rsidRPr="00CF78B8">
        <w:t>Ce</w:t>
      </w:r>
      <w:r w:rsidRPr="00CF78B8">
        <w:rPr>
          <w:spacing w:val="-3"/>
        </w:rPr>
        <w:t xml:space="preserve"> </w:t>
      </w:r>
      <w:r w:rsidRPr="00CF78B8">
        <w:t xml:space="preserve">modèle est basé sur une approche statistique qui met en relation la rentabilité d’un titre avec le rendement de l’ensemble du marché. </w:t>
      </w:r>
      <w:r w:rsidR="00481040">
        <w:t xml:space="preserve">(Sharpe, 1963). </w:t>
      </w:r>
      <w:r w:rsidR="00747380" w:rsidRPr="00CF78B8">
        <w:t xml:space="preserve">Les rentabilités sont mesurées en différences logarithmiques </w:t>
      </w:r>
      <w:r w:rsidR="00CF78B8" w:rsidRPr="00CF78B8">
        <w:t>(Peillex et Ureche-Rangau, 2014 ; El Ouadghiri et al., 2016 ;</w:t>
      </w:r>
      <w:r w:rsidR="008C59C3" w:rsidRPr="008C59C3">
        <w:t xml:space="preserve"> </w:t>
      </w:r>
      <w:r w:rsidR="008C59C3">
        <w:t>Erragragui et al., 2018 ;</w:t>
      </w:r>
      <w:r w:rsidR="008C59C3" w:rsidRPr="008C59C3">
        <w:t xml:space="preserve"> </w:t>
      </w:r>
      <w:r w:rsidR="00CF78B8" w:rsidRPr="00CF78B8">
        <w:t xml:space="preserve"> </w:t>
      </w:r>
      <w:r w:rsidR="00747380" w:rsidRPr="00CF78B8">
        <w:t>Benlemlih, et al. 2018)</w:t>
      </w:r>
      <w:r w:rsidR="00481040">
        <w:t>.</w:t>
      </w:r>
    </w:p>
    <w:p w:rsidR="003E7CF5" w:rsidRPr="00CF78B8" w:rsidRDefault="00024B00" w:rsidP="00CF78B8">
      <w:pPr>
        <w:pStyle w:val="Corpsdetexte"/>
        <w:spacing w:before="240" w:after="240" w:line="360" w:lineRule="auto"/>
        <w:ind w:right="1520"/>
        <w:jc w:val="both"/>
      </w:pPr>
      <w:bookmarkStart w:id="14" w:name="La_méthodologie_d’étude_d’évènements_emp"/>
      <w:bookmarkStart w:id="15" w:name="_bookmark22"/>
      <w:bookmarkEnd w:id="14"/>
      <w:bookmarkEnd w:id="15"/>
      <w:r w:rsidRPr="00CF78B8">
        <w:t>L’objectif est d’examiner les réactions, suite aux annonces d’information d’une faille de sécurité dans</w:t>
      </w:r>
      <w:r w:rsidRPr="00CF78B8">
        <w:rPr>
          <w:spacing w:val="-3"/>
        </w:rPr>
        <w:t xml:space="preserve"> </w:t>
      </w:r>
      <w:r w:rsidRPr="00CF78B8">
        <w:t>les</w:t>
      </w:r>
      <w:r w:rsidRPr="00CF78B8">
        <w:rPr>
          <w:spacing w:val="-3"/>
        </w:rPr>
        <w:t xml:space="preserve"> </w:t>
      </w:r>
      <w:r w:rsidRPr="00CF78B8">
        <w:t>systèmes</w:t>
      </w:r>
      <w:r w:rsidRPr="00CF78B8">
        <w:rPr>
          <w:spacing w:val="-3"/>
        </w:rPr>
        <w:t xml:space="preserve"> </w:t>
      </w:r>
      <w:r w:rsidRPr="00CF78B8">
        <w:t>d’information,</w:t>
      </w:r>
      <w:r w:rsidRPr="00CF78B8">
        <w:rPr>
          <w:spacing w:val="-4"/>
        </w:rPr>
        <w:t xml:space="preserve"> </w:t>
      </w:r>
      <w:r w:rsidRPr="00CF78B8">
        <w:t>des</w:t>
      </w:r>
      <w:r w:rsidRPr="00CF78B8">
        <w:rPr>
          <w:spacing w:val="-2"/>
        </w:rPr>
        <w:t xml:space="preserve"> </w:t>
      </w:r>
      <w:r w:rsidRPr="00CF78B8">
        <w:t>cours</w:t>
      </w:r>
      <w:r w:rsidRPr="00CF78B8">
        <w:rPr>
          <w:spacing w:val="-3"/>
        </w:rPr>
        <w:t xml:space="preserve"> </w:t>
      </w:r>
      <w:r w:rsidRPr="00CF78B8">
        <w:t>boursiers.</w:t>
      </w:r>
      <w:r w:rsidRPr="00CF78B8">
        <w:rPr>
          <w:spacing w:val="-2"/>
        </w:rPr>
        <w:t xml:space="preserve"> </w:t>
      </w:r>
      <w:r w:rsidRPr="00CF78B8">
        <w:t>Pour</w:t>
      </w:r>
      <w:r w:rsidRPr="00CF78B8">
        <w:rPr>
          <w:spacing w:val="-4"/>
        </w:rPr>
        <w:t xml:space="preserve"> </w:t>
      </w:r>
      <w:r w:rsidRPr="00CF78B8">
        <w:t>ce</w:t>
      </w:r>
      <w:r w:rsidRPr="00CF78B8">
        <w:rPr>
          <w:spacing w:val="-5"/>
        </w:rPr>
        <w:t xml:space="preserve"> </w:t>
      </w:r>
      <w:r w:rsidRPr="00CF78B8">
        <w:t>faire</w:t>
      </w:r>
      <w:r w:rsidRPr="00CF78B8">
        <w:rPr>
          <w:spacing w:val="-6"/>
        </w:rPr>
        <w:t xml:space="preserve"> </w:t>
      </w:r>
      <w:r w:rsidRPr="00CF78B8">
        <w:t>plusieurs</w:t>
      </w:r>
      <w:r w:rsidRPr="00CF78B8">
        <w:rPr>
          <w:spacing w:val="-3"/>
        </w:rPr>
        <w:t xml:space="preserve"> </w:t>
      </w:r>
      <w:r w:rsidRPr="00CF78B8">
        <w:t>éléments</w:t>
      </w:r>
      <w:r w:rsidRPr="00CF78B8">
        <w:rPr>
          <w:spacing w:val="-2"/>
        </w:rPr>
        <w:t xml:space="preserve"> </w:t>
      </w:r>
      <w:r w:rsidRPr="00CF78B8">
        <w:t>doivent</w:t>
      </w:r>
      <w:r w:rsidRPr="00CF78B8">
        <w:rPr>
          <w:spacing w:val="-6"/>
        </w:rPr>
        <w:t xml:space="preserve"> </w:t>
      </w:r>
      <w:r w:rsidRPr="00CF78B8">
        <w:t>être définis, notamment la nature de l’échantillon, les paramètres d’analyse et le modèle permettant d’appréhender les rendements anormaux ou non des différents</w:t>
      </w:r>
      <w:r w:rsidRPr="00CF78B8">
        <w:rPr>
          <w:spacing w:val="8"/>
        </w:rPr>
        <w:t xml:space="preserve"> </w:t>
      </w:r>
      <w:r w:rsidRPr="00CF78B8">
        <w:t>titres.</w:t>
      </w:r>
    </w:p>
    <w:p w:rsidR="003E7CF5" w:rsidRPr="00CF78B8" w:rsidRDefault="00024B00" w:rsidP="00CF78B8">
      <w:pPr>
        <w:pStyle w:val="Corpsdetexte"/>
        <w:spacing w:before="240" w:after="240" w:line="360" w:lineRule="auto"/>
        <w:ind w:right="1520"/>
        <w:jc w:val="both"/>
      </w:pPr>
      <w:r w:rsidRPr="00CF78B8">
        <w:t>Les</w:t>
      </w:r>
      <w:r w:rsidRPr="00CF78B8">
        <w:rPr>
          <w:spacing w:val="-10"/>
        </w:rPr>
        <w:t xml:space="preserve"> </w:t>
      </w:r>
      <w:r w:rsidRPr="00CF78B8">
        <w:t>évènements</w:t>
      </w:r>
      <w:r w:rsidRPr="00CF78B8">
        <w:rPr>
          <w:spacing w:val="-10"/>
        </w:rPr>
        <w:t xml:space="preserve"> </w:t>
      </w:r>
      <w:r w:rsidRPr="00CF78B8">
        <w:t>qui</w:t>
      </w:r>
      <w:r w:rsidRPr="00CF78B8">
        <w:rPr>
          <w:spacing w:val="-8"/>
        </w:rPr>
        <w:t xml:space="preserve"> </w:t>
      </w:r>
      <w:r w:rsidRPr="00CF78B8">
        <w:t>composent</w:t>
      </w:r>
      <w:r w:rsidRPr="00CF78B8">
        <w:rPr>
          <w:spacing w:val="-8"/>
        </w:rPr>
        <w:t xml:space="preserve"> </w:t>
      </w:r>
      <w:r w:rsidRPr="00CF78B8">
        <w:t>l’échantillon</w:t>
      </w:r>
      <w:r w:rsidRPr="00CF78B8">
        <w:rPr>
          <w:spacing w:val="-2"/>
        </w:rPr>
        <w:t xml:space="preserve"> </w:t>
      </w:r>
      <w:r w:rsidRPr="00CF78B8">
        <w:t>doivent</w:t>
      </w:r>
      <w:r w:rsidRPr="00CF78B8">
        <w:rPr>
          <w:spacing w:val="-8"/>
        </w:rPr>
        <w:t xml:space="preserve"> </w:t>
      </w:r>
      <w:r w:rsidRPr="00CF78B8">
        <w:t>permettre</w:t>
      </w:r>
      <w:r w:rsidRPr="00CF78B8">
        <w:rPr>
          <w:spacing w:val="-13"/>
        </w:rPr>
        <w:t xml:space="preserve"> </w:t>
      </w:r>
      <w:r w:rsidRPr="00CF78B8">
        <w:t>de</w:t>
      </w:r>
      <w:r w:rsidRPr="00CF78B8">
        <w:rPr>
          <w:spacing w:val="-13"/>
        </w:rPr>
        <w:t xml:space="preserve"> </w:t>
      </w:r>
      <w:r w:rsidRPr="00CF78B8">
        <w:t>définir</w:t>
      </w:r>
      <w:r w:rsidRPr="00CF78B8">
        <w:rPr>
          <w:spacing w:val="-11"/>
        </w:rPr>
        <w:t xml:space="preserve"> </w:t>
      </w:r>
      <w:r w:rsidRPr="00CF78B8">
        <w:t>de</w:t>
      </w:r>
      <w:r w:rsidRPr="00CF78B8">
        <w:rPr>
          <w:spacing w:val="-12"/>
        </w:rPr>
        <w:t xml:space="preserve"> </w:t>
      </w:r>
      <w:r w:rsidRPr="00CF78B8">
        <w:t>manière</w:t>
      </w:r>
      <w:r w:rsidRPr="00CF78B8">
        <w:rPr>
          <w:spacing w:val="-13"/>
        </w:rPr>
        <w:t xml:space="preserve"> </w:t>
      </w:r>
      <w:r w:rsidRPr="00CF78B8">
        <w:t>exacte</w:t>
      </w:r>
      <w:r w:rsidRPr="00CF78B8">
        <w:rPr>
          <w:spacing w:val="-8"/>
        </w:rPr>
        <w:t xml:space="preserve"> </w:t>
      </w:r>
      <w:r w:rsidRPr="00CF78B8">
        <w:t>la</w:t>
      </w:r>
      <w:r w:rsidRPr="00CF78B8">
        <w:rPr>
          <w:spacing w:val="-13"/>
        </w:rPr>
        <w:t xml:space="preserve"> </w:t>
      </w:r>
      <w:r w:rsidRPr="00CF78B8">
        <w:t xml:space="preserve">date à laquelle ils ont eu lieu. Cette dernière est le point de départ de l’analyse utilisée dans cette étude et </w:t>
      </w:r>
      <w:r w:rsidRPr="00CF78B8">
        <w:lastRenderedPageBreak/>
        <w:t>permettra d’établir une ligne temporelle. Cette ligne comprend la date de l’évènement ainsi</w:t>
      </w:r>
      <w:r w:rsidRPr="00CF78B8">
        <w:rPr>
          <w:spacing w:val="-6"/>
        </w:rPr>
        <w:t xml:space="preserve"> </w:t>
      </w:r>
      <w:r w:rsidRPr="00CF78B8">
        <w:t>que</w:t>
      </w:r>
      <w:r w:rsidR="00747380" w:rsidRPr="00CF78B8">
        <w:t xml:space="preserve"> </w:t>
      </w:r>
      <w:r w:rsidRPr="00CF78B8">
        <w:t>plusieurs fenêtres d’analyses qui l’entourent. Les périodes peuvent être antérieures et postérieures à la période d’évènement.</w:t>
      </w:r>
    </w:p>
    <w:p w:rsidR="003E7CF5" w:rsidRPr="00CF78B8" w:rsidRDefault="00024B00" w:rsidP="00CF78B8">
      <w:pPr>
        <w:pStyle w:val="Corpsdetexte"/>
        <w:spacing w:before="240" w:after="240" w:line="360" w:lineRule="auto"/>
        <w:ind w:right="1520"/>
        <w:jc w:val="both"/>
      </w:pPr>
      <w:r w:rsidRPr="00CF78B8">
        <w:t>Dans le cadre de cette étude, la période d’évènement sera de 20 jours avant et 20 jours après l’attaque.</w:t>
      </w:r>
      <w:r w:rsidRPr="00CF78B8">
        <w:rPr>
          <w:spacing w:val="-13"/>
        </w:rPr>
        <w:t xml:space="preserve"> </w:t>
      </w:r>
      <w:r w:rsidRPr="00CF78B8">
        <w:t>Les</w:t>
      </w:r>
      <w:r w:rsidRPr="00CF78B8">
        <w:rPr>
          <w:spacing w:val="-11"/>
        </w:rPr>
        <w:t xml:space="preserve"> </w:t>
      </w:r>
      <w:r w:rsidRPr="00CF78B8">
        <w:t>fenêtres</w:t>
      </w:r>
      <w:r w:rsidRPr="00CF78B8">
        <w:rPr>
          <w:spacing w:val="-12"/>
        </w:rPr>
        <w:t xml:space="preserve"> </w:t>
      </w:r>
      <w:r w:rsidRPr="00CF78B8">
        <w:t>d’analyses</w:t>
      </w:r>
      <w:r w:rsidRPr="00CF78B8">
        <w:rPr>
          <w:spacing w:val="-11"/>
        </w:rPr>
        <w:t xml:space="preserve"> </w:t>
      </w:r>
      <w:r w:rsidRPr="00CF78B8">
        <w:t>étudiées</w:t>
      </w:r>
      <w:r w:rsidRPr="00CF78B8">
        <w:rPr>
          <w:spacing w:val="-11"/>
        </w:rPr>
        <w:t xml:space="preserve"> </w:t>
      </w:r>
      <w:r w:rsidRPr="00CF78B8">
        <w:t>dans</w:t>
      </w:r>
      <w:r w:rsidRPr="00CF78B8">
        <w:rPr>
          <w:spacing w:val="-12"/>
        </w:rPr>
        <w:t xml:space="preserve"> </w:t>
      </w:r>
      <w:r w:rsidRPr="00CF78B8">
        <w:t>cette</w:t>
      </w:r>
      <w:r w:rsidRPr="00CF78B8">
        <w:rPr>
          <w:spacing w:val="-9"/>
        </w:rPr>
        <w:t xml:space="preserve"> </w:t>
      </w:r>
      <w:r w:rsidRPr="00CF78B8">
        <w:t>étude</w:t>
      </w:r>
      <w:r w:rsidRPr="00CF78B8">
        <w:rPr>
          <w:spacing w:val="-10"/>
        </w:rPr>
        <w:t xml:space="preserve"> </w:t>
      </w:r>
      <w:r w:rsidRPr="00CF78B8">
        <w:t>reprennent</w:t>
      </w:r>
      <w:r w:rsidRPr="00CF78B8">
        <w:rPr>
          <w:spacing w:val="-10"/>
        </w:rPr>
        <w:t xml:space="preserve"> </w:t>
      </w:r>
      <w:r w:rsidRPr="00CF78B8">
        <w:t>la</w:t>
      </w:r>
      <w:r w:rsidRPr="00CF78B8">
        <w:rPr>
          <w:spacing w:val="-14"/>
        </w:rPr>
        <w:t xml:space="preserve"> </w:t>
      </w:r>
      <w:r w:rsidRPr="00CF78B8">
        <w:t>démarche</w:t>
      </w:r>
      <w:r w:rsidRPr="00CF78B8">
        <w:rPr>
          <w:spacing w:val="-12"/>
        </w:rPr>
        <w:t xml:space="preserve"> </w:t>
      </w:r>
      <w:r w:rsidRPr="00CF78B8">
        <w:t>utilisée</w:t>
      </w:r>
      <w:r w:rsidRPr="00CF78B8">
        <w:rPr>
          <w:spacing w:val="-10"/>
        </w:rPr>
        <w:t xml:space="preserve"> </w:t>
      </w:r>
      <w:r w:rsidRPr="00CF78B8">
        <w:t>en</w:t>
      </w:r>
      <w:r w:rsidRPr="00CF78B8">
        <w:rPr>
          <w:spacing w:val="-13"/>
        </w:rPr>
        <w:t xml:space="preserve"> </w:t>
      </w:r>
      <w:r w:rsidRPr="00CF78B8">
        <w:t>2017 par Arcuri. (Arcuri et coll., 2017) En effet, aujourd’hui toutes les entreprises sont au fait des menaces cyber qui pèsent sur elles et les grandes entreprises ciblées dans cette étude font preuve d’une</w:t>
      </w:r>
      <w:r w:rsidRPr="00CF78B8">
        <w:rPr>
          <w:spacing w:val="-8"/>
        </w:rPr>
        <w:t xml:space="preserve"> </w:t>
      </w:r>
      <w:r w:rsidRPr="00CF78B8">
        <w:t>certaine</w:t>
      </w:r>
      <w:r w:rsidRPr="00CF78B8">
        <w:rPr>
          <w:spacing w:val="-3"/>
        </w:rPr>
        <w:t xml:space="preserve"> </w:t>
      </w:r>
      <w:r w:rsidRPr="00CF78B8">
        <w:t>maturité</w:t>
      </w:r>
      <w:r w:rsidRPr="00CF78B8">
        <w:rPr>
          <w:spacing w:val="-3"/>
        </w:rPr>
        <w:t xml:space="preserve"> </w:t>
      </w:r>
      <w:r w:rsidRPr="00CF78B8">
        <w:t>face</w:t>
      </w:r>
      <w:r w:rsidRPr="00CF78B8">
        <w:rPr>
          <w:spacing w:val="-8"/>
        </w:rPr>
        <w:t xml:space="preserve"> </w:t>
      </w:r>
      <w:r w:rsidRPr="00CF78B8">
        <w:t>à</w:t>
      </w:r>
      <w:r w:rsidRPr="00CF78B8">
        <w:rPr>
          <w:spacing w:val="-8"/>
        </w:rPr>
        <w:t xml:space="preserve"> </w:t>
      </w:r>
      <w:r w:rsidRPr="00CF78B8">
        <w:t>ce</w:t>
      </w:r>
      <w:r w:rsidRPr="00CF78B8">
        <w:rPr>
          <w:spacing w:val="-8"/>
        </w:rPr>
        <w:t xml:space="preserve"> </w:t>
      </w:r>
      <w:r w:rsidRPr="00CF78B8">
        <w:t>risque.</w:t>
      </w:r>
      <w:r w:rsidRPr="00CF78B8">
        <w:rPr>
          <w:spacing w:val="-1"/>
        </w:rPr>
        <w:t xml:space="preserve"> </w:t>
      </w:r>
      <w:r w:rsidRPr="00CF78B8">
        <w:t>Elles</w:t>
      </w:r>
      <w:r w:rsidRPr="00CF78B8">
        <w:rPr>
          <w:spacing w:val="-4"/>
        </w:rPr>
        <w:t xml:space="preserve"> </w:t>
      </w:r>
      <w:r w:rsidRPr="00CF78B8">
        <w:t>disposent</w:t>
      </w:r>
      <w:r w:rsidRPr="00CF78B8">
        <w:rPr>
          <w:spacing w:val="-8"/>
        </w:rPr>
        <w:t xml:space="preserve"> </w:t>
      </w:r>
      <w:r w:rsidRPr="00CF78B8">
        <w:t>de</w:t>
      </w:r>
      <w:r w:rsidRPr="00CF78B8">
        <w:rPr>
          <w:spacing w:val="-8"/>
        </w:rPr>
        <w:t xml:space="preserve"> </w:t>
      </w:r>
      <w:r w:rsidRPr="00CF78B8">
        <w:t>plans</w:t>
      </w:r>
      <w:r w:rsidRPr="00CF78B8">
        <w:rPr>
          <w:spacing w:val="-5"/>
        </w:rPr>
        <w:t xml:space="preserve"> </w:t>
      </w:r>
      <w:r w:rsidRPr="00CF78B8">
        <w:t>de</w:t>
      </w:r>
      <w:r w:rsidRPr="00CF78B8">
        <w:rPr>
          <w:spacing w:val="-1"/>
        </w:rPr>
        <w:t xml:space="preserve"> </w:t>
      </w:r>
      <w:r w:rsidRPr="00CF78B8">
        <w:t>gestion</w:t>
      </w:r>
      <w:r w:rsidRPr="00CF78B8">
        <w:rPr>
          <w:spacing w:val="-6"/>
        </w:rPr>
        <w:t xml:space="preserve"> </w:t>
      </w:r>
      <w:r w:rsidRPr="00CF78B8">
        <w:t>crises</w:t>
      </w:r>
      <w:r w:rsidRPr="00CF78B8">
        <w:rPr>
          <w:spacing w:val="-5"/>
        </w:rPr>
        <w:t xml:space="preserve"> </w:t>
      </w:r>
      <w:r w:rsidRPr="00CF78B8">
        <w:t>pour</w:t>
      </w:r>
      <w:r w:rsidRPr="00CF78B8">
        <w:rPr>
          <w:spacing w:val="-5"/>
        </w:rPr>
        <w:t xml:space="preserve"> </w:t>
      </w:r>
      <w:r w:rsidRPr="00CF78B8">
        <w:t>y</w:t>
      </w:r>
      <w:r w:rsidRPr="00CF78B8">
        <w:rPr>
          <w:spacing w:val="-7"/>
        </w:rPr>
        <w:t xml:space="preserve"> </w:t>
      </w:r>
      <w:r w:rsidRPr="00CF78B8">
        <w:t>faire</w:t>
      </w:r>
      <w:r w:rsidRPr="00CF78B8">
        <w:rPr>
          <w:spacing w:val="-8"/>
        </w:rPr>
        <w:t xml:space="preserve"> </w:t>
      </w:r>
      <w:r w:rsidRPr="00CF78B8">
        <w:t>face ainsi que de tout le support technique adéquat pour détecter et traiter ces menaces en quelques heures, au maximum jours. Les périodes entourant l’évènement supérieures à celle donnée précédemment ne semblent donc plus être aussi significatives qu’auparavant. De plus, la majorité des</w:t>
      </w:r>
      <w:r w:rsidRPr="00CF78B8">
        <w:rPr>
          <w:spacing w:val="-11"/>
        </w:rPr>
        <w:t xml:space="preserve"> </w:t>
      </w:r>
      <w:r w:rsidRPr="00CF78B8">
        <w:t>études</w:t>
      </w:r>
      <w:r w:rsidRPr="00CF78B8">
        <w:rPr>
          <w:spacing w:val="-10"/>
        </w:rPr>
        <w:t xml:space="preserve"> </w:t>
      </w:r>
      <w:r w:rsidRPr="00CF78B8">
        <w:t>citées</w:t>
      </w:r>
      <w:r w:rsidRPr="00CF78B8">
        <w:rPr>
          <w:spacing w:val="-7"/>
        </w:rPr>
        <w:t xml:space="preserve"> </w:t>
      </w:r>
      <w:r w:rsidRPr="00CF78B8">
        <w:t>précédemment</w:t>
      </w:r>
      <w:r w:rsidRPr="00CF78B8">
        <w:rPr>
          <w:spacing w:val="-13"/>
        </w:rPr>
        <w:t xml:space="preserve"> </w:t>
      </w:r>
      <w:r w:rsidRPr="00CF78B8">
        <w:t>ont</w:t>
      </w:r>
      <w:r w:rsidRPr="00CF78B8">
        <w:rPr>
          <w:spacing w:val="-13"/>
        </w:rPr>
        <w:t xml:space="preserve"> </w:t>
      </w:r>
      <w:r w:rsidRPr="00CF78B8">
        <w:t>tout</w:t>
      </w:r>
      <w:r w:rsidRPr="00CF78B8">
        <w:rPr>
          <w:spacing w:val="-13"/>
        </w:rPr>
        <w:t xml:space="preserve"> </w:t>
      </w:r>
      <w:r w:rsidRPr="00CF78B8">
        <w:t>de</w:t>
      </w:r>
      <w:r w:rsidRPr="00CF78B8">
        <w:rPr>
          <w:spacing w:val="-8"/>
        </w:rPr>
        <w:t xml:space="preserve"> </w:t>
      </w:r>
      <w:r w:rsidRPr="00CF78B8">
        <w:t>même</w:t>
      </w:r>
      <w:r w:rsidRPr="00CF78B8">
        <w:rPr>
          <w:spacing w:val="-13"/>
        </w:rPr>
        <w:t xml:space="preserve"> </w:t>
      </w:r>
      <w:r w:rsidRPr="00CF78B8">
        <w:t>démontré</w:t>
      </w:r>
      <w:r w:rsidRPr="00CF78B8">
        <w:rPr>
          <w:spacing w:val="-13"/>
        </w:rPr>
        <w:t xml:space="preserve"> </w:t>
      </w:r>
      <w:r w:rsidRPr="00CF78B8">
        <w:t>des</w:t>
      </w:r>
      <w:r w:rsidRPr="00CF78B8">
        <w:rPr>
          <w:spacing w:val="-11"/>
        </w:rPr>
        <w:t xml:space="preserve"> </w:t>
      </w:r>
      <w:r w:rsidRPr="00CF78B8">
        <w:t>résultats</w:t>
      </w:r>
      <w:r w:rsidRPr="00CF78B8">
        <w:rPr>
          <w:spacing w:val="-10"/>
        </w:rPr>
        <w:t xml:space="preserve"> </w:t>
      </w:r>
      <w:r w:rsidRPr="00CF78B8">
        <w:t>assez</w:t>
      </w:r>
      <w:r w:rsidRPr="00CF78B8">
        <w:rPr>
          <w:spacing w:val="-13"/>
        </w:rPr>
        <w:t xml:space="preserve"> </w:t>
      </w:r>
      <w:r w:rsidRPr="00CF78B8">
        <w:t>significatifs</w:t>
      </w:r>
      <w:r w:rsidRPr="00CF78B8">
        <w:rPr>
          <w:spacing w:val="-10"/>
        </w:rPr>
        <w:t xml:space="preserve"> </w:t>
      </w:r>
      <w:r w:rsidRPr="00CF78B8">
        <w:t>sur</w:t>
      </w:r>
      <w:r w:rsidRPr="00CF78B8">
        <w:rPr>
          <w:spacing w:val="-11"/>
        </w:rPr>
        <w:t xml:space="preserve"> </w:t>
      </w:r>
      <w:r w:rsidRPr="00CF78B8">
        <w:t>une période de 2 jours après l’annonce d’évènement.</w:t>
      </w:r>
    </w:p>
    <w:p w:rsidR="003E7CF5" w:rsidRPr="00A5268B" w:rsidRDefault="00024B00" w:rsidP="00A5268B">
      <w:pPr>
        <w:pStyle w:val="Corpsdetexte"/>
        <w:spacing w:before="240" w:after="240" w:line="360" w:lineRule="auto"/>
        <w:ind w:right="1520"/>
        <w:jc w:val="both"/>
      </w:pPr>
      <w:r w:rsidRPr="00CF78B8">
        <w:t>Enfin,</w:t>
      </w:r>
      <w:r w:rsidRPr="00CF78B8">
        <w:rPr>
          <w:spacing w:val="-3"/>
        </w:rPr>
        <w:t xml:space="preserve"> </w:t>
      </w:r>
      <w:r w:rsidRPr="00CF78B8">
        <w:t>la</w:t>
      </w:r>
      <w:r w:rsidRPr="00CF78B8">
        <w:rPr>
          <w:spacing w:val="-4"/>
        </w:rPr>
        <w:t xml:space="preserve"> </w:t>
      </w:r>
      <w:r w:rsidRPr="00CF78B8">
        <w:t>période</w:t>
      </w:r>
      <w:r w:rsidRPr="00CF78B8">
        <w:rPr>
          <w:spacing w:val="-5"/>
        </w:rPr>
        <w:t xml:space="preserve"> </w:t>
      </w:r>
      <w:r w:rsidRPr="00CF78B8">
        <w:t>d’estimation,</w:t>
      </w:r>
      <w:r w:rsidRPr="00CF78B8">
        <w:rPr>
          <w:spacing w:val="-2"/>
        </w:rPr>
        <w:t xml:space="preserve"> </w:t>
      </w:r>
      <w:r w:rsidRPr="00CF78B8">
        <w:t>à</w:t>
      </w:r>
      <w:r w:rsidRPr="00CF78B8">
        <w:rPr>
          <w:spacing w:val="-4"/>
        </w:rPr>
        <w:t xml:space="preserve"> </w:t>
      </w:r>
      <w:r w:rsidRPr="00CF78B8">
        <w:t>l’extérieur</w:t>
      </w:r>
      <w:r w:rsidRPr="00CF78B8">
        <w:rPr>
          <w:spacing w:val="-3"/>
        </w:rPr>
        <w:t xml:space="preserve"> </w:t>
      </w:r>
      <w:r w:rsidRPr="00CF78B8">
        <w:t>de</w:t>
      </w:r>
      <w:r w:rsidRPr="00CF78B8">
        <w:rPr>
          <w:spacing w:val="-4"/>
        </w:rPr>
        <w:t xml:space="preserve"> </w:t>
      </w:r>
      <w:r w:rsidRPr="00CF78B8">
        <w:t>la</w:t>
      </w:r>
      <w:r w:rsidRPr="00CF78B8">
        <w:rPr>
          <w:spacing w:val="-5"/>
        </w:rPr>
        <w:t xml:space="preserve"> </w:t>
      </w:r>
      <w:r w:rsidRPr="00CF78B8">
        <w:t>période</w:t>
      </w:r>
      <w:r w:rsidRPr="00CF78B8">
        <w:rPr>
          <w:spacing w:val="-4"/>
        </w:rPr>
        <w:t xml:space="preserve"> </w:t>
      </w:r>
      <w:r w:rsidRPr="00CF78B8">
        <w:t>d’évènement,</w:t>
      </w:r>
      <w:r w:rsidRPr="00CF78B8">
        <w:rPr>
          <w:spacing w:val="-2"/>
        </w:rPr>
        <w:t xml:space="preserve"> </w:t>
      </w:r>
      <w:r w:rsidRPr="00CF78B8">
        <w:t>permet</w:t>
      </w:r>
      <w:r w:rsidRPr="00CF78B8">
        <w:rPr>
          <w:spacing w:val="-5"/>
        </w:rPr>
        <w:t xml:space="preserve"> </w:t>
      </w:r>
      <w:r w:rsidRPr="00CF78B8">
        <w:t>d’exclure</w:t>
      </w:r>
      <w:r w:rsidRPr="00CF78B8">
        <w:rPr>
          <w:spacing w:val="-4"/>
        </w:rPr>
        <w:t xml:space="preserve"> </w:t>
      </w:r>
      <w:r w:rsidRPr="00CF78B8">
        <w:t>l’effet</w:t>
      </w:r>
      <w:r w:rsidRPr="00CF78B8">
        <w:rPr>
          <w:spacing w:val="-3"/>
        </w:rPr>
        <w:t xml:space="preserve"> </w:t>
      </w:r>
      <w:r w:rsidRPr="00CF78B8">
        <w:t>de cette dernière. Elle sert de période de référence pour l’estimation des paramètres du modèle de marché.</w:t>
      </w:r>
      <w:r w:rsidRPr="00CF78B8">
        <w:rPr>
          <w:spacing w:val="-7"/>
        </w:rPr>
        <w:t xml:space="preserve"> </w:t>
      </w:r>
      <w:r w:rsidRPr="00CF78B8">
        <w:t>Comme</w:t>
      </w:r>
      <w:r w:rsidRPr="00CF78B8">
        <w:rPr>
          <w:spacing w:val="-9"/>
        </w:rPr>
        <w:t xml:space="preserve"> </w:t>
      </w:r>
      <w:r w:rsidRPr="00CF78B8">
        <w:t>de</w:t>
      </w:r>
      <w:r w:rsidRPr="00CF78B8">
        <w:rPr>
          <w:spacing w:val="-9"/>
        </w:rPr>
        <w:t xml:space="preserve"> </w:t>
      </w:r>
      <w:r w:rsidRPr="00CF78B8">
        <w:t>nombreuses</w:t>
      </w:r>
      <w:r w:rsidRPr="00CF78B8">
        <w:rPr>
          <w:spacing w:val="-6"/>
        </w:rPr>
        <w:t xml:space="preserve"> </w:t>
      </w:r>
      <w:r w:rsidRPr="00CF78B8">
        <w:t>études</w:t>
      </w:r>
      <w:r w:rsidRPr="00CF78B8">
        <w:rPr>
          <w:spacing w:val="-6"/>
        </w:rPr>
        <w:t xml:space="preserve"> </w:t>
      </w:r>
      <w:r w:rsidRPr="00CF78B8">
        <w:t>ayant</w:t>
      </w:r>
      <w:r w:rsidRPr="00CF78B8">
        <w:rPr>
          <w:spacing w:val="-8"/>
        </w:rPr>
        <w:t xml:space="preserve"> </w:t>
      </w:r>
      <w:r w:rsidRPr="00CF78B8">
        <w:t>suivies</w:t>
      </w:r>
      <w:r w:rsidRPr="00CF78B8">
        <w:rPr>
          <w:spacing w:val="-1"/>
        </w:rPr>
        <w:t xml:space="preserve"> </w:t>
      </w:r>
      <w:r w:rsidRPr="00CF78B8">
        <w:t>la</w:t>
      </w:r>
      <w:r w:rsidRPr="00CF78B8">
        <w:rPr>
          <w:spacing w:val="-9"/>
        </w:rPr>
        <w:t xml:space="preserve"> </w:t>
      </w:r>
      <w:r w:rsidRPr="00CF78B8">
        <w:t>même</w:t>
      </w:r>
      <w:r w:rsidRPr="00CF78B8">
        <w:rPr>
          <w:spacing w:val="-9"/>
        </w:rPr>
        <w:t xml:space="preserve"> </w:t>
      </w:r>
      <w:r w:rsidRPr="00CF78B8">
        <w:t>méthodologie</w:t>
      </w:r>
      <w:r w:rsidRPr="00CF78B8">
        <w:rPr>
          <w:spacing w:val="-9"/>
        </w:rPr>
        <w:t xml:space="preserve"> </w:t>
      </w:r>
      <w:r w:rsidRPr="00CF78B8">
        <w:t>d’étude</w:t>
      </w:r>
      <w:r w:rsidRPr="00CF78B8">
        <w:rPr>
          <w:spacing w:val="-8"/>
        </w:rPr>
        <w:t xml:space="preserve"> </w:t>
      </w:r>
      <w:r w:rsidRPr="00CF78B8">
        <w:t xml:space="preserve">d’évènement, cette période a été fixée à 121 jours (Skrepnek et coll., 2001). Ainsi, les coefficients αi et βi sont estimés </w:t>
      </w:r>
      <w:r w:rsidRPr="00CF78B8">
        <w:rPr>
          <w:spacing w:val="11"/>
        </w:rPr>
        <w:t xml:space="preserve"> </w:t>
      </w:r>
      <w:r w:rsidRPr="00CF78B8">
        <w:t xml:space="preserve">pour </w:t>
      </w:r>
      <w:r w:rsidRPr="00CF78B8">
        <w:rPr>
          <w:spacing w:val="9"/>
        </w:rPr>
        <w:t xml:space="preserve"> </w:t>
      </w:r>
      <w:r w:rsidRPr="00CF78B8">
        <w:t xml:space="preserve">chaque </w:t>
      </w:r>
      <w:r w:rsidRPr="00CF78B8">
        <w:rPr>
          <w:spacing w:val="8"/>
        </w:rPr>
        <w:t xml:space="preserve"> </w:t>
      </w:r>
      <w:r w:rsidRPr="00CF78B8">
        <w:t xml:space="preserve">entreprise </w:t>
      </w:r>
      <w:r w:rsidRPr="00CF78B8">
        <w:rPr>
          <w:spacing w:val="9"/>
        </w:rPr>
        <w:t xml:space="preserve"> </w:t>
      </w:r>
      <w:r w:rsidRPr="00CF78B8">
        <w:t xml:space="preserve">à </w:t>
      </w:r>
      <w:r w:rsidRPr="00CF78B8">
        <w:rPr>
          <w:spacing w:val="8"/>
        </w:rPr>
        <w:t xml:space="preserve"> </w:t>
      </w:r>
      <w:r w:rsidRPr="00CF78B8">
        <w:t xml:space="preserve">l’aide </w:t>
      </w:r>
      <w:r w:rsidRPr="00CF78B8">
        <w:rPr>
          <w:spacing w:val="8"/>
        </w:rPr>
        <w:t xml:space="preserve"> </w:t>
      </w:r>
      <w:r w:rsidRPr="00CF78B8">
        <w:t xml:space="preserve">d’une </w:t>
      </w:r>
      <w:r w:rsidRPr="00CF78B8">
        <w:rPr>
          <w:spacing w:val="8"/>
        </w:rPr>
        <w:t xml:space="preserve"> </w:t>
      </w:r>
      <w:r w:rsidRPr="00CF78B8">
        <w:t xml:space="preserve">régression </w:t>
      </w:r>
      <w:r w:rsidRPr="00CF78B8">
        <w:rPr>
          <w:spacing w:val="10"/>
        </w:rPr>
        <w:t xml:space="preserve"> </w:t>
      </w:r>
      <w:r w:rsidRPr="00CF78B8">
        <w:t xml:space="preserve">de </w:t>
      </w:r>
      <w:r w:rsidRPr="00CF78B8">
        <w:rPr>
          <w:spacing w:val="5"/>
        </w:rPr>
        <w:t xml:space="preserve"> </w:t>
      </w:r>
      <w:r w:rsidRPr="00CF78B8">
        <w:rPr>
          <w:rFonts w:ascii="Cambria Math" w:eastAsia="Cambria Math" w:hAnsi="Cambria Math" w:cs="Cambria Math"/>
        </w:rPr>
        <w:t>𝑅</w:t>
      </w:r>
      <w:r w:rsidRPr="00CF78B8">
        <w:rPr>
          <w:rFonts w:ascii="Cambria Math" w:eastAsia="Cambria Math" w:hAnsi="Cambria Math" w:cs="Cambria Math"/>
          <w:position w:val="-4"/>
        </w:rPr>
        <w:t>𝑖</w:t>
      </w:r>
      <w:r w:rsidRPr="00CF78B8">
        <w:rPr>
          <w:rFonts w:eastAsia="Cambria Math"/>
          <w:position w:val="-4"/>
        </w:rPr>
        <w:t xml:space="preserve">  </w:t>
      </w:r>
      <w:r w:rsidRPr="00CF78B8">
        <w:rPr>
          <w:rFonts w:eastAsia="Cambria Math"/>
          <w:spacing w:val="34"/>
          <w:position w:val="-4"/>
        </w:rPr>
        <w:t xml:space="preserve"> </w:t>
      </w:r>
      <w:r w:rsidRPr="00CF78B8">
        <w:t xml:space="preserve">sur </w:t>
      </w:r>
      <w:r w:rsidRPr="00CF78B8">
        <w:rPr>
          <w:spacing w:val="5"/>
        </w:rPr>
        <w:t xml:space="preserve"> </w:t>
      </w:r>
      <w:r w:rsidRPr="00CF78B8">
        <w:rPr>
          <w:rFonts w:ascii="Cambria Math" w:eastAsia="Cambria Math" w:hAnsi="Cambria Math" w:cs="Cambria Math"/>
        </w:rPr>
        <w:t>𝑅</w:t>
      </w:r>
      <w:r w:rsidRPr="00CF78B8">
        <w:rPr>
          <w:rFonts w:ascii="Cambria Math" w:eastAsia="Cambria Math" w:hAnsi="Cambria Math" w:cs="Cambria Math"/>
          <w:position w:val="-4"/>
        </w:rPr>
        <w:t>𝑚𝑡</w:t>
      </w:r>
      <w:r w:rsidRPr="00CF78B8">
        <w:rPr>
          <w:rFonts w:eastAsia="Cambria Math"/>
          <w:position w:val="-4"/>
        </w:rPr>
        <w:t xml:space="preserve">  </w:t>
      </w:r>
      <w:r w:rsidRPr="00CF78B8">
        <w:rPr>
          <w:rFonts w:eastAsia="Cambria Math"/>
          <w:spacing w:val="28"/>
          <w:position w:val="-4"/>
        </w:rPr>
        <w:t xml:space="preserve"> </w:t>
      </w:r>
      <w:r w:rsidRPr="00CF78B8">
        <w:t xml:space="preserve">pour </w:t>
      </w:r>
      <w:r w:rsidRPr="00CF78B8">
        <w:rPr>
          <w:spacing w:val="9"/>
        </w:rPr>
        <w:t xml:space="preserve"> </w:t>
      </w:r>
      <w:r w:rsidRPr="00CF78B8">
        <w:t xml:space="preserve">une </w:t>
      </w:r>
      <w:r w:rsidRPr="00CF78B8">
        <w:rPr>
          <w:spacing w:val="8"/>
        </w:rPr>
        <w:t xml:space="preserve"> </w:t>
      </w:r>
      <w:r w:rsidRPr="00CF78B8">
        <w:t>période</w:t>
      </w:r>
      <w:r w:rsidR="00481040">
        <w:t xml:space="preserve"> </w:t>
      </w:r>
      <w:r w:rsidRPr="00CF78B8">
        <w:t>d’estimation de 100 jours (du 21 au 121e jour avant l’annonce de la cyberattaque, compte tenu</w:t>
      </w:r>
      <w:r w:rsidRPr="00CF78B8">
        <w:rPr>
          <w:spacing w:val="22"/>
        </w:rPr>
        <w:t xml:space="preserve"> </w:t>
      </w:r>
      <w:r w:rsidRPr="00CF78B8">
        <w:t>de</w:t>
      </w:r>
      <w:r w:rsidR="00A5268B">
        <w:t xml:space="preserve"> </w:t>
      </w:r>
      <w:r w:rsidRPr="00CF78B8">
        <w:t>notre période d’évènement de 20 jours).</w:t>
      </w:r>
      <w:bookmarkStart w:id="16" w:name="La_modélisation_des_rentabilités_des_tit"/>
      <w:bookmarkStart w:id="17" w:name="_bookmark23"/>
      <w:bookmarkEnd w:id="16"/>
      <w:bookmarkEnd w:id="17"/>
    </w:p>
    <w:p w:rsidR="003E7CF5" w:rsidRPr="00481040" w:rsidRDefault="00024B00" w:rsidP="00481040">
      <w:pPr>
        <w:pStyle w:val="Titre2"/>
        <w:spacing w:before="240" w:after="240" w:line="360" w:lineRule="auto"/>
        <w:ind w:left="0" w:right="1521"/>
        <w:rPr>
          <w:sz w:val="24"/>
          <w:szCs w:val="24"/>
          <w:u w:val="none"/>
        </w:rPr>
      </w:pPr>
      <w:bookmarkStart w:id="18" w:name="Collecte_des_données"/>
      <w:bookmarkStart w:id="19" w:name="_bookmark24"/>
      <w:bookmarkEnd w:id="18"/>
      <w:bookmarkEnd w:id="19"/>
      <w:r w:rsidRPr="00481040">
        <w:rPr>
          <w:sz w:val="24"/>
          <w:szCs w:val="24"/>
          <w:u w:val="none"/>
        </w:rPr>
        <w:t>Collecte des données</w:t>
      </w:r>
    </w:p>
    <w:p w:rsidR="003E7CF5" w:rsidRPr="00481040" w:rsidRDefault="00024B00" w:rsidP="00481040">
      <w:pPr>
        <w:pStyle w:val="Corpsdetexte"/>
        <w:spacing w:before="240" w:after="240" w:line="360" w:lineRule="auto"/>
        <w:ind w:right="1521"/>
        <w:jc w:val="both"/>
      </w:pPr>
      <w:r w:rsidRPr="00481040">
        <w:t>Les</w:t>
      </w:r>
      <w:r w:rsidRPr="00481040">
        <w:rPr>
          <w:spacing w:val="-11"/>
        </w:rPr>
        <w:t xml:space="preserve"> </w:t>
      </w:r>
      <w:r w:rsidRPr="00481040">
        <w:t>données</w:t>
      </w:r>
      <w:r w:rsidRPr="00481040">
        <w:rPr>
          <w:spacing w:val="-11"/>
        </w:rPr>
        <w:t xml:space="preserve"> </w:t>
      </w:r>
      <w:r w:rsidRPr="00481040">
        <w:t>collectées</w:t>
      </w:r>
      <w:r w:rsidRPr="00481040">
        <w:rPr>
          <w:spacing w:val="-11"/>
        </w:rPr>
        <w:t xml:space="preserve"> </w:t>
      </w:r>
      <w:r w:rsidRPr="00481040">
        <w:t>se</w:t>
      </w:r>
      <w:r w:rsidRPr="00481040">
        <w:rPr>
          <w:spacing w:val="-14"/>
        </w:rPr>
        <w:t xml:space="preserve"> </w:t>
      </w:r>
      <w:r w:rsidRPr="00481040">
        <w:t>fondent</w:t>
      </w:r>
      <w:r w:rsidRPr="00481040">
        <w:rPr>
          <w:spacing w:val="-9"/>
        </w:rPr>
        <w:t xml:space="preserve"> </w:t>
      </w:r>
      <w:r w:rsidRPr="00481040">
        <w:t>sur</w:t>
      </w:r>
      <w:r w:rsidRPr="00481040">
        <w:rPr>
          <w:spacing w:val="-11"/>
        </w:rPr>
        <w:t xml:space="preserve"> </w:t>
      </w:r>
      <w:r w:rsidRPr="00481040">
        <w:t>la</w:t>
      </w:r>
      <w:r w:rsidRPr="00481040">
        <w:rPr>
          <w:spacing w:val="-9"/>
        </w:rPr>
        <w:t xml:space="preserve"> </w:t>
      </w:r>
      <w:r w:rsidRPr="00481040">
        <w:t>littérature</w:t>
      </w:r>
      <w:r w:rsidRPr="00481040">
        <w:rPr>
          <w:spacing w:val="-14"/>
        </w:rPr>
        <w:t xml:space="preserve"> </w:t>
      </w:r>
      <w:r w:rsidRPr="00481040">
        <w:t>académique,</w:t>
      </w:r>
      <w:r w:rsidRPr="00481040">
        <w:rPr>
          <w:spacing w:val="-13"/>
        </w:rPr>
        <w:t xml:space="preserve"> </w:t>
      </w:r>
      <w:r w:rsidRPr="00481040">
        <w:t>sur</w:t>
      </w:r>
      <w:r w:rsidRPr="00481040">
        <w:rPr>
          <w:spacing w:val="-11"/>
        </w:rPr>
        <w:t xml:space="preserve"> </w:t>
      </w:r>
      <w:r w:rsidRPr="00481040">
        <w:t>les</w:t>
      </w:r>
      <w:r w:rsidRPr="00481040">
        <w:rPr>
          <w:spacing w:val="-11"/>
        </w:rPr>
        <w:t xml:space="preserve"> </w:t>
      </w:r>
      <w:r w:rsidRPr="00481040">
        <w:t>rapports</w:t>
      </w:r>
      <w:r w:rsidRPr="00481040">
        <w:rPr>
          <w:spacing w:val="-11"/>
        </w:rPr>
        <w:t xml:space="preserve"> </w:t>
      </w:r>
      <w:r w:rsidRPr="00481040">
        <w:t>de</w:t>
      </w:r>
      <w:r w:rsidRPr="00481040">
        <w:rPr>
          <w:spacing w:val="-9"/>
        </w:rPr>
        <w:t xml:space="preserve"> </w:t>
      </w:r>
      <w:r w:rsidRPr="00481040">
        <w:t>l’industrie,</w:t>
      </w:r>
      <w:r w:rsidRPr="00481040">
        <w:rPr>
          <w:spacing w:val="-13"/>
        </w:rPr>
        <w:t xml:space="preserve"> </w:t>
      </w:r>
      <w:r w:rsidRPr="00481040">
        <w:t>ainsi que sur différentes interviews et articles disponibles sur les moteurs de</w:t>
      </w:r>
      <w:r w:rsidRPr="00481040">
        <w:rPr>
          <w:spacing w:val="-4"/>
        </w:rPr>
        <w:t xml:space="preserve"> </w:t>
      </w:r>
      <w:r w:rsidRPr="00481040">
        <w:t>recherches.</w:t>
      </w:r>
      <w:r w:rsidR="00481040">
        <w:t xml:space="preserve"> </w:t>
      </w:r>
      <w:r w:rsidRPr="00481040">
        <w:t xml:space="preserve">Les données quantitatives de cette étude sont collectées à partir du moteur de recherche Google et d’une base de données de journaux numériques. La recherche d’évènements s’appuie également sur la base de données de la communauté VCDB VERIS, contenant des milliers d’incidents documentés et issus d’entreprises publiques partout dans le monde. Un dernier outil a aidé à la collecte de données de cette étude, la communauté ZATAZ. C’est avant tout un site web français qui a pour vocation la vulgarisation de l’information et de la délinquance informatique. Il est notamment reconnu pour son </w:t>
      </w:r>
      <w:r w:rsidRPr="00481040">
        <w:lastRenderedPageBreak/>
        <w:t>protocole d’alerte qui vise à alerter l’entreprise et les autorités compétentes lorsqu’une faille informatique est détectée. Ainsi, beaucoup d’évènements ayant eu lieu en France ces dernières années sont notifiés au travers de ce site internet.</w:t>
      </w:r>
    </w:p>
    <w:p w:rsidR="003E7CF5" w:rsidRPr="00481040" w:rsidRDefault="00024B00" w:rsidP="00481040">
      <w:pPr>
        <w:pStyle w:val="Corpsdetexte"/>
        <w:spacing w:before="240" w:after="240" w:line="360" w:lineRule="auto"/>
        <w:ind w:right="1521"/>
        <w:jc w:val="both"/>
      </w:pPr>
      <w:r w:rsidRPr="00481040">
        <w:t>L’essentiel</w:t>
      </w:r>
      <w:r w:rsidRPr="00481040">
        <w:rPr>
          <w:spacing w:val="-8"/>
        </w:rPr>
        <w:t xml:space="preserve"> </w:t>
      </w:r>
      <w:r w:rsidRPr="00481040">
        <w:t>des</w:t>
      </w:r>
      <w:r w:rsidRPr="00481040">
        <w:rPr>
          <w:spacing w:val="-1"/>
        </w:rPr>
        <w:t xml:space="preserve"> </w:t>
      </w:r>
      <w:r w:rsidRPr="00481040">
        <w:t>incidents</w:t>
      </w:r>
      <w:r w:rsidRPr="00481040">
        <w:rPr>
          <w:spacing w:val="-5"/>
        </w:rPr>
        <w:t xml:space="preserve"> </w:t>
      </w:r>
      <w:r w:rsidRPr="00481040">
        <w:t>relevés</w:t>
      </w:r>
      <w:r w:rsidRPr="00481040">
        <w:rPr>
          <w:spacing w:val="-6"/>
        </w:rPr>
        <w:t xml:space="preserve"> </w:t>
      </w:r>
      <w:r w:rsidRPr="00481040">
        <w:t>sont</w:t>
      </w:r>
      <w:r w:rsidRPr="00481040">
        <w:rPr>
          <w:spacing w:val="-3"/>
        </w:rPr>
        <w:t xml:space="preserve"> </w:t>
      </w:r>
      <w:r w:rsidRPr="00481040">
        <w:t>issus</w:t>
      </w:r>
      <w:r w:rsidRPr="00481040">
        <w:rPr>
          <w:spacing w:val="-5"/>
        </w:rPr>
        <w:t xml:space="preserve"> </w:t>
      </w:r>
      <w:r w:rsidRPr="00481040">
        <w:t>de</w:t>
      </w:r>
      <w:r w:rsidRPr="00481040">
        <w:rPr>
          <w:spacing w:val="-9"/>
        </w:rPr>
        <w:t xml:space="preserve"> </w:t>
      </w:r>
      <w:r w:rsidRPr="00481040">
        <w:t>recherches</w:t>
      </w:r>
      <w:r w:rsidRPr="00481040">
        <w:rPr>
          <w:spacing w:val="-3"/>
        </w:rPr>
        <w:t xml:space="preserve"> </w:t>
      </w:r>
      <w:r w:rsidRPr="00481040">
        <w:t>à</w:t>
      </w:r>
      <w:r w:rsidRPr="00481040">
        <w:rPr>
          <w:spacing w:val="-9"/>
        </w:rPr>
        <w:t xml:space="preserve"> </w:t>
      </w:r>
      <w:r w:rsidRPr="00481040">
        <w:t>partir</w:t>
      </w:r>
      <w:r w:rsidRPr="00481040">
        <w:rPr>
          <w:spacing w:val="-7"/>
        </w:rPr>
        <w:t xml:space="preserve"> </w:t>
      </w:r>
      <w:r w:rsidRPr="00481040">
        <w:t>des</w:t>
      </w:r>
      <w:r w:rsidRPr="00481040">
        <w:rPr>
          <w:spacing w:val="-6"/>
        </w:rPr>
        <w:t xml:space="preserve"> </w:t>
      </w:r>
      <w:r w:rsidRPr="00481040">
        <w:t>mots clés</w:t>
      </w:r>
      <w:r w:rsidRPr="00481040">
        <w:rPr>
          <w:spacing w:val="-6"/>
        </w:rPr>
        <w:t xml:space="preserve"> </w:t>
      </w:r>
      <w:r w:rsidRPr="00481040">
        <w:t>suivants</w:t>
      </w:r>
      <w:r w:rsidRPr="00481040">
        <w:rPr>
          <w:spacing w:val="3"/>
        </w:rPr>
        <w:t xml:space="preserve"> </w:t>
      </w:r>
      <w:r w:rsidRPr="00481040">
        <w:t>:</w:t>
      </w:r>
      <w:r w:rsidRPr="00481040">
        <w:rPr>
          <w:spacing w:val="-8"/>
        </w:rPr>
        <w:t xml:space="preserve"> </w:t>
      </w:r>
      <w:r w:rsidRPr="00481040">
        <w:t>«</w:t>
      </w:r>
      <w:r w:rsidRPr="00481040">
        <w:rPr>
          <w:spacing w:val="3"/>
        </w:rPr>
        <w:t xml:space="preserve"> </w:t>
      </w:r>
      <w:r w:rsidRPr="00481040">
        <w:t>attaque par</w:t>
      </w:r>
      <w:r w:rsidRPr="00481040">
        <w:rPr>
          <w:spacing w:val="-6"/>
        </w:rPr>
        <w:t xml:space="preserve"> </w:t>
      </w:r>
      <w:r w:rsidRPr="00481040">
        <w:t>déni</w:t>
      </w:r>
      <w:r w:rsidRPr="00481040">
        <w:rPr>
          <w:spacing w:val="-7"/>
        </w:rPr>
        <w:t xml:space="preserve"> </w:t>
      </w:r>
      <w:r w:rsidRPr="00481040">
        <w:t>de</w:t>
      </w:r>
      <w:r w:rsidRPr="00481040">
        <w:rPr>
          <w:spacing w:val="-6"/>
        </w:rPr>
        <w:t xml:space="preserve"> </w:t>
      </w:r>
      <w:r w:rsidRPr="00481040">
        <w:t>service</w:t>
      </w:r>
      <w:r w:rsidRPr="00481040">
        <w:rPr>
          <w:spacing w:val="-1"/>
        </w:rPr>
        <w:t xml:space="preserve"> </w:t>
      </w:r>
      <w:r w:rsidRPr="00481040">
        <w:t>»,</w:t>
      </w:r>
      <w:r w:rsidRPr="00481040">
        <w:rPr>
          <w:spacing w:val="-5"/>
        </w:rPr>
        <w:t xml:space="preserve"> </w:t>
      </w:r>
      <w:r w:rsidRPr="00481040">
        <w:t>« bourse</w:t>
      </w:r>
      <w:r w:rsidRPr="00481040">
        <w:rPr>
          <w:spacing w:val="-7"/>
        </w:rPr>
        <w:t xml:space="preserve"> </w:t>
      </w:r>
      <w:r w:rsidRPr="00481040">
        <w:t>de</w:t>
      </w:r>
      <w:r w:rsidRPr="00481040">
        <w:rPr>
          <w:spacing w:val="-2"/>
        </w:rPr>
        <w:t xml:space="preserve"> </w:t>
      </w:r>
      <w:r w:rsidRPr="00481040">
        <w:t>Paris</w:t>
      </w:r>
      <w:r w:rsidRPr="00481040">
        <w:rPr>
          <w:spacing w:val="3"/>
        </w:rPr>
        <w:t xml:space="preserve"> </w:t>
      </w:r>
      <w:r w:rsidRPr="00481040">
        <w:t>»,</w:t>
      </w:r>
      <w:r w:rsidRPr="00481040">
        <w:rPr>
          <w:spacing w:val="-5"/>
        </w:rPr>
        <w:t xml:space="preserve"> </w:t>
      </w:r>
      <w:r w:rsidRPr="00481040">
        <w:t>« cyberattaque »,</w:t>
      </w:r>
      <w:r w:rsidRPr="00481040">
        <w:rPr>
          <w:spacing w:val="-6"/>
        </w:rPr>
        <w:t xml:space="preserve"> </w:t>
      </w:r>
      <w:r w:rsidRPr="00481040">
        <w:t>« cybermenace »,</w:t>
      </w:r>
      <w:r w:rsidRPr="00481040">
        <w:rPr>
          <w:spacing w:val="-6"/>
        </w:rPr>
        <w:t xml:space="preserve"> </w:t>
      </w:r>
      <w:r w:rsidRPr="00481040">
        <w:t>« CAC</w:t>
      </w:r>
      <w:r w:rsidRPr="00481040">
        <w:rPr>
          <w:spacing w:val="-6"/>
        </w:rPr>
        <w:t xml:space="preserve"> </w:t>
      </w:r>
      <w:r w:rsidRPr="00481040">
        <w:t>40 »,</w:t>
      </w:r>
      <w:r w:rsidRPr="00481040">
        <w:rPr>
          <w:spacing w:val="-6"/>
        </w:rPr>
        <w:t xml:space="preserve"> </w:t>
      </w:r>
      <w:r w:rsidRPr="00481040">
        <w:t>« faille</w:t>
      </w:r>
      <w:r w:rsidR="00747380" w:rsidRPr="00481040">
        <w:t xml:space="preserve"> </w:t>
      </w:r>
      <w:r w:rsidRPr="00481040">
        <w:t>informatique », « faille de sécurité », « France », « hacker », « hameçonnage », « phishing »,</w:t>
      </w:r>
      <w:r w:rsidR="00481040" w:rsidRPr="00481040">
        <w:t xml:space="preserve"> </w:t>
      </w:r>
      <w:r w:rsidRPr="00481040">
        <w:t>« rançongiciel », « ransomware », « système d’information », « sécurité, virus informatique » accompagné de noms d’entreprises et de dates clés.</w:t>
      </w:r>
    </w:p>
    <w:p w:rsidR="003E7CF5" w:rsidRPr="00481040" w:rsidRDefault="00024B00" w:rsidP="00481040">
      <w:pPr>
        <w:pStyle w:val="Corpsdetexte"/>
        <w:spacing w:before="240" w:after="240" w:line="360" w:lineRule="auto"/>
        <w:ind w:right="1521"/>
        <w:jc w:val="both"/>
      </w:pPr>
      <w:r w:rsidRPr="00481040">
        <w:t>L’objectif</w:t>
      </w:r>
      <w:r w:rsidRPr="00481040">
        <w:rPr>
          <w:spacing w:val="-8"/>
        </w:rPr>
        <w:t xml:space="preserve"> </w:t>
      </w:r>
      <w:r w:rsidRPr="00481040">
        <w:t>est</w:t>
      </w:r>
      <w:r w:rsidRPr="00481040">
        <w:rPr>
          <w:spacing w:val="-9"/>
        </w:rPr>
        <w:t xml:space="preserve"> </w:t>
      </w:r>
      <w:r w:rsidRPr="00481040">
        <w:t>de</w:t>
      </w:r>
      <w:r w:rsidRPr="00481040">
        <w:rPr>
          <w:spacing w:val="-9"/>
        </w:rPr>
        <w:t xml:space="preserve"> </w:t>
      </w:r>
      <w:r w:rsidRPr="00481040">
        <w:t>collecter</w:t>
      </w:r>
      <w:r w:rsidRPr="00481040">
        <w:rPr>
          <w:spacing w:val="-7"/>
        </w:rPr>
        <w:t xml:space="preserve"> </w:t>
      </w:r>
      <w:r w:rsidRPr="00481040">
        <w:t>les</w:t>
      </w:r>
      <w:r w:rsidRPr="00481040">
        <w:rPr>
          <w:spacing w:val="-6"/>
        </w:rPr>
        <w:t xml:space="preserve"> </w:t>
      </w:r>
      <w:r w:rsidRPr="00481040">
        <w:t>données</w:t>
      </w:r>
      <w:r w:rsidRPr="00481040">
        <w:rPr>
          <w:spacing w:val="-6"/>
        </w:rPr>
        <w:t xml:space="preserve"> </w:t>
      </w:r>
      <w:r w:rsidRPr="00481040">
        <w:t>relatives</w:t>
      </w:r>
      <w:r w:rsidRPr="00481040">
        <w:rPr>
          <w:spacing w:val="-6"/>
        </w:rPr>
        <w:t xml:space="preserve"> </w:t>
      </w:r>
      <w:r w:rsidRPr="00481040">
        <w:t>aux</w:t>
      </w:r>
      <w:r w:rsidRPr="00481040">
        <w:rPr>
          <w:spacing w:val="-1"/>
        </w:rPr>
        <w:t xml:space="preserve"> </w:t>
      </w:r>
      <w:r w:rsidRPr="00481040">
        <w:t>cyberattaques</w:t>
      </w:r>
      <w:r w:rsidRPr="00481040">
        <w:rPr>
          <w:spacing w:val="-6"/>
        </w:rPr>
        <w:t xml:space="preserve"> </w:t>
      </w:r>
      <w:r w:rsidRPr="00481040">
        <w:t>ayant</w:t>
      </w:r>
      <w:r w:rsidRPr="00481040">
        <w:rPr>
          <w:spacing w:val="-9"/>
        </w:rPr>
        <w:t xml:space="preserve"> </w:t>
      </w:r>
      <w:r w:rsidRPr="00481040">
        <w:t>été</w:t>
      </w:r>
      <w:r w:rsidRPr="00481040">
        <w:rPr>
          <w:spacing w:val="-8"/>
        </w:rPr>
        <w:t xml:space="preserve"> </w:t>
      </w:r>
      <w:r w:rsidRPr="00481040">
        <w:t>déclarées</w:t>
      </w:r>
      <w:r w:rsidRPr="00481040">
        <w:rPr>
          <w:spacing w:val="-6"/>
        </w:rPr>
        <w:t xml:space="preserve"> </w:t>
      </w:r>
      <w:r w:rsidRPr="00481040">
        <w:t>entre</w:t>
      </w:r>
      <w:r w:rsidRPr="00481040">
        <w:rPr>
          <w:spacing w:val="-9"/>
        </w:rPr>
        <w:t xml:space="preserve"> </w:t>
      </w:r>
      <w:r w:rsidRPr="00481040">
        <w:rPr>
          <w:spacing w:val="2"/>
        </w:rPr>
        <w:t>2009</w:t>
      </w:r>
      <w:r w:rsidRPr="00481040">
        <w:rPr>
          <w:spacing w:val="-7"/>
        </w:rPr>
        <w:t xml:space="preserve"> </w:t>
      </w:r>
      <w:r w:rsidRPr="00481040">
        <w:t>et 2019 soit un périmètre de dix</w:t>
      </w:r>
      <w:r w:rsidRPr="00481040">
        <w:rPr>
          <w:spacing w:val="-7"/>
        </w:rPr>
        <w:t xml:space="preserve"> </w:t>
      </w:r>
      <w:r w:rsidRPr="00481040">
        <w:t>années.</w:t>
      </w:r>
      <w:r w:rsidR="00481040">
        <w:t xml:space="preserve"> </w:t>
      </w:r>
      <w:r w:rsidRPr="00481040">
        <w:t>Les évènements identifiés devront respecter les critères suivants :</w:t>
      </w:r>
    </w:p>
    <w:p w:rsidR="003E7CF5" w:rsidRPr="00481040" w:rsidRDefault="00024B00" w:rsidP="00481040">
      <w:pPr>
        <w:pStyle w:val="Paragraphedeliste"/>
        <w:numPr>
          <w:ilvl w:val="0"/>
          <w:numId w:val="1"/>
        </w:numPr>
        <w:tabs>
          <w:tab w:val="left" w:pos="0"/>
        </w:tabs>
        <w:spacing w:before="240" w:after="240" w:line="360" w:lineRule="auto"/>
        <w:ind w:left="0" w:right="1521" w:firstLine="0"/>
        <w:rPr>
          <w:sz w:val="24"/>
          <w:szCs w:val="24"/>
        </w:rPr>
      </w:pPr>
      <w:r w:rsidRPr="00481040">
        <w:rPr>
          <w:sz w:val="24"/>
          <w:szCs w:val="24"/>
        </w:rPr>
        <w:t>L’entreprise est cotée sur le marché boursier français</w:t>
      </w:r>
      <w:r w:rsidRPr="00481040">
        <w:rPr>
          <w:spacing w:val="-1"/>
          <w:sz w:val="24"/>
          <w:szCs w:val="24"/>
        </w:rPr>
        <w:t xml:space="preserve"> </w:t>
      </w:r>
      <w:r w:rsidRPr="00481040">
        <w:rPr>
          <w:sz w:val="24"/>
          <w:szCs w:val="24"/>
        </w:rPr>
        <w:t>;</w:t>
      </w:r>
    </w:p>
    <w:p w:rsidR="003E7CF5" w:rsidRPr="00481040" w:rsidRDefault="00024B00" w:rsidP="00481040">
      <w:pPr>
        <w:pStyle w:val="Paragraphedeliste"/>
        <w:numPr>
          <w:ilvl w:val="0"/>
          <w:numId w:val="1"/>
        </w:numPr>
        <w:tabs>
          <w:tab w:val="left" w:pos="0"/>
        </w:tabs>
        <w:spacing w:before="240" w:after="240" w:line="360" w:lineRule="auto"/>
        <w:ind w:left="0" w:right="1521" w:firstLine="0"/>
        <w:rPr>
          <w:sz w:val="24"/>
          <w:szCs w:val="24"/>
        </w:rPr>
      </w:pPr>
      <w:r w:rsidRPr="00481040">
        <w:rPr>
          <w:sz w:val="24"/>
          <w:szCs w:val="24"/>
        </w:rPr>
        <w:t>L’entreprise est cotée en priorité sur le CAC 40 et SBF 120</w:t>
      </w:r>
      <w:r w:rsidRPr="00481040">
        <w:rPr>
          <w:spacing w:val="-13"/>
          <w:sz w:val="24"/>
          <w:szCs w:val="24"/>
        </w:rPr>
        <w:t xml:space="preserve"> </w:t>
      </w:r>
      <w:r w:rsidRPr="00481040">
        <w:rPr>
          <w:sz w:val="24"/>
          <w:szCs w:val="24"/>
        </w:rPr>
        <w:t>;</w:t>
      </w:r>
    </w:p>
    <w:p w:rsidR="003E7CF5" w:rsidRPr="00481040" w:rsidRDefault="00024B00" w:rsidP="00481040">
      <w:pPr>
        <w:pStyle w:val="Paragraphedeliste"/>
        <w:numPr>
          <w:ilvl w:val="0"/>
          <w:numId w:val="1"/>
        </w:numPr>
        <w:tabs>
          <w:tab w:val="left" w:pos="0"/>
        </w:tabs>
        <w:spacing w:before="240" w:after="240" w:line="360" w:lineRule="auto"/>
        <w:ind w:left="0" w:right="1521" w:firstLine="0"/>
        <w:rPr>
          <w:sz w:val="24"/>
          <w:szCs w:val="24"/>
        </w:rPr>
      </w:pPr>
      <w:r w:rsidRPr="00481040">
        <w:rPr>
          <w:sz w:val="24"/>
          <w:szCs w:val="24"/>
        </w:rPr>
        <w:t>L’attaque a porté atteinte aux systèmes d’information d’une entreprise entre 2009 et</w:t>
      </w:r>
      <w:r w:rsidRPr="00481040">
        <w:rPr>
          <w:spacing w:val="-14"/>
          <w:sz w:val="24"/>
          <w:szCs w:val="24"/>
        </w:rPr>
        <w:t xml:space="preserve"> </w:t>
      </w:r>
      <w:r w:rsidRPr="00481040">
        <w:rPr>
          <w:sz w:val="24"/>
          <w:szCs w:val="24"/>
        </w:rPr>
        <w:t>2019.</w:t>
      </w:r>
    </w:p>
    <w:p w:rsidR="003E7CF5" w:rsidRPr="00481040" w:rsidRDefault="00024B00" w:rsidP="00481040">
      <w:pPr>
        <w:pStyle w:val="Corpsdetexte"/>
        <w:spacing w:before="240" w:after="240" w:line="360" w:lineRule="auto"/>
        <w:ind w:right="1521"/>
        <w:jc w:val="both"/>
      </w:pPr>
      <w:r w:rsidRPr="00481040">
        <w:t>Contrairement aux différentes études précédemment citées, nous prendrons en considération dans notre</w:t>
      </w:r>
      <w:r w:rsidRPr="00481040">
        <w:rPr>
          <w:spacing w:val="-10"/>
        </w:rPr>
        <w:t xml:space="preserve"> </w:t>
      </w:r>
      <w:r w:rsidRPr="00481040">
        <w:t>échantillon</w:t>
      </w:r>
      <w:r w:rsidRPr="00481040">
        <w:rPr>
          <w:spacing w:val="-2"/>
        </w:rPr>
        <w:t xml:space="preserve"> </w:t>
      </w:r>
      <w:r w:rsidRPr="00481040">
        <w:t>les</w:t>
      </w:r>
      <w:r w:rsidRPr="00481040">
        <w:rPr>
          <w:spacing w:val="-6"/>
        </w:rPr>
        <w:t xml:space="preserve"> </w:t>
      </w:r>
      <w:r w:rsidRPr="00481040">
        <w:t>attaques</w:t>
      </w:r>
      <w:r w:rsidRPr="00481040">
        <w:rPr>
          <w:spacing w:val="-6"/>
        </w:rPr>
        <w:t xml:space="preserve"> </w:t>
      </w:r>
      <w:r w:rsidRPr="00481040">
        <w:t>produites</w:t>
      </w:r>
      <w:r w:rsidRPr="00481040">
        <w:rPr>
          <w:spacing w:val="-6"/>
        </w:rPr>
        <w:t xml:space="preserve"> </w:t>
      </w:r>
      <w:r w:rsidRPr="00481040">
        <w:t>à</w:t>
      </w:r>
      <w:r w:rsidRPr="00481040">
        <w:rPr>
          <w:spacing w:val="-9"/>
        </w:rPr>
        <w:t xml:space="preserve"> </w:t>
      </w:r>
      <w:r w:rsidRPr="00481040">
        <w:t>la</w:t>
      </w:r>
      <w:r w:rsidRPr="00481040">
        <w:rPr>
          <w:spacing w:val="-10"/>
        </w:rPr>
        <w:t xml:space="preserve"> </w:t>
      </w:r>
      <w:r w:rsidRPr="00481040">
        <w:t>fois</w:t>
      </w:r>
      <w:r w:rsidRPr="00481040">
        <w:rPr>
          <w:spacing w:val="-1"/>
        </w:rPr>
        <w:t xml:space="preserve"> </w:t>
      </w:r>
      <w:r w:rsidRPr="00481040">
        <w:t>au</w:t>
      </w:r>
      <w:r w:rsidRPr="00481040">
        <w:rPr>
          <w:spacing w:val="-8"/>
        </w:rPr>
        <w:t xml:space="preserve"> </w:t>
      </w:r>
      <w:r w:rsidRPr="00481040">
        <w:t>niveau</w:t>
      </w:r>
      <w:r w:rsidRPr="00481040">
        <w:rPr>
          <w:spacing w:val="-8"/>
        </w:rPr>
        <w:t xml:space="preserve"> </w:t>
      </w:r>
      <w:r w:rsidRPr="00481040">
        <w:t>des</w:t>
      </w:r>
      <w:r w:rsidRPr="00481040">
        <w:rPr>
          <w:spacing w:val="-6"/>
        </w:rPr>
        <w:t xml:space="preserve"> </w:t>
      </w:r>
      <w:r w:rsidRPr="00481040">
        <w:t>sociétés</w:t>
      </w:r>
      <w:r w:rsidRPr="00481040">
        <w:rPr>
          <w:spacing w:val="-2"/>
        </w:rPr>
        <w:t xml:space="preserve"> </w:t>
      </w:r>
      <w:r w:rsidRPr="00481040">
        <w:t>mères</w:t>
      </w:r>
      <w:r w:rsidRPr="00481040">
        <w:rPr>
          <w:spacing w:val="-1"/>
        </w:rPr>
        <w:t xml:space="preserve"> </w:t>
      </w:r>
      <w:r w:rsidRPr="00481040">
        <w:t>et</w:t>
      </w:r>
      <w:r w:rsidRPr="00481040">
        <w:rPr>
          <w:spacing w:val="-4"/>
        </w:rPr>
        <w:t xml:space="preserve"> </w:t>
      </w:r>
      <w:r w:rsidRPr="00481040">
        <w:t>celles</w:t>
      </w:r>
      <w:r w:rsidRPr="00481040">
        <w:rPr>
          <w:spacing w:val="-6"/>
        </w:rPr>
        <w:t xml:space="preserve"> </w:t>
      </w:r>
      <w:r w:rsidRPr="00481040">
        <w:t>produites</w:t>
      </w:r>
      <w:r w:rsidRPr="00481040">
        <w:rPr>
          <w:spacing w:val="-7"/>
        </w:rPr>
        <w:t xml:space="preserve"> </w:t>
      </w:r>
      <w:r w:rsidRPr="00481040">
        <w:t>au niveau des filiales. Cet échantillon complet d’attaques permet d’examiner toutes les</w:t>
      </w:r>
      <w:r w:rsidRPr="00481040">
        <w:rPr>
          <w:spacing w:val="-30"/>
        </w:rPr>
        <w:t xml:space="preserve"> </w:t>
      </w:r>
      <w:r w:rsidRPr="00481040">
        <w:t>conséquences des évènements liés à la</w:t>
      </w:r>
      <w:r w:rsidRPr="00481040">
        <w:rPr>
          <w:spacing w:val="-2"/>
        </w:rPr>
        <w:t xml:space="preserve"> </w:t>
      </w:r>
      <w:r w:rsidRPr="00481040">
        <w:t>cybersécurité.</w:t>
      </w:r>
      <w:r w:rsidR="00481040">
        <w:t xml:space="preserve"> </w:t>
      </w:r>
      <w:r w:rsidRPr="00481040">
        <w:t>Afin d’obtenir un niveau d’analyse suffisant pour répondre aux hypothèses formulées précédemment plusieurs autres éléments devront être collectés. Les évènements de l’échantillon pourront être classés :</w:t>
      </w:r>
    </w:p>
    <w:p w:rsidR="003E7CF5" w:rsidRPr="00481040" w:rsidRDefault="00024B00" w:rsidP="00481040">
      <w:pPr>
        <w:pStyle w:val="Paragraphedeliste"/>
        <w:numPr>
          <w:ilvl w:val="0"/>
          <w:numId w:val="1"/>
        </w:numPr>
        <w:tabs>
          <w:tab w:val="left" w:pos="0"/>
        </w:tabs>
        <w:spacing w:before="240" w:after="240" w:line="360" w:lineRule="auto"/>
        <w:ind w:left="0" w:right="1521" w:firstLine="0"/>
        <w:rPr>
          <w:sz w:val="24"/>
          <w:szCs w:val="24"/>
        </w:rPr>
      </w:pPr>
      <w:r w:rsidRPr="00481040">
        <w:rPr>
          <w:sz w:val="24"/>
          <w:szCs w:val="24"/>
        </w:rPr>
        <w:t>par nom d’entreprise ayant fait l’objet de faille de sécurité pendant la période définie</w:t>
      </w:r>
      <w:r w:rsidRPr="00481040">
        <w:rPr>
          <w:spacing w:val="-18"/>
          <w:sz w:val="24"/>
          <w:szCs w:val="24"/>
        </w:rPr>
        <w:t xml:space="preserve"> </w:t>
      </w:r>
      <w:r w:rsidRPr="00481040">
        <w:rPr>
          <w:sz w:val="24"/>
          <w:szCs w:val="24"/>
        </w:rPr>
        <w:t>;</w:t>
      </w:r>
    </w:p>
    <w:p w:rsidR="003E7CF5" w:rsidRPr="00481040" w:rsidRDefault="00024B00" w:rsidP="00481040">
      <w:pPr>
        <w:pStyle w:val="Paragraphedeliste"/>
        <w:numPr>
          <w:ilvl w:val="0"/>
          <w:numId w:val="1"/>
        </w:numPr>
        <w:tabs>
          <w:tab w:val="left" w:pos="0"/>
        </w:tabs>
        <w:spacing w:before="240" w:after="240" w:line="360" w:lineRule="auto"/>
        <w:ind w:left="0" w:right="1521" w:firstLine="0"/>
        <w:rPr>
          <w:sz w:val="24"/>
          <w:szCs w:val="24"/>
        </w:rPr>
      </w:pPr>
      <w:r w:rsidRPr="00481040">
        <w:rPr>
          <w:sz w:val="24"/>
          <w:szCs w:val="24"/>
        </w:rPr>
        <w:t>par lieu de cotation</w:t>
      </w:r>
      <w:r w:rsidRPr="00481040">
        <w:rPr>
          <w:spacing w:val="3"/>
          <w:sz w:val="24"/>
          <w:szCs w:val="24"/>
        </w:rPr>
        <w:t xml:space="preserve"> </w:t>
      </w:r>
      <w:r w:rsidRPr="00481040">
        <w:rPr>
          <w:sz w:val="24"/>
          <w:szCs w:val="24"/>
        </w:rPr>
        <w:t>;</w:t>
      </w:r>
    </w:p>
    <w:p w:rsidR="003E7CF5" w:rsidRPr="00481040" w:rsidRDefault="00024B00" w:rsidP="00481040">
      <w:pPr>
        <w:pStyle w:val="Paragraphedeliste"/>
        <w:numPr>
          <w:ilvl w:val="0"/>
          <w:numId w:val="1"/>
        </w:numPr>
        <w:tabs>
          <w:tab w:val="left" w:pos="0"/>
        </w:tabs>
        <w:spacing w:before="240" w:after="240" w:line="360" w:lineRule="auto"/>
        <w:ind w:left="0" w:right="1521" w:firstLine="0"/>
        <w:rPr>
          <w:sz w:val="24"/>
          <w:szCs w:val="24"/>
        </w:rPr>
      </w:pPr>
      <w:r w:rsidRPr="00481040">
        <w:rPr>
          <w:sz w:val="24"/>
          <w:szCs w:val="24"/>
        </w:rPr>
        <w:t>par taille de capitalisation boursière</w:t>
      </w:r>
      <w:r w:rsidRPr="00481040">
        <w:rPr>
          <w:spacing w:val="-3"/>
          <w:sz w:val="24"/>
          <w:szCs w:val="24"/>
        </w:rPr>
        <w:t xml:space="preserve"> </w:t>
      </w:r>
      <w:r w:rsidRPr="00481040">
        <w:rPr>
          <w:sz w:val="24"/>
          <w:szCs w:val="24"/>
        </w:rPr>
        <w:t>;</w:t>
      </w:r>
    </w:p>
    <w:p w:rsidR="003E7CF5" w:rsidRPr="00481040" w:rsidRDefault="00024B00" w:rsidP="00481040">
      <w:pPr>
        <w:pStyle w:val="Paragraphedeliste"/>
        <w:numPr>
          <w:ilvl w:val="0"/>
          <w:numId w:val="1"/>
        </w:numPr>
        <w:tabs>
          <w:tab w:val="left" w:pos="0"/>
        </w:tabs>
        <w:spacing w:before="240" w:after="240" w:line="360" w:lineRule="auto"/>
        <w:ind w:left="0" w:right="1521" w:firstLine="0"/>
        <w:rPr>
          <w:sz w:val="24"/>
          <w:szCs w:val="24"/>
        </w:rPr>
      </w:pPr>
      <w:r w:rsidRPr="00481040">
        <w:rPr>
          <w:sz w:val="24"/>
          <w:szCs w:val="24"/>
        </w:rPr>
        <w:t>par secteur d’activité</w:t>
      </w:r>
      <w:r w:rsidRPr="00481040">
        <w:rPr>
          <w:spacing w:val="4"/>
          <w:sz w:val="24"/>
          <w:szCs w:val="24"/>
        </w:rPr>
        <w:t xml:space="preserve"> </w:t>
      </w:r>
      <w:r w:rsidRPr="00481040">
        <w:rPr>
          <w:sz w:val="24"/>
          <w:szCs w:val="24"/>
        </w:rPr>
        <w:t>;</w:t>
      </w:r>
    </w:p>
    <w:p w:rsidR="003E7CF5" w:rsidRPr="00481040" w:rsidRDefault="00024B00" w:rsidP="00481040">
      <w:pPr>
        <w:pStyle w:val="Paragraphedeliste"/>
        <w:numPr>
          <w:ilvl w:val="0"/>
          <w:numId w:val="1"/>
        </w:numPr>
        <w:tabs>
          <w:tab w:val="left" w:pos="0"/>
        </w:tabs>
        <w:spacing w:before="240" w:after="240" w:line="360" w:lineRule="auto"/>
        <w:ind w:left="0" w:right="1521" w:firstLine="0"/>
        <w:rPr>
          <w:sz w:val="24"/>
          <w:szCs w:val="24"/>
        </w:rPr>
      </w:pPr>
      <w:r w:rsidRPr="00481040">
        <w:rPr>
          <w:sz w:val="24"/>
          <w:szCs w:val="24"/>
        </w:rPr>
        <w:t>par type d’atteinte à la sécurité subie</w:t>
      </w:r>
      <w:r w:rsidRPr="00481040">
        <w:rPr>
          <w:spacing w:val="-4"/>
          <w:sz w:val="24"/>
          <w:szCs w:val="24"/>
        </w:rPr>
        <w:t xml:space="preserve"> </w:t>
      </w:r>
      <w:r w:rsidRPr="00481040">
        <w:rPr>
          <w:sz w:val="24"/>
          <w:szCs w:val="24"/>
        </w:rPr>
        <w:t>;</w:t>
      </w:r>
    </w:p>
    <w:p w:rsidR="003E7CF5" w:rsidRPr="00481040" w:rsidRDefault="00024B00" w:rsidP="00481040">
      <w:pPr>
        <w:pStyle w:val="Paragraphedeliste"/>
        <w:numPr>
          <w:ilvl w:val="0"/>
          <w:numId w:val="1"/>
        </w:numPr>
        <w:tabs>
          <w:tab w:val="left" w:pos="0"/>
        </w:tabs>
        <w:spacing w:before="240" w:after="240" w:line="360" w:lineRule="auto"/>
        <w:ind w:left="0" w:right="1521" w:firstLine="0"/>
        <w:rPr>
          <w:sz w:val="24"/>
          <w:szCs w:val="24"/>
        </w:rPr>
      </w:pPr>
      <w:r w:rsidRPr="00481040">
        <w:rPr>
          <w:sz w:val="24"/>
          <w:szCs w:val="24"/>
        </w:rPr>
        <w:lastRenderedPageBreak/>
        <w:t>par intensité d’attaque</w:t>
      </w:r>
      <w:r w:rsidRPr="00481040">
        <w:rPr>
          <w:spacing w:val="-5"/>
          <w:sz w:val="24"/>
          <w:szCs w:val="24"/>
        </w:rPr>
        <w:t xml:space="preserve"> </w:t>
      </w:r>
      <w:r w:rsidRPr="00481040">
        <w:rPr>
          <w:sz w:val="24"/>
          <w:szCs w:val="24"/>
        </w:rPr>
        <w:t>subie.</w:t>
      </w:r>
    </w:p>
    <w:p w:rsidR="00A5268B" w:rsidRPr="00481040" w:rsidRDefault="00024B00" w:rsidP="00481040">
      <w:pPr>
        <w:pStyle w:val="Corpsdetexte"/>
        <w:spacing w:before="240" w:after="240" w:line="360" w:lineRule="auto"/>
        <w:ind w:right="1521"/>
        <w:jc w:val="both"/>
      </w:pPr>
      <w:r w:rsidRPr="00481040">
        <w:t>Ces</w:t>
      </w:r>
      <w:r w:rsidRPr="00481040">
        <w:rPr>
          <w:spacing w:val="-12"/>
        </w:rPr>
        <w:t xml:space="preserve"> </w:t>
      </w:r>
      <w:r w:rsidRPr="00481040">
        <w:t>critères</w:t>
      </w:r>
      <w:r w:rsidRPr="00481040">
        <w:rPr>
          <w:spacing w:val="-9"/>
        </w:rPr>
        <w:t xml:space="preserve"> </w:t>
      </w:r>
      <w:r w:rsidRPr="00481040">
        <w:t>permettront</w:t>
      </w:r>
      <w:r w:rsidRPr="00481040">
        <w:rPr>
          <w:spacing w:val="-13"/>
        </w:rPr>
        <w:t xml:space="preserve"> </w:t>
      </w:r>
      <w:r w:rsidRPr="00481040">
        <w:t>de</w:t>
      </w:r>
      <w:r w:rsidRPr="00481040">
        <w:rPr>
          <w:spacing w:val="-14"/>
        </w:rPr>
        <w:t xml:space="preserve"> </w:t>
      </w:r>
      <w:r w:rsidRPr="00481040">
        <w:t>segmenter</w:t>
      </w:r>
      <w:r w:rsidRPr="00481040">
        <w:rPr>
          <w:spacing w:val="-9"/>
        </w:rPr>
        <w:t xml:space="preserve"> </w:t>
      </w:r>
      <w:r w:rsidRPr="00481040">
        <w:t>l’analyse</w:t>
      </w:r>
      <w:r w:rsidRPr="00481040">
        <w:rPr>
          <w:spacing w:val="-6"/>
        </w:rPr>
        <w:t xml:space="preserve"> </w:t>
      </w:r>
      <w:r w:rsidRPr="00481040">
        <w:t>de</w:t>
      </w:r>
      <w:r w:rsidRPr="00481040">
        <w:rPr>
          <w:spacing w:val="-9"/>
        </w:rPr>
        <w:t xml:space="preserve"> </w:t>
      </w:r>
      <w:r w:rsidRPr="00481040">
        <w:t>cette</w:t>
      </w:r>
      <w:r w:rsidRPr="00481040">
        <w:rPr>
          <w:spacing w:val="-10"/>
        </w:rPr>
        <w:t xml:space="preserve"> </w:t>
      </w:r>
      <w:r w:rsidRPr="00481040">
        <w:t>étude</w:t>
      </w:r>
      <w:r w:rsidRPr="00481040">
        <w:rPr>
          <w:spacing w:val="-9"/>
        </w:rPr>
        <w:t xml:space="preserve"> </w:t>
      </w:r>
      <w:r w:rsidRPr="00481040">
        <w:t>et</w:t>
      </w:r>
      <w:r w:rsidRPr="00481040">
        <w:rPr>
          <w:spacing w:val="-9"/>
        </w:rPr>
        <w:t xml:space="preserve"> </w:t>
      </w:r>
      <w:r w:rsidRPr="00481040">
        <w:t>trouver</w:t>
      </w:r>
      <w:r w:rsidRPr="00481040">
        <w:rPr>
          <w:spacing w:val="-9"/>
        </w:rPr>
        <w:t xml:space="preserve"> </w:t>
      </w:r>
      <w:r w:rsidRPr="00481040">
        <w:t>des</w:t>
      </w:r>
      <w:r w:rsidRPr="00481040">
        <w:rPr>
          <w:spacing w:val="-11"/>
        </w:rPr>
        <w:t xml:space="preserve"> </w:t>
      </w:r>
      <w:r w:rsidRPr="00481040">
        <w:t>facteurs</w:t>
      </w:r>
      <w:r w:rsidRPr="00481040">
        <w:rPr>
          <w:spacing w:val="-11"/>
        </w:rPr>
        <w:t xml:space="preserve"> </w:t>
      </w:r>
      <w:r w:rsidRPr="00481040">
        <w:t>de</w:t>
      </w:r>
      <w:r w:rsidRPr="00481040">
        <w:rPr>
          <w:spacing w:val="-9"/>
        </w:rPr>
        <w:t xml:space="preserve"> </w:t>
      </w:r>
      <w:r w:rsidRPr="00481040">
        <w:t>corrélation avec l’hypothèse principale d’identification d’un rendement anormal suite à l’annonce publique d’une faille de</w:t>
      </w:r>
      <w:r w:rsidRPr="00481040">
        <w:rPr>
          <w:spacing w:val="-7"/>
        </w:rPr>
        <w:t xml:space="preserve"> </w:t>
      </w:r>
      <w:r w:rsidRPr="00481040">
        <w:t>sécurité.</w:t>
      </w:r>
      <w:r w:rsidR="00481040">
        <w:t xml:space="preserve"> </w:t>
      </w:r>
      <w:r w:rsidRPr="00481040">
        <w:t>Enfin, une fois l’échantillon constitué et notre base de données fiabilisée, les cours des actions</w:t>
      </w:r>
      <w:r w:rsidRPr="00481040">
        <w:rPr>
          <w:spacing w:val="-31"/>
        </w:rPr>
        <w:t xml:space="preserve"> </w:t>
      </w:r>
      <w:r w:rsidRPr="00481040">
        <w:t>ont été</w:t>
      </w:r>
      <w:r w:rsidRPr="00481040">
        <w:rPr>
          <w:spacing w:val="-10"/>
        </w:rPr>
        <w:t xml:space="preserve"> </w:t>
      </w:r>
      <w:r w:rsidRPr="00481040">
        <w:t>collectés</w:t>
      </w:r>
      <w:r w:rsidRPr="00481040">
        <w:rPr>
          <w:spacing w:val="-6"/>
        </w:rPr>
        <w:t xml:space="preserve"> </w:t>
      </w:r>
      <w:r w:rsidRPr="00481040">
        <w:t>via</w:t>
      </w:r>
      <w:r w:rsidRPr="00481040">
        <w:rPr>
          <w:spacing w:val="-9"/>
        </w:rPr>
        <w:t xml:space="preserve"> </w:t>
      </w:r>
      <w:r w:rsidRPr="00481040">
        <w:t>la</w:t>
      </w:r>
      <w:r w:rsidRPr="00481040">
        <w:rPr>
          <w:spacing w:val="-10"/>
        </w:rPr>
        <w:t xml:space="preserve"> </w:t>
      </w:r>
      <w:r w:rsidRPr="00481040">
        <w:t>base</w:t>
      </w:r>
      <w:r w:rsidRPr="00481040">
        <w:rPr>
          <w:spacing w:val="-9"/>
        </w:rPr>
        <w:t xml:space="preserve"> </w:t>
      </w:r>
      <w:r w:rsidRPr="00481040">
        <w:t>de</w:t>
      </w:r>
      <w:r w:rsidRPr="00481040">
        <w:rPr>
          <w:spacing w:val="-9"/>
        </w:rPr>
        <w:t xml:space="preserve"> </w:t>
      </w:r>
      <w:r w:rsidRPr="00481040">
        <w:t>données</w:t>
      </w:r>
      <w:r w:rsidRPr="00481040">
        <w:rPr>
          <w:spacing w:val="-7"/>
        </w:rPr>
        <w:t xml:space="preserve"> </w:t>
      </w:r>
      <w:r w:rsidRPr="00481040">
        <w:t>financière</w:t>
      </w:r>
      <w:r w:rsidRPr="00481040">
        <w:rPr>
          <w:spacing w:val="-9"/>
        </w:rPr>
        <w:t xml:space="preserve"> </w:t>
      </w:r>
      <w:r w:rsidRPr="00481040">
        <w:t>Bloomberg.</w:t>
      </w:r>
      <w:r w:rsidRPr="00481040">
        <w:rPr>
          <w:spacing w:val="-2"/>
        </w:rPr>
        <w:t xml:space="preserve"> </w:t>
      </w:r>
      <w:bookmarkStart w:id="20" w:name="Résultats_et_analyses"/>
      <w:bookmarkStart w:id="21" w:name="_bookmark25"/>
      <w:bookmarkEnd w:id="20"/>
      <w:bookmarkEnd w:id="21"/>
    </w:p>
    <w:p w:rsidR="003E7CF5" w:rsidRPr="00481040" w:rsidRDefault="00024B00" w:rsidP="00481040">
      <w:pPr>
        <w:tabs>
          <w:tab w:val="left" w:pos="2920"/>
        </w:tabs>
        <w:spacing w:before="240" w:after="240" w:line="360" w:lineRule="auto"/>
        <w:ind w:right="1521"/>
        <w:jc w:val="both"/>
        <w:rPr>
          <w:b/>
          <w:sz w:val="24"/>
          <w:szCs w:val="24"/>
        </w:rPr>
      </w:pPr>
      <w:r w:rsidRPr="00481040">
        <w:rPr>
          <w:b/>
          <w:sz w:val="24"/>
          <w:szCs w:val="24"/>
        </w:rPr>
        <w:t>Résultats et analyses</w:t>
      </w:r>
      <w:bookmarkStart w:id="22" w:name="Caractéristiques_de_l’échantillon"/>
      <w:bookmarkStart w:id="23" w:name="_bookmark26"/>
      <w:bookmarkEnd w:id="22"/>
      <w:bookmarkEnd w:id="23"/>
    </w:p>
    <w:p w:rsidR="003E7CF5" w:rsidRPr="00481040" w:rsidRDefault="00024B00" w:rsidP="00481040">
      <w:pPr>
        <w:pStyle w:val="Corpsdetexte"/>
        <w:spacing w:before="240" w:after="240" w:line="360" w:lineRule="auto"/>
        <w:ind w:right="1521"/>
        <w:jc w:val="both"/>
      </w:pPr>
      <w:r w:rsidRPr="00481040">
        <w:t>L’échantillon présenté dans cette étude est constitué de 53 incidents de sécurité informatique tous contenus dans les critères précédemment définis. Ces 53 incidents ont donné lieu à des incidents dans 35 entreprises côtés sur le marché du CAC 40 et SBF 120. Elles ont été réparties dans 18 secteurs d’activités différents.</w:t>
      </w:r>
    </w:p>
    <w:p w:rsidR="003E7CF5" w:rsidRPr="00481040" w:rsidRDefault="00024B00" w:rsidP="00481040">
      <w:pPr>
        <w:pStyle w:val="Corpsdetexte"/>
        <w:spacing w:before="240" w:after="240" w:line="360" w:lineRule="auto"/>
        <w:ind w:right="1521"/>
        <w:jc w:val="both"/>
      </w:pPr>
      <w:r w:rsidRPr="00481040">
        <w:t>Le tableau 1, reprend la répartition des événements étudiés en fonction du secteur d’activité dans lequel évolue l’entreprise concernée.</w:t>
      </w:r>
    </w:p>
    <w:p w:rsidR="003E7CF5" w:rsidRPr="00481040" w:rsidRDefault="00024B00" w:rsidP="00481040">
      <w:pPr>
        <w:pStyle w:val="Corpsdetexte"/>
        <w:spacing w:before="240" w:after="240" w:line="360" w:lineRule="auto"/>
        <w:ind w:right="1521"/>
        <w:jc w:val="both"/>
      </w:pPr>
      <w:r w:rsidRPr="00481040">
        <w:t>Assez rapidement on s’aperçoit que près de 19% des attaques collectées ont eu lieu dans des établissements bancaires ou d’assurances. Ces entreprises détiennent des données personnelles à fortes valeurs ajoutées, notamment les données bancaires des clients de ces établissements.</w:t>
      </w:r>
    </w:p>
    <w:p w:rsidR="00481040" w:rsidRDefault="00024B00" w:rsidP="00481040">
      <w:pPr>
        <w:pStyle w:val="Corpsdetexte"/>
        <w:spacing w:before="240" w:after="240" w:line="360" w:lineRule="auto"/>
        <w:ind w:right="1521"/>
        <w:jc w:val="both"/>
      </w:pPr>
      <w:r w:rsidRPr="00481040">
        <w:t>Le tableau 2, permet de mettre en évidence la répartition des évènements étudiés en fonction de l’année de survenance. On remarque, à première vue, que 57% des attaques collectées sont survenues ces deux dernières années. Ces éléments d’observations permettront de mettre en avant certains</w:t>
      </w:r>
      <w:r w:rsidRPr="00481040">
        <w:rPr>
          <w:spacing w:val="-11"/>
        </w:rPr>
        <w:t xml:space="preserve"> </w:t>
      </w:r>
      <w:r w:rsidRPr="00481040">
        <w:t>phénomènes</w:t>
      </w:r>
      <w:r w:rsidRPr="00481040">
        <w:rPr>
          <w:spacing w:val="-11"/>
        </w:rPr>
        <w:t xml:space="preserve"> </w:t>
      </w:r>
      <w:r w:rsidRPr="00481040">
        <w:t>et</w:t>
      </w:r>
      <w:r w:rsidRPr="00481040">
        <w:rPr>
          <w:spacing w:val="-14"/>
        </w:rPr>
        <w:t xml:space="preserve"> </w:t>
      </w:r>
      <w:r w:rsidRPr="00481040">
        <w:t>aideront</w:t>
      </w:r>
      <w:r w:rsidRPr="00481040">
        <w:rPr>
          <w:spacing w:val="-14"/>
        </w:rPr>
        <w:t xml:space="preserve"> </w:t>
      </w:r>
      <w:r w:rsidRPr="00481040">
        <w:t>à</w:t>
      </w:r>
      <w:r w:rsidRPr="00481040">
        <w:rPr>
          <w:spacing w:val="-14"/>
        </w:rPr>
        <w:t xml:space="preserve"> </w:t>
      </w:r>
      <w:r w:rsidRPr="00481040">
        <w:t>la</w:t>
      </w:r>
      <w:r w:rsidRPr="00481040">
        <w:rPr>
          <w:spacing w:val="-14"/>
        </w:rPr>
        <w:t xml:space="preserve"> </w:t>
      </w:r>
      <w:r w:rsidRPr="00481040">
        <w:t>validation</w:t>
      </w:r>
      <w:r w:rsidRPr="00481040">
        <w:rPr>
          <w:spacing w:val="-12"/>
        </w:rPr>
        <w:t xml:space="preserve"> </w:t>
      </w:r>
      <w:r w:rsidRPr="00481040">
        <w:t>ou</w:t>
      </w:r>
      <w:r w:rsidRPr="00481040">
        <w:rPr>
          <w:spacing w:val="-13"/>
        </w:rPr>
        <w:t xml:space="preserve"> </w:t>
      </w:r>
      <w:r w:rsidRPr="00481040">
        <w:t>non</w:t>
      </w:r>
      <w:r w:rsidRPr="00481040">
        <w:rPr>
          <w:spacing w:val="-13"/>
        </w:rPr>
        <w:t xml:space="preserve"> </w:t>
      </w:r>
      <w:r w:rsidRPr="00481040">
        <w:t>des</w:t>
      </w:r>
      <w:r w:rsidRPr="00481040">
        <w:rPr>
          <w:spacing w:val="-11"/>
        </w:rPr>
        <w:t xml:space="preserve"> </w:t>
      </w:r>
      <w:r w:rsidRPr="00481040">
        <w:t>hypothèses</w:t>
      </w:r>
      <w:r w:rsidRPr="00481040">
        <w:rPr>
          <w:spacing w:val="-3"/>
        </w:rPr>
        <w:t xml:space="preserve"> </w:t>
      </w:r>
      <w:r w:rsidRPr="00481040">
        <w:t>formalisées</w:t>
      </w:r>
      <w:r w:rsidRPr="00481040">
        <w:rPr>
          <w:spacing w:val="-11"/>
        </w:rPr>
        <w:t xml:space="preserve"> </w:t>
      </w:r>
      <w:r w:rsidRPr="00481040">
        <w:t>dans</w:t>
      </w:r>
      <w:r w:rsidRPr="00481040">
        <w:rPr>
          <w:spacing w:val="-11"/>
        </w:rPr>
        <w:t xml:space="preserve"> </w:t>
      </w:r>
      <w:r w:rsidRPr="00481040">
        <w:t>cette</w:t>
      </w:r>
      <w:r w:rsidRPr="00481040">
        <w:rPr>
          <w:spacing w:val="-14"/>
        </w:rPr>
        <w:t xml:space="preserve"> </w:t>
      </w:r>
      <w:r w:rsidRPr="00481040">
        <w:t>étude.</w:t>
      </w:r>
    </w:p>
    <w:p w:rsidR="002E2D4C" w:rsidRPr="00481040" w:rsidRDefault="002E2D4C" w:rsidP="00481040">
      <w:pPr>
        <w:pStyle w:val="Corpsdetexte"/>
        <w:spacing w:before="240" w:after="240" w:line="360" w:lineRule="auto"/>
        <w:ind w:right="1521"/>
        <w:jc w:val="both"/>
      </w:pPr>
    </w:p>
    <w:p w:rsidR="003E7CF5" w:rsidRDefault="00024B00" w:rsidP="00A5268B">
      <w:pPr>
        <w:tabs>
          <w:tab w:val="left" w:pos="5110"/>
        </w:tabs>
        <w:rPr>
          <w:sz w:val="20"/>
        </w:rPr>
      </w:pPr>
      <w:bookmarkStart w:id="24" w:name="_bookmark27"/>
      <w:bookmarkEnd w:id="24"/>
      <w:r>
        <w:rPr>
          <w:sz w:val="20"/>
        </w:rPr>
        <w:t>Tableau 1 : Distribution des événements par secteur d’activité</w:t>
      </w:r>
    </w:p>
    <w:p w:rsidR="003E7CF5" w:rsidRDefault="003E7CF5">
      <w:pPr>
        <w:pStyle w:val="Corpsdetexte"/>
        <w:spacing w:before="7"/>
        <w:rPr>
          <w:sz w:val="13"/>
        </w:rPr>
      </w:pPr>
    </w:p>
    <w:tbl>
      <w:tblPr>
        <w:tblStyle w:val="TableNormal"/>
        <w:tblW w:w="0" w:type="auto"/>
        <w:tblInd w:w="342" w:type="dxa"/>
        <w:tblLayout w:type="fixed"/>
        <w:tblLook w:val="01E0" w:firstRow="1" w:lastRow="1" w:firstColumn="1" w:lastColumn="1" w:noHBand="0" w:noVBand="0"/>
      </w:tblPr>
      <w:tblGrid>
        <w:gridCol w:w="5384"/>
        <w:gridCol w:w="3979"/>
      </w:tblGrid>
      <w:tr w:rsidR="003E7CF5">
        <w:trPr>
          <w:trHeight w:val="380"/>
        </w:trPr>
        <w:tc>
          <w:tcPr>
            <w:tcW w:w="5384" w:type="dxa"/>
            <w:tcBorders>
              <w:bottom w:val="single" w:sz="4" w:space="0" w:color="4471C4"/>
            </w:tcBorders>
            <w:shd w:val="clear" w:color="auto" w:fill="D0CECE"/>
          </w:tcPr>
          <w:p w:rsidR="003E7CF5" w:rsidRDefault="00024B00">
            <w:pPr>
              <w:pStyle w:val="TableParagraph"/>
              <w:spacing w:line="253" w:lineRule="exact"/>
              <w:ind w:left="70"/>
              <w:rPr>
                <w:b/>
              </w:rPr>
            </w:pPr>
            <w:r>
              <w:rPr>
                <w:b/>
              </w:rPr>
              <w:t>Secteur d'activité</w:t>
            </w:r>
          </w:p>
        </w:tc>
        <w:tc>
          <w:tcPr>
            <w:tcW w:w="3979" w:type="dxa"/>
            <w:tcBorders>
              <w:bottom w:val="single" w:sz="4" w:space="0" w:color="4471C4"/>
            </w:tcBorders>
            <w:shd w:val="clear" w:color="auto" w:fill="D0CECE"/>
          </w:tcPr>
          <w:p w:rsidR="003E7CF5" w:rsidRDefault="00024B00">
            <w:pPr>
              <w:pStyle w:val="TableParagraph"/>
              <w:spacing w:line="253" w:lineRule="exact"/>
              <w:ind w:right="409"/>
              <w:jc w:val="right"/>
              <w:rPr>
                <w:b/>
              </w:rPr>
            </w:pPr>
            <w:r>
              <w:rPr>
                <w:b/>
              </w:rPr>
              <w:t>Nombre d’attaques</w:t>
            </w:r>
          </w:p>
        </w:tc>
      </w:tr>
      <w:tr w:rsidR="003E7CF5">
        <w:trPr>
          <w:trHeight w:val="320"/>
        </w:trPr>
        <w:tc>
          <w:tcPr>
            <w:tcW w:w="5384" w:type="dxa"/>
            <w:tcBorders>
              <w:top w:val="single" w:sz="4" w:space="0" w:color="4471C4"/>
            </w:tcBorders>
          </w:tcPr>
          <w:p w:rsidR="003E7CF5" w:rsidRDefault="00024B00">
            <w:pPr>
              <w:pStyle w:val="TableParagraph"/>
              <w:spacing w:line="253" w:lineRule="exact"/>
              <w:ind w:left="70"/>
            </w:pPr>
            <w:r>
              <w:t>Banque / Assurance</w:t>
            </w:r>
          </w:p>
        </w:tc>
        <w:tc>
          <w:tcPr>
            <w:tcW w:w="3979" w:type="dxa"/>
            <w:tcBorders>
              <w:top w:val="single" w:sz="4" w:space="0" w:color="4471C4"/>
            </w:tcBorders>
          </w:tcPr>
          <w:p w:rsidR="003E7CF5" w:rsidRDefault="00024B00">
            <w:pPr>
              <w:pStyle w:val="TableParagraph"/>
              <w:spacing w:line="253" w:lineRule="exact"/>
              <w:ind w:right="412"/>
              <w:jc w:val="right"/>
            </w:pPr>
            <w:r>
              <w:t>10</w:t>
            </w:r>
          </w:p>
        </w:tc>
      </w:tr>
      <w:tr w:rsidR="003E7CF5">
        <w:trPr>
          <w:trHeight w:val="380"/>
        </w:trPr>
        <w:tc>
          <w:tcPr>
            <w:tcW w:w="5384" w:type="dxa"/>
          </w:tcPr>
          <w:p w:rsidR="003E7CF5" w:rsidRDefault="00024B00">
            <w:pPr>
              <w:pStyle w:val="TableParagraph"/>
              <w:spacing w:before="59"/>
              <w:ind w:left="70"/>
            </w:pPr>
            <w:r>
              <w:t>Audiovisuel et divertissements</w:t>
            </w:r>
          </w:p>
        </w:tc>
        <w:tc>
          <w:tcPr>
            <w:tcW w:w="3979" w:type="dxa"/>
          </w:tcPr>
          <w:p w:rsidR="003E7CF5" w:rsidRDefault="00024B00">
            <w:pPr>
              <w:pStyle w:val="TableParagraph"/>
              <w:spacing w:before="59"/>
              <w:ind w:right="412"/>
              <w:jc w:val="right"/>
            </w:pPr>
            <w:r>
              <w:t>6</w:t>
            </w:r>
          </w:p>
        </w:tc>
      </w:tr>
      <w:tr w:rsidR="003E7CF5">
        <w:trPr>
          <w:trHeight w:val="380"/>
        </w:trPr>
        <w:tc>
          <w:tcPr>
            <w:tcW w:w="5384" w:type="dxa"/>
          </w:tcPr>
          <w:p w:rsidR="003E7CF5" w:rsidRDefault="00024B00">
            <w:pPr>
              <w:pStyle w:val="TableParagraph"/>
              <w:spacing w:before="59"/>
              <w:ind w:left="70"/>
            </w:pPr>
            <w:r>
              <w:t>Aérospatiale</w:t>
            </w:r>
          </w:p>
        </w:tc>
        <w:tc>
          <w:tcPr>
            <w:tcW w:w="3979" w:type="dxa"/>
          </w:tcPr>
          <w:p w:rsidR="003E7CF5" w:rsidRDefault="00024B00">
            <w:pPr>
              <w:pStyle w:val="TableParagraph"/>
              <w:spacing w:before="59"/>
              <w:ind w:right="412"/>
              <w:jc w:val="right"/>
            </w:pPr>
            <w:r>
              <w:t>5</w:t>
            </w:r>
          </w:p>
        </w:tc>
      </w:tr>
      <w:tr w:rsidR="003E7CF5">
        <w:trPr>
          <w:trHeight w:val="380"/>
        </w:trPr>
        <w:tc>
          <w:tcPr>
            <w:tcW w:w="5384" w:type="dxa"/>
          </w:tcPr>
          <w:p w:rsidR="003E7CF5" w:rsidRDefault="00024B00">
            <w:pPr>
              <w:pStyle w:val="TableParagraph"/>
              <w:spacing w:before="59"/>
              <w:ind w:left="70"/>
            </w:pPr>
            <w:r>
              <w:t>Télécommunications filaires</w:t>
            </w:r>
          </w:p>
        </w:tc>
        <w:tc>
          <w:tcPr>
            <w:tcW w:w="3979" w:type="dxa"/>
          </w:tcPr>
          <w:p w:rsidR="003E7CF5" w:rsidRDefault="00024B00">
            <w:pPr>
              <w:pStyle w:val="TableParagraph"/>
              <w:spacing w:before="59"/>
              <w:ind w:right="412"/>
              <w:jc w:val="right"/>
            </w:pPr>
            <w:r>
              <w:t>5</w:t>
            </w:r>
          </w:p>
        </w:tc>
      </w:tr>
      <w:tr w:rsidR="003E7CF5">
        <w:trPr>
          <w:trHeight w:val="380"/>
        </w:trPr>
        <w:tc>
          <w:tcPr>
            <w:tcW w:w="5384" w:type="dxa"/>
          </w:tcPr>
          <w:p w:rsidR="003E7CF5" w:rsidRDefault="00024B00">
            <w:pPr>
              <w:pStyle w:val="TableParagraph"/>
              <w:spacing w:before="59"/>
              <w:ind w:left="70"/>
            </w:pPr>
            <w:r>
              <w:t>Services</w:t>
            </w:r>
          </w:p>
        </w:tc>
        <w:tc>
          <w:tcPr>
            <w:tcW w:w="3979" w:type="dxa"/>
          </w:tcPr>
          <w:p w:rsidR="003E7CF5" w:rsidRDefault="00024B00">
            <w:pPr>
              <w:pStyle w:val="TableParagraph"/>
              <w:spacing w:before="59"/>
              <w:ind w:right="412"/>
              <w:jc w:val="right"/>
            </w:pPr>
            <w:r>
              <w:t>4</w:t>
            </w:r>
          </w:p>
        </w:tc>
      </w:tr>
      <w:tr w:rsidR="003E7CF5">
        <w:trPr>
          <w:trHeight w:val="377"/>
        </w:trPr>
        <w:tc>
          <w:tcPr>
            <w:tcW w:w="5384" w:type="dxa"/>
          </w:tcPr>
          <w:p w:rsidR="003E7CF5" w:rsidRDefault="00024B00">
            <w:pPr>
              <w:pStyle w:val="TableParagraph"/>
              <w:spacing w:before="59"/>
              <w:ind w:left="70"/>
            </w:pPr>
            <w:r>
              <w:lastRenderedPageBreak/>
              <w:t>Distributeur</w:t>
            </w:r>
          </w:p>
        </w:tc>
        <w:tc>
          <w:tcPr>
            <w:tcW w:w="3979" w:type="dxa"/>
          </w:tcPr>
          <w:p w:rsidR="003E7CF5" w:rsidRDefault="00024B00">
            <w:pPr>
              <w:pStyle w:val="TableParagraph"/>
              <w:spacing w:before="59"/>
              <w:ind w:right="412"/>
              <w:jc w:val="right"/>
            </w:pPr>
            <w:r>
              <w:t>3</w:t>
            </w:r>
          </w:p>
        </w:tc>
      </w:tr>
      <w:tr w:rsidR="003E7CF5">
        <w:trPr>
          <w:trHeight w:val="377"/>
        </w:trPr>
        <w:tc>
          <w:tcPr>
            <w:tcW w:w="5384" w:type="dxa"/>
          </w:tcPr>
          <w:p w:rsidR="003E7CF5" w:rsidRDefault="00024B00">
            <w:pPr>
              <w:pStyle w:val="TableParagraph"/>
              <w:spacing w:before="56"/>
              <w:ind w:left="70"/>
            </w:pPr>
            <w:r>
              <w:t>Énergie</w:t>
            </w:r>
          </w:p>
        </w:tc>
        <w:tc>
          <w:tcPr>
            <w:tcW w:w="3979" w:type="dxa"/>
          </w:tcPr>
          <w:p w:rsidR="003E7CF5" w:rsidRDefault="00024B00">
            <w:pPr>
              <w:pStyle w:val="TableParagraph"/>
              <w:spacing w:before="56"/>
              <w:ind w:right="412"/>
              <w:jc w:val="right"/>
            </w:pPr>
            <w:r>
              <w:t>3</w:t>
            </w:r>
          </w:p>
        </w:tc>
      </w:tr>
      <w:tr w:rsidR="003E7CF5">
        <w:trPr>
          <w:trHeight w:val="380"/>
        </w:trPr>
        <w:tc>
          <w:tcPr>
            <w:tcW w:w="5384" w:type="dxa"/>
          </w:tcPr>
          <w:p w:rsidR="003E7CF5" w:rsidRDefault="00024B00">
            <w:pPr>
              <w:pStyle w:val="TableParagraph"/>
              <w:spacing w:before="58"/>
              <w:ind w:left="70"/>
            </w:pPr>
            <w:r>
              <w:t>Alimentation</w:t>
            </w:r>
          </w:p>
        </w:tc>
        <w:tc>
          <w:tcPr>
            <w:tcW w:w="3979" w:type="dxa"/>
          </w:tcPr>
          <w:p w:rsidR="003E7CF5" w:rsidRDefault="00024B00">
            <w:pPr>
              <w:pStyle w:val="TableParagraph"/>
              <w:spacing w:before="58"/>
              <w:ind w:right="412"/>
              <w:jc w:val="right"/>
            </w:pPr>
            <w:r>
              <w:t>2</w:t>
            </w:r>
          </w:p>
        </w:tc>
      </w:tr>
      <w:tr w:rsidR="003E7CF5">
        <w:trPr>
          <w:trHeight w:val="380"/>
        </w:trPr>
        <w:tc>
          <w:tcPr>
            <w:tcW w:w="5384" w:type="dxa"/>
          </w:tcPr>
          <w:p w:rsidR="003E7CF5" w:rsidRDefault="00024B00">
            <w:pPr>
              <w:pStyle w:val="TableParagraph"/>
              <w:spacing w:before="59"/>
              <w:ind w:left="70"/>
            </w:pPr>
            <w:r>
              <w:t>Automobiles</w:t>
            </w:r>
          </w:p>
        </w:tc>
        <w:tc>
          <w:tcPr>
            <w:tcW w:w="3979" w:type="dxa"/>
          </w:tcPr>
          <w:p w:rsidR="003E7CF5" w:rsidRDefault="00024B00">
            <w:pPr>
              <w:pStyle w:val="TableParagraph"/>
              <w:spacing w:before="59"/>
              <w:ind w:right="412"/>
              <w:jc w:val="right"/>
            </w:pPr>
            <w:r>
              <w:t>2</w:t>
            </w:r>
          </w:p>
        </w:tc>
      </w:tr>
      <w:tr w:rsidR="003E7CF5">
        <w:trPr>
          <w:trHeight w:val="380"/>
        </w:trPr>
        <w:tc>
          <w:tcPr>
            <w:tcW w:w="5384" w:type="dxa"/>
          </w:tcPr>
          <w:p w:rsidR="003E7CF5" w:rsidRDefault="00024B00">
            <w:pPr>
              <w:pStyle w:val="TableParagraph"/>
              <w:spacing w:before="59"/>
              <w:ind w:left="70"/>
            </w:pPr>
            <w:r>
              <w:t>Construction</w:t>
            </w:r>
          </w:p>
        </w:tc>
        <w:tc>
          <w:tcPr>
            <w:tcW w:w="3979" w:type="dxa"/>
          </w:tcPr>
          <w:p w:rsidR="003E7CF5" w:rsidRDefault="00024B00">
            <w:pPr>
              <w:pStyle w:val="TableParagraph"/>
              <w:spacing w:before="59"/>
              <w:ind w:right="412"/>
              <w:jc w:val="right"/>
            </w:pPr>
            <w:r>
              <w:t>2</w:t>
            </w:r>
          </w:p>
        </w:tc>
      </w:tr>
      <w:tr w:rsidR="003E7CF5">
        <w:trPr>
          <w:trHeight w:val="380"/>
        </w:trPr>
        <w:tc>
          <w:tcPr>
            <w:tcW w:w="5384" w:type="dxa"/>
          </w:tcPr>
          <w:p w:rsidR="003E7CF5" w:rsidRDefault="00024B00">
            <w:pPr>
              <w:pStyle w:val="TableParagraph"/>
              <w:spacing w:before="59"/>
              <w:ind w:left="70"/>
            </w:pPr>
            <w:r>
              <w:t>Hôtellerie</w:t>
            </w:r>
          </w:p>
        </w:tc>
        <w:tc>
          <w:tcPr>
            <w:tcW w:w="3979" w:type="dxa"/>
          </w:tcPr>
          <w:p w:rsidR="003E7CF5" w:rsidRDefault="00024B00">
            <w:pPr>
              <w:pStyle w:val="TableParagraph"/>
              <w:spacing w:before="59"/>
              <w:ind w:right="412"/>
              <w:jc w:val="right"/>
            </w:pPr>
            <w:r>
              <w:t>2</w:t>
            </w:r>
          </w:p>
        </w:tc>
      </w:tr>
      <w:tr w:rsidR="003E7CF5">
        <w:trPr>
          <w:trHeight w:val="380"/>
        </w:trPr>
        <w:tc>
          <w:tcPr>
            <w:tcW w:w="5384" w:type="dxa"/>
          </w:tcPr>
          <w:p w:rsidR="003E7CF5" w:rsidRDefault="00024B00">
            <w:pPr>
              <w:pStyle w:val="TableParagraph"/>
              <w:spacing w:before="59"/>
              <w:ind w:left="70"/>
            </w:pPr>
            <w:r>
              <w:t>Santé</w:t>
            </w:r>
          </w:p>
        </w:tc>
        <w:tc>
          <w:tcPr>
            <w:tcW w:w="3979" w:type="dxa"/>
          </w:tcPr>
          <w:p w:rsidR="003E7CF5" w:rsidRDefault="00024B00">
            <w:pPr>
              <w:pStyle w:val="TableParagraph"/>
              <w:spacing w:before="59"/>
              <w:ind w:right="412"/>
              <w:jc w:val="right"/>
            </w:pPr>
            <w:r>
              <w:t>2</w:t>
            </w:r>
          </w:p>
        </w:tc>
      </w:tr>
      <w:tr w:rsidR="003E7CF5">
        <w:trPr>
          <w:trHeight w:val="380"/>
        </w:trPr>
        <w:tc>
          <w:tcPr>
            <w:tcW w:w="5384" w:type="dxa"/>
          </w:tcPr>
          <w:p w:rsidR="003E7CF5" w:rsidRDefault="00024B00">
            <w:pPr>
              <w:pStyle w:val="TableParagraph"/>
              <w:spacing w:before="59"/>
              <w:ind w:left="70"/>
            </w:pPr>
            <w:r>
              <w:t>Sociétés pétrolières et gazières intégrées</w:t>
            </w:r>
          </w:p>
        </w:tc>
        <w:tc>
          <w:tcPr>
            <w:tcW w:w="3979" w:type="dxa"/>
          </w:tcPr>
          <w:p w:rsidR="003E7CF5" w:rsidRDefault="00024B00">
            <w:pPr>
              <w:pStyle w:val="TableParagraph"/>
              <w:spacing w:before="59"/>
              <w:ind w:right="412"/>
              <w:jc w:val="right"/>
            </w:pPr>
            <w:r>
              <w:t>2</w:t>
            </w:r>
          </w:p>
        </w:tc>
      </w:tr>
      <w:tr w:rsidR="003E7CF5">
        <w:trPr>
          <w:trHeight w:val="380"/>
        </w:trPr>
        <w:tc>
          <w:tcPr>
            <w:tcW w:w="5384" w:type="dxa"/>
          </w:tcPr>
          <w:p w:rsidR="003E7CF5" w:rsidRDefault="00024B00">
            <w:pPr>
              <w:pStyle w:val="TableParagraph"/>
              <w:spacing w:before="59"/>
              <w:ind w:left="70"/>
            </w:pPr>
            <w:r>
              <w:t>Agro-alimentaire</w:t>
            </w:r>
          </w:p>
        </w:tc>
        <w:tc>
          <w:tcPr>
            <w:tcW w:w="3979" w:type="dxa"/>
          </w:tcPr>
          <w:p w:rsidR="003E7CF5" w:rsidRDefault="00024B00">
            <w:pPr>
              <w:pStyle w:val="TableParagraph"/>
              <w:spacing w:before="59"/>
              <w:ind w:right="412"/>
              <w:jc w:val="right"/>
            </w:pPr>
            <w:r>
              <w:t>1</w:t>
            </w:r>
          </w:p>
        </w:tc>
      </w:tr>
      <w:tr w:rsidR="003E7CF5">
        <w:trPr>
          <w:trHeight w:val="377"/>
        </w:trPr>
        <w:tc>
          <w:tcPr>
            <w:tcW w:w="5384" w:type="dxa"/>
          </w:tcPr>
          <w:p w:rsidR="003E7CF5" w:rsidRDefault="00024B00">
            <w:pPr>
              <w:pStyle w:val="TableParagraph"/>
              <w:spacing w:before="59"/>
              <w:ind w:left="70"/>
            </w:pPr>
            <w:r>
              <w:t>Compagnies aériennes</w:t>
            </w:r>
          </w:p>
        </w:tc>
        <w:tc>
          <w:tcPr>
            <w:tcW w:w="3979" w:type="dxa"/>
          </w:tcPr>
          <w:p w:rsidR="003E7CF5" w:rsidRDefault="00024B00">
            <w:pPr>
              <w:pStyle w:val="TableParagraph"/>
              <w:spacing w:before="59"/>
              <w:ind w:right="412"/>
              <w:jc w:val="right"/>
            </w:pPr>
            <w:r>
              <w:t>1</w:t>
            </w:r>
          </w:p>
        </w:tc>
      </w:tr>
      <w:tr w:rsidR="003E7CF5">
        <w:trPr>
          <w:trHeight w:val="377"/>
        </w:trPr>
        <w:tc>
          <w:tcPr>
            <w:tcW w:w="5384" w:type="dxa"/>
          </w:tcPr>
          <w:p w:rsidR="003E7CF5" w:rsidRDefault="00024B00">
            <w:pPr>
              <w:pStyle w:val="TableParagraph"/>
              <w:spacing w:before="56"/>
              <w:ind w:left="70"/>
            </w:pPr>
            <w:r>
              <w:t>Eau</w:t>
            </w:r>
          </w:p>
        </w:tc>
        <w:tc>
          <w:tcPr>
            <w:tcW w:w="3979" w:type="dxa"/>
          </w:tcPr>
          <w:p w:rsidR="003E7CF5" w:rsidRDefault="00024B00">
            <w:pPr>
              <w:pStyle w:val="TableParagraph"/>
              <w:spacing w:before="56"/>
              <w:ind w:right="412"/>
              <w:jc w:val="right"/>
            </w:pPr>
            <w:r>
              <w:t>1</w:t>
            </w:r>
          </w:p>
        </w:tc>
      </w:tr>
      <w:tr w:rsidR="003E7CF5">
        <w:trPr>
          <w:trHeight w:val="380"/>
        </w:trPr>
        <w:tc>
          <w:tcPr>
            <w:tcW w:w="5384" w:type="dxa"/>
          </w:tcPr>
          <w:p w:rsidR="003E7CF5" w:rsidRDefault="00024B00">
            <w:pPr>
              <w:pStyle w:val="TableParagraph"/>
              <w:spacing w:before="59"/>
              <w:ind w:left="70"/>
            </w:pPr>
            <w:r>
              <w:t>Matériaux et accessoires de construction</w:t>
            </w:r>
          </w:p>
        </w:tc>
        <w:tc>
          <w:tcPr>
            <w:tcW w:w="3979" w:type="dxa"/>
          </w:tcPr>
          <w:p w:rsidR="003E7CF5" w:rsidRDefault="00024B00">
            <w:pPr>
              <w:pStyle w:val="TableParagraph"/>
              <w:spacing w:before="59"/>
              <w:ind w:right="412"/>
              <w:jc w:val="right"/>
            </w:pPr>
            <w:r>
              <w:t>1</w:t>
            </w:r>
          </w:p>
        </w:tc>
      </w:tr>
      <w:tr w:rsidR="003E7CF5">
        <w:trPr>
          <w:trHeight w:val="439"/>
        </w:trPr>
        <w:tc>
          <w:tcPr>
            <w:tcW w:w="5384" w:type="dxa"/>
            <w:tcBorders>
              <w:bottom w:val="single" w:sz="4" w:space="0" w:color="4471C4"/>
            </w:tcBorders>
          </w:tcPr>
          <w:p w:rsidR="003E7CF5" w:rsidRDefault="00024B00">
            <w:pPr>
              <w:pStyle w:val="TableParagraph"/>
              <w:spacing w:before="59"/>
              <w:ind w:left="70"/>
            </w:pPr>
            <w:r>
              <w:t>Promotion immobilière</w:t>
            </w:r>
          </w:p>
        </w:tc>
        <w:tc>
          <w:tcPr>
            <w:tcW w:w="3979" w:type="dxa"/>
            <w:tcBorders>
              <w:bottom w:val="single" w:sz="4" w:space="0" w:color="4471C4"/>
            </w:tcBorders>
          </w:tcPr>
          <w:p w:rsidR="003E7CF5" w:rsidRDefault="00024B00">
            <w:pPr>
              <w:pStyle w:val="TableParagraph"/>
              <w:spacing w:before="59"/>
              <w:ind w:right="412"/>
              <w:jc w:val="right"/>
            </w:pPr>
            <w:r>
              <w:t>1</w:t>
            </w:r>
          </w:p>
        </w:tc>
      </w:tr>
      <w:tr w:rsidR="003E7CF5">
        <w:trPr>
          <w:trHeight w:val="380"/>
        </w:trPr>
        <w:tc>
          <w:tcPr>
            <w:tcW w:w="5384" w:type="dxa"/>
            <w:tcBorders>
              <w:top w:val="single" w:sz="4" w:space="0" w:color="4471C4"/>
            </w:tcBorders>
            <w:shd w:val="clear" w:color="auto" w:fill="D0CECE"/>
          </w:tcPr>
          <w:p w:rsidR="003E7CF5" w:rsidRDefault="00024B00">
            <w:pPr>
              <w:pStyle w:val="TableParagraph"/>
              <w:spacing w:line="253" w:lineRule="exact"/>
              <w:ind w:left="70"/>
              <w:rPr>
                <w:b/>
              </w:rPr>
            </w:pPr>
            <w:r>
              <w:rPr>
                <w:b/>
              </w:rPr>
              <w:t>Total général</w:t>
            </w:r>
          </w:p>
        </w:tc>
        <w:tc>
          <w:tcPr>
            <w:tcW w:w="3979" w:type="dxa"/>
            <w:tcBorders>
              <w:top w:val="single" w:sz="4" w:space="0" w:color="4471C4"/>
            </w:tcBorders>
            <w:shd w:val="clear" w:color="auto" w:fill="D0CECE"/>
          </w:tcPr>
          <w:p w:rsidR="003E7CF5" w:rsidRDefault="00024B00">
            <w:pPr>
              <w:pStyle w:val="TableParagraph"/>
              <w:spacing w:line="253" w:lineRule="exact"/>
              <w:ind w:right="412"/>
              <w:jc w:val="right"/>
              <w:rPr>
                <w:b/>
              </w:rPr>
            </w:pPr>
            <w:r>
              <w:rPr>
                <w:b/>
              </w:rPr>
              <w:t>53</w:t>
            </w:r>
          </w:p>
        </w:tc>
      </w:tr>
    </w:tbl>
    <w:p w:rsidR="003E7CF5" w:rsidRDefault="003E7CF5" w:rsidP="00A5268B">
      <w:pPr>
        <w:spacing w:line="253" w:lineRule="exact"/>
        <w:jc w:val="center"/>
        <w:sectPr w:rsidR="003E7CF5">
          <w:footerReference w:type="default" r:id="rId9"/>
          <w:pgSz w:w="12240" w:h="15840"/>
          <w:pgMar w:top="1540" w:right="0" w:bottom="1220" w:left="1080" w:header="730" w:footer="1039" w:gutter="0"/>
          <w:cols w:space="720"/>
        </w:sectPr>
      </w:pPr>
    </w:p>
    <w:p w:rsidR="003E7CF5" w:rsidRDefault="003E7CF5">
      <w:pPr>
        <w:pStyle w:val="Corpsdetexte"/>
        <w:spacing w:before="2"/>
        <w:rPr>
          <w:sz w:val="27"/>
        </w:rPr>
      </w:pPr>
    </w:p>
    <w:p w:rsidR="003E7CF5" w:rsidRDefault="00024B00">
      <w:pPr>
        <w:spacing w:before="92"/>
        <w:ind w:left="335"/>
        <w:jc w:val="both"/>
        <w:rPr>
          <w:sz w:val="20"/>
        </w:rPr>
      </w:pPr>
      <w:bookmarkStart w:id="25" w:name="_bookmark28"/>
      <w:bookmarkEnd w:id="25"/>
      <w:r>
        <w:rPr>
          <w:sz w:val="20"/>
        </w:rPr>
        <w:t>Tableau 2 : Distribution des évènements par année de survenance</w:t>
      </w:r>
    </w:p>
    <w:p w:rsidR="003E7CF5" w:rsidRDefault="003E7CF5">
      <w:pPr>
        <w:pStyle w:val="Corpsdetexte"/>
        <w:spacing w:before="7"/>
        <w:rPr>
          <w:sz w:val="13"/>
        </w:rPr>
      </w:pPr>
    </w:p>
    <w:tbl>
      <w:tblPr>
        <w:tblStyle w:val="TableNormal"/>
        <w:tblW w:w="0" w:type="auto"/>
        <w:tblInd w:w="342" w:type="dxa"/>
        <w:tblLayout w:type="fixed"/>
        <w:tblLook w:val="01E0" w:firstRow="1" w:lastRow="1" w:firstColumn="1" w:lastColumn="1" w:noHBand="0" w:noVBand="0"/>
      </w:tblPr>
      <w:tblGrid>
        <w:gridCol w:w="4682"/>
        <w:gridCol w:w="4683"/>
      </w:tblGrid>
      <w:tr w:rsidR="003E7CF5">
        <w:trPr>
          <w:trHeight w:val="380"/>
        </w:trPr>
        <w:tc>
          <w:tcPr>
            <w:tcW w:w="4682" w:type="dxa"/>
            <w:tcBorders>
              <w:bottom w:val="single" w:sz="4" w:space="0" w:color="4471C4"/>
            </w:tcBorders>
            <w:shd w:val="clear" w:color="auto" w:fill="D0CECE"/>
          </w:tcPr>
          <w:p w:rsidR="003E7CF5" w:rsidRDefault="00024B00">
            <w:pPr>
              <w:pStyle w:val="TableParagraph"/>
              <w:spacing w:line="253" w:lineRule="exact"/>
              <w:ind w:left="70"/>
              <w:rPr>
                <w:b/>
              </w:rPr>
            </w:pPr>
            <w:r>
              <w:rPr>
                <w:b/>
              </w:rPr>
              <w:t>Année de survenance</w:t>
            </w:r>
          </w:p>
        </w:tc>
        <w:tc>
          <w:tcPr>
            <w:tcW w:w="4683" w:type="dxa"/>
            <w:tcBorders>
              <w:bottom w:val="single" w:sz="4" w:space="0" w:color="4471C4"/>
            </w:tcBorders>
            <w:shd w:val="clear" w:color="auto" w:fill="D0CECE"/>
          </w:tcPr>
          <w:p w:rsidR="003E7CF5" w:rsidRDefault="00024B00">
            <w:pPr>
              <w:pStyle w:val="TableParagraph"/>
              <w:spacing w:line="253" w:lineRule="exact"/>
              <w:ind w:right="256"/>
              <w:jc w:val="right"/>
              <w:rPr>
                <w:b/>
              </w:rPr>
            </w:pPr>
            <w:r>
              <w:rPr>
                <w:b/>
              </w:rPr>
              <w:t>Nombre d'attaques</w:t>
            </w:r>
          </w:p>
        </w:tc>
      </w:tr>
      <w:tr w:rsidR="003E7CF5">
        <w:trPr>
          <w:trHeight w:val="320"/>
        </w:trPr>
        <w:tc>
          <w:tcPr>
            <w:tcW w:w="4682" w:type="dxa"/>
            <w:tcBorders>
              <w:top w:val="single" w:sz="4" w:space="0" w:color="4471C4"/>
            </w:tcBorders>
          </w:tcPr>
          <w:p w:rsidR="003E7CF5" w:rsidRDefault="00024B00">
            <w:pPr>
              <w:pStyle w:val="TableParagraph"/>
              <w:spacing w:line="253" w:lineRule="exact"/>
              <w:ind w:left="70"/>
            </w:pPr>
            <w:r>
              <w:t>2019</w:t>
            </w:r>
          </w:p>
        </w:tc>
        <w:tc>
          <w:tcPr>
            <w:tcW w:w="4683" w:type="dxa"/>
            <w:tcBorders>
              <w:top w:val="single" w:sz="4" w:space="0" w:color="4471C4"/>
            </w:tcBorders>
          </w:tcPr>
          <w:p w:rsidR="003E7CF5" w:rsidRDefault="00024B00">
            <w:pPr>
              <w:pStyle w:val="TableParagraph"/>
              <w:spacing w:line="253" w:lineRule="exact"/>
              <w:ind w:right="279"/>
              <w:jc w:val="right"/>
            </w:pPr>
            <w:r>
              <w:t>18</w:t>
            </w:r>
          </w:p>
        </w:tc>
      </w:tr>
      <w:tr w:rsidR="003E7CF5">
        <w:trPr>
          <w:trHeight w:val="380"/>
        </w:trPr>
        <w:tc>
          <w:tcPr>
            <w:tcW w:w="4682" w:type="dxa"/>
          </w:tcPr>
          <w:p w:rsidR="003E7CF5" w:rsidRDefault="00024B00">
            <w:pPr>
              <w:pStyle w:val="TableParagraph"/>
              <w:spacing w:before="59"/>
              <w:ind w:left="70"/>
            </w:pPr>
            <w:r>
              <w:t>2018</w:t>
            </w:r>
          </w:p>
        </w:tc>
        <w:tc>
          <w:tcPr>
            <w:tcW w:w="4683" w:type="dxa"/>
          </w:tcPr>
          <w:p w:rsidR="003E7CF5" w:rsidRDefault="00024B00">
            <w:pPr>
              <w:pStyle w:val="TableParagraph"/>
              <w:spacing w:before="59"/>
              <w:ind w:right="279"/>
              <w:jc w:val="right"/>
            </w:pPr>
            <w:r>
              <w:t>12</w:t>
            </w:r>
          </w:p>
        </w:tc>
      </w:tr>
      <w:tr w:rsidR="003E7CF5">
        <w:trPr>
          <w:trHeight w:val="380"/>
        </w:trPr>
        <w:tc>
          <w:tcPr>
            <w:tcW w:w="4682" w:type="dxa"/>
          </w:tcPr>
          <w:p w:rsidR="003E7CF5" w:rsidRDefault="00024B00">
            <w:pPr>
              <w:pStyle w:val="TableParagraph"/>
              <w:spacing w:before="59"/>
              <w:ind w:left="70"/>
            </w:pPr>
            <w:r>
              <w:t>2017</w:t>
            </w:r>
          </w:p>
        </w:tc>
        <w:tc>
          <w:tcPr>
            <w:tcW w:w="4683" w:type="dxa"/>
          </w:tcPr>
          <w:p w:rsidR="003E7CF5" w:rsidRDefault="00024B00">
            <w:pPr>
              <w:pStyle w:val="TableParagraph"/>
              <w:spacing w:before="59"/>
              <w:ind w:right="279"/>
              <w:jc w:val="right"/>
            </w:pPr>
            <w:r>
              <w:t>9</w:t>
            </w:r>
          </w:p>
        </w:tc>
      </w:tr>
      <w:tr w:rsidR="003E7CF5">
        <w:trPr>
          <w:trHeight w:val="377"/>
        </w:trPr>
        <w:tc>
          <w:tcPr>
            <w:tcW w:w="4682" w:type="dxa"/>
          </w:tcPr>
          <w:p w:rsidR="003E7CF5" w:rsidRDefault="00024B00">
            <w:pPr>
              <w:pStyle w:val="TableParagraph"/>
              <w:spacing w:before="59"/>
              <w:ind w:left="70"/>
            </w:pPr>
            <w:r>
              <w:t>2016</w:t>
            </w:r>
          </w:p>
        </w:tc>
        <w:tc>
          <w:tcPr>
            <w:tcW w:w="4683" w:type="dxa"/>
          </w:tcPr>
          <w:p w:rsidR="003E7CF5" w:rsidRDefault="00024B00">
            <w:pPr>
              <w:pStyle w:val="TableParagraph"/>
              <w:spacing w:before="59"/>
              <w:ind w:right="279"/>
              <w:jc w:val="right"/>
            </w:pPr>
            <w:r>
              <w:t>4</w:t>
            </w:r>
          </w:p>
        </w:tc>
      </w:tr>
      <w:tr w:rsidR="003E7CF5">
        <w:trPr>
          <w:trHeight w:val="377"/>
        </w:trPr>
        <w:tc>
          <w:tcPr>
            <w:tcW w:w="4682" w:type="dxa"/>
          </w:tcPr>
          <w:p w:rsidR="003E7CF5" w:rsidRDefault="00024B00">
            <w:pPr>
              <w:pStyle w:val="TableParagraph"/>
              <w:spacing w:before="56"/>
              <w:ind w:left="70"/>
            </w:pPr>
            <w:r>
              <w:t>2015</w:t>
            </w:r>
          </w:p>
        </w:tc>
        <w:tc>
          <w:tcPr>
            <w:tcW w:w="4683" w:type="dxa"/>
          </w:tcPr>
          <w:p w:rsidR="003E7CF5" w:rsidRDefault="00024B00">
            <w:pPr>
              <w:pStyle w:val="TableParagraph"/>
              <w:spacing w:before="56"/>
              <w:ind w:right="279"/>
              <w:jc w:val="right"/>
            </w:pPr>
            <w:r>
              <w:t>3</w:t>
            </w:r>
          </w:p>
        </w:tc>
      </w:tr>
      <w:tr w:rsidR="003E7CF5">
        <w:trPr>
          <w:trHeight w:val="380"/>
        </w:trPr>
        <w:tc>
          <w:tcPr>
            <w:tcW w:w="4682" w:type="dxa"/>
          </w:tcPr>
          <w:p w:rsidR="003E7CF5" w:rsidRDefault="00024B00">
            <w:pPr>
              <w:pStyle w:val="TableParagraph"/>
              <w:spacing w:before="59"/>
              <w:ind w:left="70"/>
            </w:pPr>
            <w:r>
              <w:t>2014</w:t>
            </w:r>
          </w:p>
        </w:tc>
        <w:tc>
          <w:tcPr>
            <w:tcW w:w="4683" w:type="dxa"/>
          </w:tcPr>
          <w:p w:rsidR="003E7CF5" w:rsidRDefault="00024B00">
            <w:pPr>
              <w:pStyle w:val="TableParagraph"/>
              <w:spacing w:before="59"/>
              <w:ind w:right="279"/>
              <w:jc w:val="right"/>
            </w:pPr>
            <w:r>
              <w:t>4</w:t>
            </w:r>
          </w:p>
        </w:tc>
      </w:tr>
      <w:tr w:rsidR="003E7CF5">
        <w:trPr>
          <w:trHeight w:val="380"/>
        </w:trPr>
        <w:tc>
          <w:tcPr>
            <w:tcW w:w="4682" w:type="dxa"/>
          </w:tcPr>
          <w:p w:rsidR="003E7CF5" w:rsidRDefault="00024B00">
            <w:pPr>
              <w:pStyle w:val="TableParagraph"/>
              <w:spacing w:before="59"/>
              <w:ind w:left="70"/>
            </w:pPr>
            <w:r>
              <w:t>2013</w:t>
            </w:r>
          </w:p>
        </w:tc>
        <w:tc>
          <w:tcPr>
            <w:tcW w:w="4683" w:type="dxa"/>
          </w:tcPr>
          <w:p w:rsidR="003E7CF5" w:rsidRDefault="00024B00">
            <w:pPr>
              <w:pStyle w:val="TableParagraph"/>
              <w:spacing w:before="59"/>
              <w:ind w:right="279"/>
              <w:jc w:val="right"/>
            </w:pPr>
            <w:r>
              <w:t>2</w:t>
            </w:r>
          </w:p>
        </w:tc>
      </w:tr>
      <w:tr w:rsidR="003E7CF5">
        <w:trPr>
          <w:trHeight w:val="439"/>
        </w:trPr>
        <w:tc>
          <w:tcPr>
            <w:tcW w:w="4682" w:type="dxa"/>
            <w:tcBorders>
              <w:bottom w:val="single" w:sz="4" w:space="0" w:color="4471C4"/>
            </w:tcBorders>
          </w:tcPr>
          <w:p w:rsidR="003E7CF5" w:rsidRDefault="00024B00">
            <w:pPr>
              <w:pStyle w:val="TableParagraph"/>
              <w:spacing w:before="59"/>
              <w:ind w:left="70"/>
            </w:pPr>
            <w:r>
              <w:t>2011</w:t>
            </w:r>
          </w:p>
        </w:tc>
        <w:tc>
          <w:tcPr>
            <w:tcW w:w="4683" w:type="dxa"/>
            <w:tcBorders>
              <w:bottom w:val="single" w:sz="4" w:space="0" w:color="4471C4"/>
            </w:tcBorders>
          </w:tcPr>
          <w:p w:rsidR="003E7CF5" w:rsidRDefault="00024B00">
            <w:pPr>
              <w:pStyle w:val="TableParagraph"/>
              <w:spacing w:before="59"/>
              <w:ind w:right="279"/>
              <w:jc w:val="right"/>
            </w:pPr>
            <w:r>
              <w:t>1</w:t>
            </w:r>
          </w:p>
        </w:tc>
      </w:tr>
      <w:tr w:rsidR="003E7CF5">
        <w:trPr>
          <w:trHeight w:val="380"/>
        </w:trPr>
        <w:tc>
          <w:tcPr>
            <w:tcW w:w="4682" w:type="dxa"/>
            <w:tcBorders>
              <w:top w:val="single" w:sz="4" w:space="0" w:color="4471C4"/>
            </w:tcBorders>
            <w:shd w:val="clear" w:color="auto" w:fill="D0CECE"/>
          </w:tcPr>
          <w:p w:rsidR="003E7CF5" w:rsidRDefault="00024B00">
            <w:pPr>
              <w:pStyle w:val="TableParagraph"/>
              <w:spacing w:line="253" w:lineRule="exact"/>
              <w:ind w:left="70"/>
              <w:rPr>
                <w:b/>
              </w:rPr>
            </w:pPr>
            <w:r>
              <w:rPr>
                <w:b/>
              </w:rPr>
              <w:t>Total général</w:t>
            </w:r>
          </w:p>
        </w:tc>
        <w:tc>
          <w:tcPr>
            <w:tcW w:w="4683" w:type="dxa"/>
            <w:tcBorders>
              <w:top w:val="single" w:sz="4" w:space="0" w:color="4471C4"/>
            </w:tcBorders>
            <w:shd w:val="clear" w:color="auto" w:fill="D0CECE"/>
          </w:tcPr>
          <w:p w:rsidR="003E7CF5" w:rsidRDefault="00024B00">
            <w:pPr>
              <w:pStyle w:val="TableParagraph"/>
              <w:spacing w:line="253" w:lineRule="exact"/>
              <w:ind w:right="279"/>
              <w:jc w:val="right"/>
              <w:rPr>
                <w:b/>
              </w:rPr>
            </w:pPr>
            <w:r>
              <w:rPr>
                <w:b/>
              </w:rPr>
              <w:t>53</w:t>
            </w:r>
          </w:p>
        </w:tc>
      </w:tr>
    </w:tbl>
    <w:p w:rsidR="003E7CF5" w:rsidRDefault="003E7CF5">
      <w:pPr>
        <w:pStyle w:val="Corpsdetexte"/>
        <w:rPr>
          <w:sz w:val="22"/>
        </w:rPr>
      </w:pPr>
    </w:p>
    <w:p w:rsidR="00481040" w:rsidRPr="00747380" w:rsidRDefault="00024B00" w:rsidP="008C59C3">
      <w:pPr>
        <w:pStyle w:val="Corpsdetexte"/>
        <w:spacing w:before="163" w:line="360" w:lineRule="auto"/>
        <w:ind w:right="50"/>
        <w:jc w:val="both"/>
      </w:pPr>
      <w:r>
        <w:t>Ce tableau 3 présente la répartition chronologique des 53 cyberattaques réussies au cours de la période allant de 2011 à 2019. Les pourcentages de cyberattaques survenues pendant chacune des années et pour chaque industrie au cours de la période de référence sont inscrits en italique. Il permet de mieux visualiser les données fournies dans les tableaux 1 et 2 et confirme ainsi que le secteur le plus touché est celui des banques et assurances (19%) probablement dû au fait qu’ils collectent beaucoup de données sur une très large population de clients.</w:t>
      </w:r>
    </w:p>
    <w:p w:rsidR="003E7CF5" w:rsidRDefault="00CB4D10">
      <w:pPr>
        <w:spacing w:before="92"/>
        <w:ind w:left="335"/>
        <w:rPr>
          <w:sz w:val="20"/>
        </w:rPr>
      </w:pPr>
      <w:r>
        <w:rPr>
          <w:noProof/>
          <w:lang w:bidi="ar-SA"/>
        </w:rPr>
        <mc:AlternateContent>
          <mc:Choice Requires="wps">
            <w:drawing>
              <wp:anchor distT="0" distB="0" distL="114300" distR="114300" simplePos="0" relativeHeight="251672576" behindDoc="0" locked="0" layoutInCell="1" allowOverlap="1">
                <wp:simplePos x="0" y="0"/>
                <wp:positionH relativeFrom="page">
                  <wp:posOffset>1842135</wp:posOffset>
                </wp:positionH>
                <wp:positionV relativeFrom="paragraph">
                  <wp:posOffset>1014095</wp:posOffset>
                </wp:positionV>
                <wp:extent cx="180340" cy="77978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ind w:left="20"/>
                              <w:rPr>
                                <w:b/>
                              </w:rPr>
                            </w:pPr>
                            <w:r>
                              <w:rPr>
                                <w:b/>
                              </w:rPr>
                              <w:t>Aérospatiale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45.05pt;margin-top:79.85pt;width:14.2pt;height:61.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" filled="f" stroked="f">
                <v:textbox style="layout-flow:vertical;mso-layout-flow-alt:bottom-to-top" inset="0,0,0,0">
                  <w:txbxContent>
                    <w:p w:rsidR="00024B00" w:rsidRDefault="00024B00">
                      <w:pPr>
                        <w:spacing w:before="10"/>
                        <w:ind w:left="20"/>
                        <w:rPr>
                          <w:b/>
                        </w:rPr>
                      </w:pPr>
                      <w:r>
                        <w:rPr>
                          <w:b/>
                        </w:rPr>
                        <w:t>Aérospatiale</w:t>
                      </w:r>
                    </w:p>
                  </w:txbxContent>
                </v:textbox>
                <w10:wrap anchorx="page"/>
              </v:shape>
            </w:pict>
          </mc:Fallback>
        </mc:AlternateContent>
      </w:r>
      <w:r>
        <w:rPr>
          <w:noProof/>
          <w:lang w:bidi="ar-SA"/>
        </w:rPr>
        <mc:AlternateContent>
          <mc:Choice Requires="wps">
            <w:drawing>
              <wp:anchor distT="0" distB="0" distL="114300" distR="114300" simplePos="0" relativeHeight="251673600" behindDoc="0" locked="0" layoutInCell="1" allowOverlap="1">
                <wp:simplePos x="0" y="0"/>
                <wp:positionH relativeFrom="page">
                  <wp:posOffset>2172335</wp:posOffset>
                </wp:positionH>
                <wp:positionV relativeFrom="paragraph">
                  <wp:posOffset>982980</wp:posOffset>
                </wp:positionV>
                <wp:extent cx="180340" cy="81089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ind w:left="20"/>
                              <w:rPr>
                                <w:b/>
                              </w:rPr>
                            </w:pPr>
                            <w:r>
                              <w:rPr>
                                <w:b/>
                              </w:rPr>
                              <w:t>Alimentation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71.05pt;margin-top:77.4pt;width:14.2pt;height:63.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" filled="f" stroked="f">
                <v:textbox style="layout-flow:vertical;mso-layout-flow-alt:bottom-to-top" inset="0,0,0,0">
                  <w:txbxContent>
                    <w:p w:rsidR="00024B00" w:rsidRDefault="00024B00">
                      <w:pPr>
                        <w:spacing w:before="10"/>
                        <w:ind w:left="20"/>
                        <w:rPr>
                          <w:b/>
                        </w:rPr>
                      </w:pPr>
                      <w:r>
                        <w:rPr>
                          <w:b/>
                        </w:rPr>
                        <w:t>Alimentation</w:t>
                      </w:r>
                    </w:p>
                  </w:txbxContent>
                </v:textbox>
                <w10:wrap anchorx="page"/>
              </v:shape>
            </w:pict>
          </mc:Fallback>
        </mc:AlternateContent>
      </w:r>
      <w:r>
        <w:rPr>
          <w:noProof/>
          <w:lang w:bidi="ar-SA"/>
        </w:rPr>
        <mc:AlternateContent>
          <mc:Choice Requires="wps">
            <w:drawing>
              <wp:anchor distT="0" distB="0" distL="114300" distR="114300" simplePos="0" relativeHeight="251674624" behindDoc="0" locked="0" layoutInCell="1" allowOverlap="1">
                <wp:simplePos x="0" y="0"/>
                <wp:positionH relativeFrom="page">
                  <wp:posOffset>2467610</wp:posOffset>
                </wp:positionH>
                <wp:positionV relativeFrom="paragraph">
                  <wp:posOffset>841375</wp:posOffset>
                </wp:positionV>
                <wp:extent cx="663575" cy="95250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ind w:left="20"/>
                              <w:rPr>
                                <w:b/>
                              </w:rPr>
                            </w:pPr>
                            <w:r>
                              <w:rPr>
                                <w:b/>
                              </w:rPr>
                              <w:t>Audiovisuel et</w:t>
                            </w:r>
                          </w:p>
                          <w:p w:rsidR="00024B00" w:rsidRDefault="00024B00">
                            <w:pPr>
                              <w:spacing w:before="1" w:line="380" w:lineRule="atLeast"/>
                              <w:ind w:left="20" w:right="5"/>
                              <w:rPr>
                                <w:b/>
                              </w:rPr>
                            </w:pPr>
                            <w:r>
                              <w:rPr>
                                <w:b/>
                              </w:rPr>
                              <w:t>divertissements Automobiles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94.3pt;margin-top:66.25pt;width:52.25pt;height: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" filled="f" stroked="f">
                <v:textbox style="layout-flow:vertical;mso-layout-flow-alt:bottom-to-top" inset="0,0,0,0">
                  <w:txbxContent>
                    <w:p w:rsidR="00024B00" w:rsidRDefault="00024B00">
                      <w:pPr>
                        <w:spacing w:before="10"/>
                        <w:ind w:left="20"/>
                        <w:rPr>
                          <w:b/>
                        </w:rPr>
                      </w:pPr>
                      <w:r>
                        <w:rPr>
                          <w:b/>
                        </w:rPr>
                        <w:t>Audiovisuel et</w:t>
                      </w:r>
                    </w:p>
                    <w:p w:rsidR="00024B00" w:rsidRDefault="00024B00">
                      <w:pPr>
                        <w:spacing w:before="1" w:line="380" w:lineRule="atLeast"/>
                        <w:ind w:left="20" w:right="5"/>
                        <w:rPr>
                          <w:b/>
                        </w:rPr>
                      </w:pPr>
                      <w:r>
                        <w:rPr>
                          <w:b/>
                        </w:rPr>
                        <w:t>divertissements Automobiles</w:t>
                      </w:r>
                    </w:p>
                  </w:txbxContent>
                </v:textbox>
                <w10:wrap anchorx="page"/>
              </v:shape>
            </w:pict>
          </mc:Fallback>
        </mc:AlternateContent>
      </w:r>
      <w:r>
        <w:rPr>
          <w:noProof/>
          <w:lang w:bidi="ar-SA"/>
        </w:rPr>
        <mc:AlternateContent>
          <mc:Choice Requires="wps">
            <w:drawing>
              <wp:anchor distT="0" distB="0" distL="114300" distR="114300" simplePos="0" relativeHeight="251675648" behindDoc="0" locked="0" layoutInCell="1" allowOverlap="1">
                <wp:simplePos x="0" y="0"/>
                <wp:positionH relativeFrom="page">
                  <wp:posOffset>3490595</wp:posOffset>
                </wp:positionH>
                <wp:positionV relativeFrom="paragraph">
                  <wp:posOffset>428625</wp:posOffset>
                </wp:positionV>
                <wp:extent cx="180340" cy="136525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6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ind w:left="20"/>
                              <w:rPr>
                                <w:b/>
                              </w:rPr>
                            </w:pPr>
                            <w:r>
                              <w:rPr>
                                <w:b/>
                              </w:rPr>
                              <w:t>Compagnies aériennes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74.85pt;margin-top:33.75pt;width:14.2pt;height:10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" filled="f" stroked="f">
                <v:textbox style="layout-flow:vertical;mso-layout-flow-alt:bottom-to-top" inset="0,0,0,0">
                  <w:txbxContent>
                    <w:p w:rsidR="00024B00" w:rsidRDefault="00024B00">
                      <w:pPr>
                        <w:spacing w:before="10"/>
                        <w:ind w:left="20"/>
                        <w:rPr>
                          <w:b/>
                        </w:rPr>
                      </w:pPr>
                      <w:r>
                        <w:rPr>
                          <w:b/>
                        </w:rPr>
                        <w:t>Compagnies aériennes</w:t>
                      </w:r>
                    </w:p>
                  </w:txbxContent>
                </v:textbox>
                <w10:wrap anchorx="page"/>
              </v:shape>
            </w:pict>
          </mc:Fallback>
        </mc:AlternateContent>
      </w:r>
      <w:r>
        <w:rPr>
          <w:noProof/>
          <w:lang w:bidi="ar-SA"/>
        </w:rPr>
        <mc:AlternateContent>
          <mc:Choice Requires="wps">
            <w:drawing>
              <wp:anchor distT="0" distB="0" distL="114300" distR="114300" simplePos="0" relativeHeight="251676672" behindDoc="0" locked="0" layoutInCell="1" allowOverlap="1">
                <wp:simplePos x="0" y="0"/>
                <wp:positionH relativeFrom="page">
                  <wp:posOffset>3849370</wp:posOffset>
                </wp:positionH>
                <wp:positionV relativeFrom="paragraph">
                  <wp:posOffset>982980</wp:posOffset>
                </wp:positionV>
                <wp:extent cx="180340" cy="81089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ind w:left="20"/>
                              <w:rPr>
                                <w:b/>
                              </w:rPr>
                            </w:pPr>
                            <w:r>
                              <w:rPr>
                                <w:b/>
                              </w:rPr>
                              <w:t>Construction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03.1pt;margin-top:77.4pt;width:14.2pt;height:63.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" filled="f" stroked="f">
                <v:textbox style="layout-flow:vertical;mso-layout-flow-alt:bottom-to-top" inset="0,0,0,0">
                  <w:txbxContent>
                    <w:p w:rsidR="00024B00" w:rsidRDefault="00024B00">
                      <w:pPr>
                        <w:spacing w:before="10"/>
                        <w:ind w:left="20"/>
                        <w:rPr>
                          <w:b/>
                        </w:rPr>
                      </w:pPr>
                      <w:r>
                        <w:rPr>
                          <w:b/>
                        </w:rPr>
                        <w:t>Construction</w:t>
                      </w:r>
                    </w:p>
                  </w:txbxContent>
                </v:textbox>
                <w10:wrap anchorx="page"/>
              </v:shape>
            </w:pict>
          </mc:Fallback>
        </mc:AlternateContent>
      </w:r>
      <w:r>
        <w:rPr>
          <w:noProof/>
          <w:lang w:bidi="ar-SA"/>
        </w:rPr>
        <mc:AlternateContent>
          <mc:Choice Requires="wps">
            <w:drawing>
              <wp:anchor distT="0" distB="0" distL="114300" distR="114300" simplePos="0" relativeHeight="251677696" behindDoc="0" locked="0" layoutInCell="1" allowOverlap="1">
                <wp:simplePos x="0" y="0"/>
                <wp:positionH relativeFrom="page">
                  <wp:posOffset>4211320</wp:posOffset>
                </wp:positionH>
                <wp:positionV relativeFrom="paragraph">
                  <wp:posOffset>1024255</wp:posOffset>
                </wp:positionV>
                <wp:extent cx="180340" cy="76962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ind w:left="20"/>
                              <w:rPr>
                                <w:b/>
                              </w:rPr>
                            </w:pPr>
                            <w:r>
                              <w:rPr>
                                <w:b/>
                              </w:rPr>
                              <w:t>Distributeur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31.6pt;margin-top:80.65pt;width:14.2pt;height:60.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" filled="f" stroked="f">
                <v:textbox style="layout-flow:vertical;mso-layout-flow-alt:bottom-to-top" inset="0,0,0,0">
                  <w:txbxContent>
                    <w:p w:rsidR="00024B00" w:rsidRDefault="00024B00">
                      <w:pPr>
                        <w:spacing w:before="10"/>
                        <w:ind w:left="20"/>
                        <w:rPr>
                          <w:b/>
                        </w:rPr>
                      </w:pPr>
                      <w:r>
                        <w:rPr>
                          <w:b/>
                        </w:rPr>
                        <w:t>Distributeur</w:t>
                      </w:r>
                    </w:p>
                  </w:txbxContent>
                </v:textbox>
                <w10:wrap anchorx="page"/>
              </v:shape>
            </w:pict>
          </mc:Fallback>
        </mc:AlternateContent>
      </w:r>
      <w:r>
        <w:rPr>
          <w:noProof/>
          <w:lang w:bidi="ar-SA"/>
        </w:rPr>
        <mc:AlternateContent>
          <mc:Choice Requires="wps">
            <w:drawing>
              <wp:anchor distT="0" distB="0" distL="114300" distR="114300" simplePos="0" relativeHeight="251678720" behindDoc="0" locked="0" layoutInCell="1" allowOverlap="1">
                <wp:simplePos x="0" y="0"/>
                <wp:positionH relativeFrom="page">
                  <wp:posOffset>4570095</wp:posOffset>
                </wp:positionH>
                <wp:positionV relativeFrom="paragraph">
                  <wp:posOffset>1303020</wp:posOffset>
                </wp:positionV>
                <wp:extent cx="180340" cy="49085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ind w:left="20"/>
                              <w:rPr>
                                <w:b/>
                              </w:rPr>
                            </w:pPr>
                            <w:r>
                              <w:rPr>
                                <w:b/>
                              </w:rPr>
                              <w:t>Energie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359.85pt;margin-top:102.6pt;width:14.2pt;height:38.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" filled="f" stroked="f">
                <v:textbox style="layout-flow:vertical;mso-layout-flow-alt:bottom-to-top" inset="0,0,0,0">
                  <w:txbxContent>
                    <w:p w:rsidR="00024B00" w:rsidRDefault="00024B00">
                      <w:pPr>
                        <w:spacing w:before="10"/>
                        <w:ind w:left="20"/>
                        <w:rPr>
                          <w:b/>
                        </w:rPr>
                      </w:pPr>
                      <w:r>
                        <w:rPr>
                          <w:b/>
                        </w:rPr>
                        <w:t>Energie</w:t>
                      </w:r>
                    </w:p>
                  </w:txbxContent>
                </v:textbox>
                <w10:wrap anchorx="page"/>
              </v:shape>
            </w:pict>
          </mc:Fallback>
        </mc:AlternateContent>
      </w:r>
      <w:r>
        <w:rPr>
          <w:noProof/>
          <w:lang w:bidi="ar-SA"/>
        </w:rPr>
        <mc:AlternateContent>
          <mc:Choice Requires="wps">
            <w:drawing>
              <wp:anchor distT="0" distB="0" distL="114300" distR="114300" simplePos="0" relativeHeight="251679744" behindDoc="0" locked="0" layoutInCell="1" allowOverlap="1">
                <wp:simplePos x="0" y="0"/>
                <wp:positionH relativeFrom="page">
                  <wp:posOffset>4928870</wp:posOffset>
                </wp:positionH>
                <wp:positionV relativeFrom="paragraph">
                  <wp:posOffset>1436370</wp:posOffset>
                </wp:positionV>
                <wp:extent cx="180340" cy="35750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ind w:left="20"/>
                              <w:rPr>
                                <w:b/>
                              </w:rPr>
                            </w:pPr>
                            <w:r>
                              <w:rPr>
                                <w:b/>
                              </w:rPr>
                              <w:t>Santé</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388.1pt;margin-top:113.1pt;width:14.2pt;height:28.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" filled="f" stroked="f">
                <v:textbox style="layout-flow:vertical;mso-layout-flow-alt:bottom-to-top" inset="0,0,0,0">
                  <w:txbxContent>
                    <w:p w:rsidR="00024B00" w:rsidRDefault="00024B00">
                      <w:pPr>
                        <w:spacing w:before="10"/>
                        <w:ind w:left="20"/>
                        <w:rPr>
                          <w:b/>
                        </w:rPr>
                      </w:pPr>
                      <w:r>
                        <w:rPr>
                          <w:b/>
                        </w:rPr>
                        <w:t>Santé</w:t>
                      </w:r>
                    </w:p>
                  </w:txbxContent>
                </v:textbox>
                <w10:wrap anchorx="page"/>
              </v:shape>
            </w:pict>
          </mc:Fallback>
        </mc:AlternateContent>
      </w:r>
      <w:r>
        <w:rPr>
          <w:noProof/>
          <w:lang w:bidi="ar-SA"/>
        </w:rPr>
        <mc:AlternateContent>
          <mc:Choice Requires="wps">
            <w:drawing>
              <wp:anchor distT="0" distB="0" distL="114300" distR="114300" simplePos="0" relativeHeight="251680768" behindDoc="0" locked="0" layoutInCell="1" allowOverlap="1">
                <wp:simplePos x="0" y="0"/>
                <wp:positionH relativeFrom="page">
                  <wp:posOffset>5290820</wp:posOffset>
                </wp:positionH>
                <wp:positionV relativeFrom="paragraph">
                  <wp:posOffset>1331595</wp:posOffset>
                </wp:positionV>
                <wp:extent cx="180340" cy="46228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ind w:left="20"/>
                              <w:rPr>
                                <w:b/>
                              </w:rPr>
                            </w:pPr>
                            <w:r>
                              <w:rPr>
                                <w:b/>
                              </w:rPr>
                              <w:t>Service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416.6pt;margin-top:104.85pt;width:14.2pt;height:36.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" filled="f" stroked="f">
                <v:textbox style="layout-flow:vertical;mso-layout-flow-alt:bottom-to-top" inset="0,0,0,0">
                  <w:txbxContent>
                    <w:p w:rsidR="00024B00" w:rsidRDefault="00024B00">
                      <w:pPr>
                        <w:spacing w:before="10"/>
                        <w:ind w:left="20"/>
                        <w:rPr>
                          <w:b/>
                        </w:rPr>
                      </w:pPr>
                      <w:r>
                        <w:rPr>
                          <w:b/>
                        </w:rPr>
                        <w:t>Service</w:t>
                      </w:r>
                    </w:p>
                  </w:txbxContent>
                </v:textbox>
                <w10:wrap anchorx="page"/>
              </v:shape>
            </w:pict>
          </mc:Fallback>
        </mc:AlternateContent>
      </w:r>
      <w:r>
        <w:rPr>
          <w:noProof/>
          <w:lang w:bidi="ar-SA"/>
        </w:rPr>
        <mc:AlternateContent>
          <mc:Choice Requires="wps">
            <w:drawing>
              <wp:anchor distT="0" distB="0" distL="114300" distR="114300" simplePos="0" relativeHeight="251681792" behindDoc="0" locked="0" layoutInCell="1" allowOverlap="1">
                <wp:simplePos x="0" y="0"/>
                <wp:positionH relativeFrom="page">
                  <wp:posOffset>5621020</wp:posOffset>
                </wp:positionH>
                <wp:positionV relativeFrom="paragraph">
                  <wp:posOffset>536575</wp:posOffset>
                </wp:positionV>
                <wp:extent cx="6604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line="355" w:lineRule="auto"/>
                              <w:ind w:left="20" w:right="-4"/>
                              <w:rPr>
                                <w:b/>
                              </w:rPr>
                            </w:pPr>
                            <w:r>
                              <w:rPr>
                                <w:b/>
                              </w:rPr>
                              <w:t>Télécommunications filaires</w:t>
                            </w:r>
                          </w:p>
                          <w:p w:rsidR="00024B00" w:rsidRDefault="00024B00">
                            <w:pPr>
                              <w:spacing w:before="7"/>
                              <w:ind w:left="20"/>
                              <w:rPr>
                                <w:b/>
                              </w:rPr>
                            </w:pPr>
                            <w:r>
                              <w:rPr>
                                <w:b/>
                              </w:rPr>
                              <w:t>Banque / Assurance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left:0;text-align:left;margin-left:442.6pt;margin-top:42.25pt;width:52pt;height:99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" filled="f" stroked="f">
                <v:textbox style="layout-flow:vertical;mso-layout-flow-alt:bottom-to-top" inset="0,0,0,0">
                  <w:txbxContent>
                    <w:p w:rsidR="00024B00" w:rsidRDefault="00024B00">
                      <w:pPr>
                        <w:spacing w:before="10" w:line="355" w:lineRule="auto"/>
                        <w:ind w:left="20" w:right="-4"/>
                        <w:rPr>
                          <w:b/>
                        </w:rPr>
                      </w:pPr>
                      <w:r>
                        <w:rPr>
                          <w:b/>
                        </w:rPr>
                        <w:t>Télécommunications filaires</w:t>
                      </w:r>
                    </w:p>
                    <w:p w:rsidR="00024B00" w:rsidRDefault="00024B00">
                      <w:pPr>
                        <w:spacing w:before="7"/>
                        <w:ind w:left="20"/>
                        <w:rPr>
                          <w:b/>
                        </w:rPr>
                      </w:pPr>
                      <w:r>
                        <w:rPr>
                          <w:b/>
                        </w:rPr>
                        <w:t>Banque / Assurance</w:t>
                      </w:r>
                    </w:p>
                  </w:txbxContent>
                </v:textbox>
                <w10:wrap anchorx="page"/>
              </v:shape>
            </w:pict>
          </mc:Fallback>
        </mc:AlternateContent>
      </w:r>
      <w:r>
        <w:rPr>
          <w:noProof/>
          <w:lang w:bidi="ar-SA"/>
        </w:rPr>
        <mc:AlternateContent>
          <mc:Choice Requires="wps">
            <w:drawing>
              <wp:anchor distT="0" distB="0" distL="114300" distR="114300" simplePos="0" relativeHeight="251682816" behindDoc="0" locked="0" layoutInCell="1" allowOverlap="1">
                <wp:simplePos x="0" y="0"/>
                <wp:positionH relativeFrom="page">
                  <wp:posOffset>6624955</wp:posOffset>
                </wp:positionH>
                <wp:positionV relativeFrom="paragraph">
                  <wp:posOffset>1043940</wp:posOffset>
                </wp:positionV>
                <wp:extent cx="180340" cy="822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B00" w:rsidRDefault="00024B00">
                            <w:pPr>
                              <w:spacing w:before="10"/>
                              <w:ind w:left="20"/>
                              <w:rPr>
                                <w:b/>
                              </w:rPr>
                            </w:pPr>
                            <w:r>
                              <w:rPr>
                                <w:b/>
                              </w:rPr>
                              <w:t>Total général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521.65pt;margin-top:82.2pt;width:14.2pt;height:64.8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" filled="f" stroked="f">
                <v:textbox style="layout-flow:vertical;mso-layout-flow-alt:bottom-to-top" inset="0,0,0,0">
                  <w:txbxContent>
                    <w:p w:rsidR="00024B00" w:rsidRDefault="00024B00">
                      <w:pPr>
                        <w:spacing w:before="10"/>
                        <w:ind w:left="20"/>
                        <w:rPr>
                          <w:b/>
                        </w:rPr>
                      </w:pPr>
                      <w:r>
                        <w:rPr>
                          <w:b/>
                        </w:rPr>
                        <w:t>Total général</w:t>
                      </w:r>
                    </w:p>
                  </w:txbxContent>
                </v:textbox>
                <w10:wrap anchorx="page"/>
              </v:shape>
            </w:pict>
          </mc:Fallback>
        </mc:AlternateContent>
      </w:r>
      <w:bookmarkStart w:id="26" w:name="_bookmark29"/>
      <w:bookmarkEnd w:id="26"/>
      <w:r w:rsidR="00024B00">
        <w:rPr>
          <w:sz w:val="20"/>
        </w:rPr>
        <w:t>Tableau 3 : Distribution des cyberattaques par an et par industrie</w:t>
      </w:r>
    </w:p>
    <w:p w:rsidR="003E7CF5" w:rsidRDefault="003E7CF5">
      <w:pPr>
        <w:pStyle w:val="Corpsdetexte"/>
        <w:rPr>
          <w:sz w:val="20"/>
        </w:rPr>
      </w:pPr>
    </w:p>
    <w:p w:rsidR="003E7CF5" w:rsidRDefault="003E7CF5">
      <w:pPr>
        <w:pStyle w:val="Corpsdetexte"/>
        <w:rPr>
          <w:sz w:val="20"/>
        </w:rPr>
      </w:pPr>
    </w:p>
    <w:p w:rsidR="003E7CF5" w:rsidRDefault="003E7CF5">
      <w:pPr>
        <w:pStyle w:val="Corpsdetexte"/>
        <w:rPr>
          <w:sz w:val="20"/>
        </w:rPr>
      </w:pPr>
    </w:p>
    <w:p w:rsidR="003E7CF5" w:rsidRDefault="003E7CF5">
      <w:pPr>
        <w:pStyle w:val="Corpsdetexte"/>
        <w:rPr>
          <w:sz w:val="20"/>
        </w:rPr>
      </w:pPr>
    </w:p>
    <w:p w:rsidR="003E7CF5" w:rsidRDefault="003E7CF5">
      <w:pPr>
        <w:pStyle w:val="Corpsdetexte"/>
        <w:rPr>
          <w:sz w:val="20"/>
        </w:rPr>
      </w:pPr>
    </w:p>
    <w:p w:rsidR="003E7CF5" w:rsidRDefault="003E7CF5">
      <w:pPr>
        <w:pStyle w:val="Corpsdetexte"/>
        <w:rPr>
          <w:sz w:val="20"/>
        </w:rPr>
      </w:pPr>
    </w:p>
    <w:p w:rsidR="003E7CF5" w:rsidRDefault="003E7CF5">
      <w:pPr>
        <w:pStyle w:val="Corpsdetexte"/>
        <w:rPr>
          <w:sz w:val="20"/>
        </w:rPr>
      </w:pPr>
    </w:p>
    <w:p w:rsidR="003E7CF5" w:rsidRDefault="003E7CF5">
      <w:pPr>
        <w:pStyle w:val="Corpsdetexte"/>
        <w:rPr>
          <w:sz w:val="20"/>
        </w:rPr>
      </w:pPr>
    </w:p>
    <w:p w:rsidR="003E7CF5" w:rsidRDefault="003E7CF5">
      <w:pPr>
        <w:pStyle w:val="Corpsdetexte"/>
        <w:rPr>
          <w:sz w:val="20"/>
        </w:rPr>
      </w:pPr>
    </w:p>
    <w:p w:rsidR="003E7CF5" w:rsidRDefault="003E7CF5">
      <w:pPr>
        <w:pStyle w:val="Corpsdetexte"/>
        <w:rPr>
          <w:sz w:val="20"/>
        </w:rPr>
      </w:pPr>
    </w:p>
    <w:p w:rsidR="003E7CF5" w:rsidRDefault="003E7CF5">
      <w:pPr>
        <w:pStyle w:val="Corpsdetexte"/>
        <w:spacing w:before="10"/>
        <w:rPr>
          <w:sz w:val="25"/>
        </w:rPr>
      </w:pPr>
    </w:p>
    <w:tbl>
      <w:tblPr>
        <w:tblStyle w:val="TableNormal"/>
        <w:tblW w:w="0" w:type="auto"/>
        <w:tblInd w:w="342" w:type="dxa"/>
        <w:tblLayout w:type="fixed"/>
        <w:tblLook w:val="01E0" w:firstRow="1" w:lastRow="1" w:firstColumn="1" w:lastColumn="1" w:noHBand="0" w:noVBand="0"/>
      </w:tblPr>
      <w:tblGrid>
        <w:gridCol w:w="1178"/>
        <w:gridCol w:w="798"/>
        <w:gridCol w:w="537"/>
        <w:gridCol w:w="684"/>
        <w:gridCol w:w="639"/>
        <w:gridCol w:w="348"/>
        <w:gridCol w:w="430"/>
        <w:gridCol w:w="564"/>
        <w:gridCol w:w="517"/>
        <w:gridCol w:w="614"/>
        <w:gridCol w:w="519"/>
        <w:gridCol w:w="652"/>
        <w:gridCol w:w="625"/>
        <w:gridCol w:w="532"/>
        <w:gridCol w:w="600"/>
        <w:gridCol w:w="540"/>
      </w:tblGrid>
      <w:tr w:rsidR="003E7CF5">
        <w:trPr>
          <w:trHeight w:val="326"/>
        </w:trPr>
        <w:tc>
          <w:tcPr>
            <w:tcW w:w="1178" w:type="dxa"/>
            <w:tcBorders>
              <w:top w:val="single" w:sz="4" w:space="0" w:color="8EA9DB"/>
            </w:tcBorders>
          </w:tcPr>
          <w:p w:rsidR="003E7CF5" w:rsidRDefault="00024B00">
            <w:pPr>
              <w:pStyle w:val="TableParagraph"/>
              <w:spacing w:line="253" w:lineRule="exact"/>
              <w:ind w:left="70"/>
            </w:pPr>
            <w:r>
              <w:t>2019</w:t>
            </w:r>
          </w:p>
        </w:tc>
        <w:tc>
          <w:tcPr>
            <w:tcW w:w="798" w:type="dxa"/>
            <w:tcBorders>
              <w:top w:val="single" w:sz="4" w:space="0" w:color="8EA9DB"/>
            </w:tcBorders>
          </w:tcPr>
          <w:p w:rsidR="003E7CF5" w:rsidRDefault="00024B00">
            <w:pPr>
              <w:pStyle w:val="TableParagraph"/>
              <w:spacing w:line="253" w:lineRule="exact"/>
              <w:ind w:left="407"/>
            </w:pPr>
            <w:r>
              <w:t>4</w:t>
            </w:r>
          </w:p>
        </w:tc>
        <w:tc>
          <w:tcPr>
            <w:tcW w:w="537" w:type="dxa"/>
            <w:tcBorders>
              <w:top w:val="single" w:sz="4" w:space="0" w:color="8EA9DB"/>
            </w:tcBorders>
          </w:tcPr>
          <w:p w:rsidR="003E7CF5" w:rsidRDefault="00024B00">
            <w:pPr>
              <w:pStyle w:val="TableParagraph"/>
              <w:spacing w:line="253" w:lineRule="exact"/>
              <w:ind w:right="134"/>
              <w:jc w:val="center"/>
            </w:pPr>
            <w:r>
              <w:t>1</w:t>
            </w:r>
          </w:p>
        </w:tc>
        <w:tc>
          <w:tcPr>
            <w:tcW w:w="684" w:type="dxa"/>
            <w:tcBorders>
              <w:top w:val="single" w:sz="4" w:space="0" w:color="8EA9DB"/>
            </w:tcBorders>
          </w:tcPr>
          <w:p w:rsidR="003E7CF5" w:rsidRDefault="00024B00">
            <w:pPr>
              <w:pStyle w:val="TableParagraph"/>
              <w:spacing w:line="253" w:lineRule="exact"/>
              <w:ind w:left="198"/>
            </w:pPr>
            <w:r>
              <w:t>2</w:t>
            </w:r>
          </w:p>
        </w:tc>
        <w:tc>
          <w:tcPr>
            <w:tcW w:w="639" w:type="dxa"/>
            <w:tcBorders>
              <w:top w:val="single" w:sz="4" w:space="0" w:color="8EA9DB"/>
            </w:tcBorders>
          </w:tcPr>
          <w:p w:rsidR="003E7CF5" w:rsidRDefault="003E7CF5">
            <w:pPr>
              <w:pStyle w:val="TableParagraph"/>
              <w:rPr>
                <w:sz w:val="20"/>
              </w:rPr>
            </w:pPr>
          </w:p>
        </w:tc>
        <w:tc>
          <w:tcPr>
            <w:tcW w:w="348" w:type="dxa"/>
            <w:tcBorders>
              <w:top w:val="single" w:sz="4" w:space="0" w:color="8EA9DB"/>
            </w:tcBorders>
          </w:tcPr>
          <w:p w:rsidR="003E7CF5" w:rsidRDefault="003E7CF5">
            <w:pPr>
              <w:pStyle w:val="TableParagraph"/>
              <w:rPr>
                <w:sz w:val="20"/>
              </w:rPr>
            </w:pPr>
          </w:p>
        </w:tc>
        <w:tc>
          <w:tcPr>
            <w:tcW w:w="430" w:type="dxa"/>
            <w:tcBorders>
              <w:top w:val="single" w:sz="4" w:space="0" w:color="8EA9DB"/>
            </w:tcBorders>
          </w:tcPr>
          <w:p w:rsidR="003E7CF5" w:rsidRDefault="003E7CF5">
            <w:pPr>
              <w:pStyle w:val="TableParagraph"/>
              <w:rPr>
                <w:sz w:val="20"/>
              </w:rPr>
            </w:pPr>
          </w:p>
        </w:tc>
        <w:tc>
          <w:tcPr>
            <w:tcW w:w="564" w:type="dxa"/>
            <w:tcBorders>
              <w:top w:val="single" w:sz="4" w:space="0" w:color="8EA9DB"/>
            </w:tcBorders>
          </w:tcPr>
          <w:p w:rsidR="003E7CF5" w:rsidRDefault="00024B00">
            <w:pPr>
              <w:pStyle w:val="TableParagraph"/>
              <w:spacing w:line="253" w:lineRule="exact"/>
              <w:ind w:left="153"/>
            </w:pPr>
            <w:r>
              <w:t>1</w:t>
            </w:r>
          </w:p>
        </w:tc>
        <w:tc>
          <w:tcPr>
            <w:tcW w:w="517" w:type="dxa"/>
            <w:tcBorders>
              <w:top w:val="single" w:sz="4" w:space="0" w:color="8EA9DB"/>
            </w:tcBorders>
          </w:tcPr>
          <w:p w:rsidR="003E7CF5" w:rsidRDefault="00024B00">
            <w:pPr>
              <w:pStyle w:val="TableParagraph"/>
              <w:spacing w:line="253" w:lineRule="exact"/>
              <w:ind w:left="154"/>
            </w:pPr>
            <w:r>
              <w:t>2</w:t>
            </w:r>
          </w:p>
        </w:tc>
        <w:tc>
          <w:tcPr>
            <w:tcW w:w="614" w:type="dxa"/>
            <w:tcBorders>
              <w:top w:val="single" w:sz="4" w:space="0" w:color="8EA9DB"/>
            </w:tcBorders>
          </w:tcPr>
          <w:p w:rsidR="003E7CF5" w:rsidRDefault="00024B00">
            <w:pPr>
              <w:pStyle w:val="TableParagraph"/>
              <w:spacing w:line="253" w:lineRule="exact"/>
              <w:ind w:right="98"/>
              <w:jc w:val="center"/>
            </w:pPr>
            <w:r>
              <w:t>2</w:t>
            </w:r>
          </w:p>
        </w:tc>
        <w:tc>
          <w:tcPr>
            <w:tcW w:w="519" w:type="dxa"/>
            <w:tcBorders>
              <w:top w:val="single" w:sz="4" w:space="0" w:color="8EA9DB"/>
            </w:tcBorders>
          </w:tcPr>
          <w:p w:rsidR="003E7CF5" w:rsidRDefault="00024B00">
            <w:pPr>
              <w:pStyle w:val="TableParagraph"/>
              <w:spacing w:line="253" w:lineRule="exact"/>
              <w:ind w:left="158"/>
            </w:pPr>
            <w:r>
              <w:t>1</w:t>
            </w:r>
          </w:p>
        </w:tc>
        <w:tc>
          <w:tcPr>
            <w:tcW w:w="652" w:type="dxa"/>
            <w:tcBorders>
              <w:top w:val="single" w:sz="4" w:space="0" w:color="8EA9DB"/>
            </w:tcBorders>
          </w:tcPr>
          <w:p w:rsidR="003E7CF5" w:rsidRDefault="00024B00">
            <w:pPr>
              <w:pStyle w:val="TableParagraph"/>
              <w:spacing w:line="253" w:lineRule="exact"/>
              <w:ind w:right="130"/>
              <w:jc w:val="center"/>
            </w:pPr>
            <w:r>
              <w:t>1</w:t>
            </w:r>
          </w:p>
        </w:tc>
        <w:tc>
          <w:tcPr>
            <w:tcW w:w="625" w:type="dxa"/>
            <w:tcBorders>
              <w:top w:val="single" w:sz="4" w:space="0" w:color="8EA9DB"/>
            </w:tcBorders>
          </w:tcPr>
          <w:p w:rsidR="003E7CF5" w:rsidRDefault="003E7CF5">
            <w:pPr>
              <w:pStyle w:val="TableParagraph"/>
              <w:rPr>
                <w:sz w:val="20"/>
              </w:rPr>
            </w:pPr>
          </w:p>
        </w:tc>
        <w:tc>
          <w:tcPr>
            <w:tcW w:w="532" w:type="dxa"/>
            <w:tcBorders>
              <w:top w:val="single" w:sz="4" w:space="0" w:color="8EA9DB"/>
              <w:right w:val="single" w:sz="4" w:space="0" w:color="4471C4"/>
            </w:tcBorders>
          </w:tcPr>
          <w:p w:rsidR="003E7CF5" w:rsidRDefault="00024B00">
            <w:pPr>
              <w:pStyle w:val="TableParagraph"/>
              <w:spacing w:line="253" w:lineRule="exact"/>
              <w:ind w:right="9"/>
              <w:jc w:val="center"/>
            </w:pPr>
            <w:r>
              <w:t>4</w:t>
            </w:r>
          </w:p>
        </w:tc>
        <w:tc>
          <w:tcPr>
            <w:tcW w:w="600" w:type="dxa"/>
            <w:tcBorders>
              <w:left w:val="single" w:sz="4" w:space="0" w:color="4471C4"/>
            </w:tcBorders>
            <w:shd w:val="clear" w:color="auto" w:fill="D0CECE"/>
          </w:tcPr>
          <w:p w:rsidR="003E7CF5" w:rsidRDefault="00024B00">
            <w:pPr>
              <w:pStyle w:val="TableParagraph"/>
              <w:spacing w:line="253" w:lineRule="exact"/>
              <w:ind w:right="86"/>
              <w:jc w:val="right"/>
              <w:rPr>
                <w:b/>
              </w:rPr>
            </w:pPr>
            <w:r>
              <w:rPr>
                <w:b/>
              </w:rPr>
              <w:t>18</w:t>
            </w:r>
          </w:p>
        </w:tc>
        <w:tc>
          <w:tcPr>
            <w:tcW w:w="540" w:type="dxa"/>
            <w:shd w:val="clear" w:color="auto" w:fill="D0CECE"/>
          </w:tcPr>
          <w:p w:rsidR="003E7CF5" w:rsidRDefault="00024B00">
            <w:pPr>
              <w:pStyle w:val="TableParagraph"/>
              <w:spacing w:before="33"/>
              <w:ind w:right="59"/>
              <w:jc w:val="right"/>
              <w:rPr>
                <w:i/>
                <w:sz w:val="20"/>
              </w:rPr>
            </w:pPr>
            <w:r>
              <w:rPr>
                <w:i/>
                <w:sz w:val="20"/>
              </w:rPr>
              <w:t>34%</w:t>
            </w:r>
          </w:p>
        </w:tc>
      </w:tr>
      <w:tr w:rsidR="003E7CF5">
        <w:trPr>
          <w:trHeight w:val="380"/>
        </w:trPr>
        <w:tc>
          <w:tcPr>
            <w:tcW w:w="1178" w:type="dxa"/>
          </w:tcPr>
          <w:p w:rsidR="003E7CF5" w:rsidRDefault="00024B00">
            <w:pPr>
              <w:pStyle w:val="TableParagraph"/>
              <w:spacing w:before="54"/>
              <w:ind w:left="70"/>
            </w:pPr>
            <w:r>
              <w:t>2018</w:t>
            </w:r>
          </w:p>
        </w:tc>
        <w:tc>
          <w:tcPr>
            <w:tcW w:w="798" w:type="dxa"/>
          </w:tcPr>
          <w:p w:rsidR="003E7CF5" w:rsidRDefault="003E7CF5">
            <w:pPr>
              <w:pStyle w:val="TableParagraph"/>
              <w:rPr>
                <w:sz w:val="20"/>
              </w:rPr>
            </w:pPr>
          </w:p>
        </w:tc>
        <w:tc>
          <w:tcPr>
            <w:tcW w:w="537" w:type="dxa"/>
          </w:tcPr>
          <w:p w:rsidR="003E7CF5" w:rsidRDefault="00024B00">
            <w:pPr>
              <w:pStyle w:val="TableParagraph"/>
              <w:spacing w:before="54"/>
              <w:ind w:right="134"/>
              <w:jc w:val="center"/>
            </w:pPr>
            <w:r>
              <w:t>1</w:t>
            </w:r>
          </w:p>
        </w:tc>
        <w:tc>
          <w:tcPr>
            <w:tcW w:w="684" w:type="dxa"/>
          </w:tcPr>
          <w:p w:rsidR="003E7CF5" w:rsidRDefault="00024B00">
            <w:pPr>
              <w:pStyle w:val="TableParagraph"/>
              <w:spacing w:before="54"/>
              <w:ind w:left="198"/>
            </w:pPr>
            <w:r>
              <w:t>1</w:t>
            </w:r>
          </w:p>
        </w:tc>
        <w:tc>
          <w:tcPr>
            <w:tcW w:w="639" w:type="dxa"/>
          </w:tcPr>
          <w:p w:rsidR="003E7CF5" w:rsidRDefault="003E7CF5">
            <w:pPr>
              <w:pStyle w:val="TableParagraph"/>
              <w:rPr>
                <w:sz w:val="20"/>
              </w:rPr>
            </w:pPr>
          </w:p>
        </w:tc>
        <w:tc>
          <w:tcPr>
            <w:tcW w:w="348" w:type="dxa"/>
          </w:tcPr>
          <w:p w:rsidR="003E7CF5" w:rsidRDefault="00024B00">
            <w:pPr>
              <w:pStyle w:val="TableParagraph"/>
              <w:spacing w:before="54"/>
              <w:ind w:right="10"/>
              <w:jc w:val="right"/>
            </w:pPr>
            <w:r>
              <w:t>1</w:t>
            </w:r>
          </w:p>
        </w:tc>
        <w:tc>
          <w:tcPr>
            <w:tcW w:w="430" w:type="dxa"/>
          </w:tcPr>
          <w:p w:rsidR="003E7CF5" w:rsidRDefault="003E7CF5">
            <w:pPr>
              <w:pStyle w:val="TableParagraph"/>
              <w:rPr>
                <w:sz w:val="20"/>
              </w:rPr>
            </w:pPr>
          </w:p>
        </w:tc>
        <w:tc>
          <w:tcPr>
            <w:tcW w:w="564" w:type="dxa"/>
          </w:tcPr>
          <w:p w:rsidR="003E7CF5" w:rsidRDefault="00024B00">
            <w:pPr>
              <w:pStyle w:val="TableParagraph"/>
              <w:spacing w:before="54"/>
              <w:ind w:left="153"/>
            </w:pPr>
            <w:r>
              <w:t>1</w:t>
            </w:r>
          </w:p>
        </w:tc>
        <w:tc>
          <w:tcPr>
            <w:tcW w:w="517" w:type="dxa"/>
          </w:tcPr>
          <w:p w:rsidR="003E7CF5" w:rsidRDefault="003E7CF5">
            <w:pPr>
              <w:pStyle w:val="TableParagraph"/>
              <w:rPr>
                <w:sz w:val="20"/>
              </w:rPr>
            </w:pPr>
          </w:p>
        </w:tc>
        <w:tc>
          <w:tcPr>
            <w:tcW w:w="614" w:type="dxa"/>
          </w:tcPr>
          <w:p w:rsidR="003E7CF5" w:rsidRDefault="003E7CF5">
            <w:pPr>
              <w:pStyle w:val="TableParagraph"/>
              <w:rPr>
                <w:sz w:val="20"/>
              </w:rPr>
            </w:pPr>
          </w:p>
        </w:tc>
        <w:tc>
          <w:tcPr>
            <w:tcW w:w="519" w:type="dxa"/>
          </w:tcPr>
          <w:p w:rsidR="003E7CF5" w:rsidRDefault="003E7CF5">
            <w:pPr>
              <w:pStyle w:val="TableParagraph"/>
              <w:rPr>
                <w:sz w:val="20"/>
              </w:rPr>
            </w:pPr>
          </w:p>
        </w:tc>
        <w:tc>
          <w:tcPr>
            <w:tcW w:w="652" w:type="dxa"/>
          </w:tcPr>
          <w:p w:rsidR="003E7CF5" w:rsidRDefault="00024B00">
            <w:pPr>
              <w:pStyle w:val="TableParagraph"/>
              <w:spacing w:before="54"/>
              <w:ind w:right="130"/>
              <w:jc w:val="center"/>
            </w:pPr>
            <w:r>
              <w:t>4</w:t>
            </w:r>
          </w:p>
        </w:tc>
        <w:tc>
          <w:tcPr>
            <w:tcW w:w="625" w:type="dxa"/>
          </w:tcPr>
          <w:p w:rsidR="003E7CF5" w:rsidRDefault="00024B00">
            <w:pPr>
              <w:pStyle w:val="TableParagraph"/>
              <w:spacing w:before="54"/>
              <w:ind w:left="197"/>
            </w:pPr>
            <w:r>
              <w:t>1</w:t>
            </w:r>
          </w:p>
        </w:tc>
        <w:tc>
          <w:tcPr>
            <w:tcW w:w="532" w:type="dxa"/>
            <w:tcBorders>
              <w:right w:val="single" w:sz="4" w:space="0" w:color="4471C4"/>
            </w:tcBorders>
          </w:tcPr>
          <w:p w:rsidR="003E7CF5" w:rsidRDefault="00024B00">
            <w:pPr>
              <w:pStyle w:val="TableParagraph"/>
              <w:spacing w:before="54"/>
              <w:ind w:right="9"/>
              <w:jc w:val="center"/>
            </w:pPr>
            <w:r>
              <w:t>3</w:t>
            </w:r>
          </w:p>
        </w:tc>
        <w:tc>
          <w:tcPr>
            <w:tcW w:w="600" w:type="dxa"/>
            <w:tcBorders>
              <w:left w:val="single" w:sz="4" w:space="0" w:color="4471C4"/>
            </w:tcBorders>
            <w:shd w:val="clear" w:color="auto" w:fill="D0CECE"/>
          </w:tcPr>
          <w:p w:rsidR="003E7CF5" w:rsidRDefault="00024B00">
            <w:pPr>
              <w:pStyle w:val="TableParagraph"/>
              <w:spacing w:before="54"/>
              <w:ind w:right="86"/>
              <w:jc w:val="right"/>
              <w:rPr>
                <w:b/>
              </w:rPr>
            </w:pPr>
            <w:r>
              <w:rPr>
                <w:b/>
              </w:rPr>
              <w:t>12</w:t>
            </w:r>
          </w:p>
        </w:tc>
        <w:tc>
          <w:tcPr>
            <w:tcW w:w="540" w:type="dxa"/>
            <w:shd w:val="clear" w:color="auto" w:fill="D0CECE"/>
          </w:tcPr>
          <w:p w:rsidR="003E7CF5" w:rsidRDefault="00024B00">
            <w:pPr>
              <w:pStyle w:val="TableParagraph"/>
              <w:spacing w:before="87"/>
              <w:ind w:right="59"/>
              <w:jc w:val="right"/>
              <w:rPr>
                <w:i/>
                <w:sz w:val="20"/>
              </w:rPr>
            </w:pPr>
            <w:r>
              <w:rPr>
                <w:i/>
                <w:sz w:val="20"/>
              </w:rPr>
              <w:t>23%</w:t>
            </w:r>
          </w:p>
        </w:tc>
      </w:tr>
      <w:tr w:rsidR="003E7CF5">
        <w:trPr>
          <w:trHeight w:val="380"/>
        </w:trPr>
        <w:tc>
          <w:tcPr>
            <w:tcW w:w="1178" w:type="dxa"/>
          </w:tcPr>
          <w:p w:rsidR="003E7CF5" w:rsidRDefault="00024B00">
            <w:pPr>
              <w:pStyle w:val="TableParagraph"/>
              <w:spacing w:before="53"/>
              <w:ind w:left="70"/>
            </w:pPr>
            <w:r>
              <w:t>2017</w:t>
            </w:r>
          </w:p>
        </w:tc>
        <w:tc>
          <w:tcPr>
            <w:tcW w:w="798" w:type="dxa"/>
          </w:tcPr>
          <w:p w:rsidR="003E7CF5" w:rsidRDefault="003E7CF5">
            <w:pPr>
              <w:pStyle w:val="TableParagraph"/>
              <w:rPr>
                <w:sz w:val="20"/>
              </w:rPr>
            </w:pPr>
          </w:p>
        </w:tc>
        <w:tc>
          <w:tcPr>
            <w:tcW w:w="537" w:type="dxa"/>
          </w:tcPr>
          <w:p w:rsidR="003E7CF5" w:rsidRDefault="003E7CF5">
            <w:pPr>
              <w:pStyle w:val="TableParagraph"/>
              <w:rPr>
                <w:sz w:val="20"/>
              </w:rPr>
            </w:pPr>
          </w:p>
        </w:tc>
        <w:tc>
          <w:tcPr>
            <w:tcW w:w="684" w:type="dxa"/>
          </w:tcPr>
          <w:p w:rsidR="003E7CF5" w:rsidRDefault="00024B00">
            <w:pPr>
              <w:pStyle w:val="TableParagraph"/>
              <w:spacing w:before="53"/>
              <w:ind w:left="198"/>
            </w:pPr>
            <w:r>
              <w:t>1</w:t>
            </w:r>
          </w:p>
        </w:tc>
        <w:tc>
          <w:tcPr>
            <w:tcW w:w="639" w:type="dxa"/>
          </w:tcPr>
          <w:p w:rsidR="003E7CF5" w:rsidRDefault="00024B00">
            <w:pPr>
              <w:pStyle w:val="TableParagraph"/>
              <w:spacing w:before="53"/>
              <w:ind w:left="149"/>
            </w:pPr>
            <w:r>
              <w:t>1</w:t>
            </w:r>
          </w:p>
        </w:tc>
        <w:tc>
          <w:tcPr>
            <w:tcW w:w="348" w:type="dxa"/>
          </w:tcPr>
          <w:p w:rsidR="003E7CF5" w:rsidRDefault="003E7CF5">
            <w:pPr>
              <w:pStyle w:val="TableParagraph"/>
              <w:rPr>
                <w:sz w:val="20"/>
              </w:rPr>
            </w:pPr>
          </w:p>
        </w:tc>
        <w:tc>
          <w:tcPr>
            <w:tcW w:w="430" w:type="dxa"/>
          </w:tcPr>
          <w:p w:rsidR="003E7CF5" w:rsidRDefault="003E7CF5">
            <w:pPr>
              <w:pStyle w:val="TableParagraph"/>
              <w:rPr>
                <w:sz w:val="20"/>
              </w:rPr>
            </w:pPr>
          </w:p>
        </w:tc>
        <w:tc>
          <w:tcPr>
            <w:tcW w:w="564" w:type="dxa"/>
          </w:tcPr>
          <w:p w:rsidR="003E7CF5" w:rsidRDefault="00024B00">
            <w:pPr>
              <w:pStyle w:val="TableParagraph"/>
              <w:spacing w:before="53"/>
              <w:ind w:left="153"/>
            </w:pPr>
            <w:r>
              <w:t>1</w:t>
            </w:r>
          </w:p>
        </w:tc>
        <w:tc>
          <w:tcPr>
            <w:tcW w:w="517" w:type="dxa"/>
          </w:tcPr>
          <w:p w:rsidR="003E7CF5" w:rsidRDefault="00024B00">
            <w:pPr>
              <w:pStyle w:val="TableParagraph"/>
              <w:spacing w:before="53"/>
              <w:ind w:left="154"/>
            </w:pPr>
            <w:r>
              <w:t>1</w:t>
            </w:r>
          </w:p>
        </w:tc>
        <w:tc>
          <w:tcPr>
            <w:tcW w:w="614" w:type="dxa"/>
          </w:tcPr>
          <w:p w:rsidR="003E7CF5" w:rsidRDefault="00024B00">
            <w:pPr>
              <w:pStyle w:val="TableParagraph"/>
              <w:spacing w:before="53"/>
              <w:ind w:right="98"/>
              <w:jc w:val="center"/>
            </w:pPr>
            <w:r>
              <w:t>1</w:t>
            </w:r>
          </w:p>
        </w:tc>
        <w:tc>
          <w:tcPr>
            <w:tcW w:w="519" w:type="dxa"/>
          </w:tcPr>
          <w:p w:rsidR="003E7CF5" w:rsidRDefault="003E7CF5">
            <w:pPr>
              <w:pStyle w:val="TableParagraph"/>
              <w:rPr>
                <w:sz w:val="20"/>
              </w:rPr>
            </w:pPr>
          </w:p>
        </w:tc>
        <w:tc>
          <w:tcPr>
            <w:tcW w:w="652" w:type="dxa"/>
          </w:tcPr>
          <w:p w:rsidR="003E7CF5" w:rsidRDefault="00024B00">
            <w:pPr>
              <w:pStyle w:val="TableParagraph"/>
              <w:spacing w:before="53"/>
              <w:ind w:right="130"/>
              <w:jc w:val="center"/>
            </w:pPr>
            <w:r>
              <w:t>1</w:t>
            </w:r>
          </w:p>
        </w:tc>
        <w:tc>
          <w:tcPr>
            <w:tcW w:w="625" w:type="dxa"/>
          </w:tcPr>
          <w:p w:rsidR="003E7CF5" w:rsidRDefault="00024B00">
            <w:pPr>
              <w:pStyle w:val="TableParagraph"/>
              <w:spacing w:before="53"/>
              <w:ind w:left="197"/>
            </w:pPr>
            <w:r>
              <w:t>1</w:t>
            </w:r>
          </w:p>
        </w:tc>
        <w:tc>
          <w:tcPr>
            <w:tcW w:w="532" w:type="dxa"/>
            <w:tcBorders>
              <w:right w:val="single" w:sz="4" w:space="0" w:color="4471C4"/>
            </w:tcBorders>
          </w:tcPr>
          <w:p w:rsidR="003E7CF5" w:rsidRDefault="00024B00">
            <w:pPr>
              <w:pStyle w:val="TableParagraph"/>
              <w:spacing w:before="53"/>
              <w:ind w:right="9"/>
              <w:jc w:val="center"/>
            </w:pPr>
            <w:r>
              <w:t>2</w:t>
            </w:r>
          </w:p>
        </w:tc>
        <w:tc>
          <w:tcPr>
            <w:tcW w:w="600" w:type="dxa"/>
            <w:tcBorders>
              <w:left w:val="single" w:sz="4" w:space="0" w:color="4471C4"/>
            </w:tcBorders>
            <w:shd w:val="clear" w:color="auto" w:fill="D0CECE"/>
          </w:tcPr>
          <w:p w:rsidR="003E7CF5" w:rsidRDefault="00024B00">
            <w:pPr>
              <w:pStyle w:val="TableParagraph"/>
              <w:spacing w:before="53"/>
              <w:ind w:right="86"/>
              <w:jc w:val="right"/>
              <w:rPr>
                <w:b/>
              </w:rPr>
            </w:pPr>
            <w:r>
              <w:rPr>
                <w:b/>
              </w:rPr>
              <w:t>9</w:t>
            </w:r>
          </w:p>
        </w:tc>
        <w:tc>
          <w:tcPr>
            <w:tcW w:w="540" w:type="dxa"/>
            <w:shd w:val="clear" w:color="auto" w:fill="D0CECE"/>
          </w:tcPr>
          <w:p w:rsidR="003E7CF5" w:rsidRDefault="00024B00">
            <w:pPr>
              <w:pStyle w:val="TableParagraph"/>
              <w:spacing w:before="87"/>
              <w:ind w:right="59"/>
              <w:jc w:val="right"/>
              <w:rPr>
                <w:i/>
                <w:sz w:val="20"/>
              </w:rPr>
            </w:pPr>
            <w:r>
              <w:rPr>
                <w:i/>
                <w:sz w:val="20"/>
              </w:rPr>
              <w:t>17%</w:t>
            </w:r>
          </w:p>
        </w:tc>
      </w:tr>
      <w:tr w:rsidR="003E7CF5">
        <w:trPr>
          <w:trHeight w:val="380"/>
        </w:trPr>
        <w:tc>
          <w:tcPr>
            <w:tcW w:w="1178" w:type="dxa"/>
          </w:tcPr>
          <w:p w:rsidR="003E7CF5" w:rsidRDefault="00024B00">
            <w:pPr>
              <w:pStyle w:val="TableParagraph"/>
              <w:spacing w:before="53"/>
              <w:ind w:left="70"/>
            </w:pPr>
            <w:r>
              <w:t>2016</w:t>
            </w:r>
          </w:p>
        </w:tc>
        <w:tc>
          <w:tcPr>
            <w:tcW w:w="798" w:type="dxa"/>
          </w:tcPr>
          <w:p w:rsidR="003E7CF5" w:rsidRDefault="003E7CF5">
            <w:pPr>
              <w:pStyle w:val="TableParagraph"/>
              <w:rPr>
                <w:sz w:val="20"/>
              </w:rPr>
            </w:pPr>
          </w:p>
        </w:tc>
        <w:tc>
          <w:tcPr>
            <w:tcW w:w="537" w:type="dxa"/>
          </w:tcPr>
          <w:p w:rsidR="003E7CF5" w:rsidRDefault="003E7CF5">
            <w:pPr>
              <w:pStyle w:val="TableParagraph"/>
              <w:rPr>
                <w:sz w:val="20"/>
              </w:rPr>
            </w:pPr>
          </w:p>
        </w:tc>
        <w:tc>
          <w:tcPr>
            <w:tcW w:w="684" w:type="dxa"/>
          </w:tcPr>
          <w:p w:rsidR="003E7CF5" w:rsidRDefault="00024B00">
            <w:pPr>
              <w:pStyle w:val="TableParagraph"/>
              <w:spacing w:before="53"/>
              <w:ind w:left="198"/>
            </w:pPr>
            <w:r>
              <w:t>1</w:t>
            </w:r>
          </w:p>
        </w:tc>
        <w:tc>
          <w:tcPr>
            <w:tcW w:w="639" w:type="dxa"/>
          </w:tcPr>
          <w:p w:rsidR="003E7CF5" w:rsidRDefault="003E7CF5">
            <w:pPr>
              <w:pStyle w:val="TableParagraph"/>
              <w:rPr>
                <w:sz w:val="20"/>
              </w:rPr>
            </w:pPr>
          </w:p>
        </w:tc>
        <w:tc>
          <w:tcPr>
            <w:tcW w:w="348" w:type="dxa"/>
          </w:tcPr>
          <w:p w:rsidR="003E7CF5" w:rsidRDefault="003E7CF5">
            <w:pPr>
              <w:pStyle w:val="TableParagraph"/>
              <w:rPr>
                <w:sz w:val="20"/>
              </w:rPr>
            </w:pPr>
          </w:p>
        </w:tc>
        <w:tc>
          <w:tcPr>
            <w:tcW w:w="430" w:type="dxa"/>
          </w:tcPr>
          <w:p w:rsidR="003E7CF5" w:rsidRDefault="003E7CF5">
            <w:pPr>
              <w:pStyle w:val="TableParagraph"/>
              <w:rPr>
                <w:sz w:val="20"/>
              </w:rPr>
            </w:pPr>
          </w:p>
        </w:tc>
        <w:tc>
          <w:tcPr>
            <w:tcW w:w="564" w:type="dxa"/>
          </w:tcPr>
          <w:p w:rsidR="003E7CF5" w:rsidRDefault="00024B00">
            <w:pPr>
              <w:pStyle w:val="TableParagraph"/>
              <w:spacing w:before="53"/>
              <w:ind w:left="153"/>
            </w:pPr>
            <w:r>
              <w:t>1</w:t>
            </w:r>
          </w:p>
        </w:tc>
        <w:tc>
          <w:tcPr>
            <w:tcW w:w="517" w:type="dxa"/>
          </w:tcPr>
          <w:p w:rsidR="003E7CF5" w:rsidRDefault="003E7CF5">
            <w:pPr>
              <w:pStyle w:val="TableParagraph"/>
              <w:rPr>
                <w:sz w:val="20"/>
              </w:rPr>
            </w:pPr>
          </w:p>
        </w:tc>
        <w:tc>
          <w:tcPr>
            <w:tcW w:w="614" w:type="dxa"/>
          </w:tcPr>
          <w:p w:rsidR="003E7CF5" w:rsidRDefault="003E7CF5">
            <w:pPr>
              <w:pStyle w:val="TableParagraph"/>
              <w:rPr>
                <w:sz w:val="20"/>
              </w:rPr>
            </w:pPr>
          </w:p>
        </w:tc>
        <w:tc>
          <w:tcPr>
            <w:tcW w:w="519" w:type="dxa"/>
          </w:tcPr>
          <w:p w:rsidR="003E7CF5" w:rsidRDefault="00024B00">
            <w:pPr>
              <w:pStyle w:val="TableParagraph"/>
              <w:spacing w:before="53"/>
              <w:ind w:left="158"/>
            </w:pPr>
            <w:r>
              <w:t>1</w:t>
            </w:r>
          </w:p>
        </w:tc>
        <w:tc>
          <w:tcPr>
            <w:tcW w:w="652" w:type="dxa"/>
          </w:tcPr>
          <w:p w:rsidR="003E7CF5" w:rsidRDefault="003E7CF5">
            <w:pPr>
              <w:pStyle w:val="TableParagraph"/>
              <w:rPr>
                <w:sz w:val="20"/>
              </w:rPr>
            </w:pPr>
          </w:p>
        </w:tc>
        <w:tc>
          <w:tcPr>
            <w:tcW w:w="625" w:type="dxa"/>
          </w:tcPr>
          <w:p w:rsidR="003E7CF5" w:rsidRDefault="00024B00">
            <w:pPr>
              <w:pStyle w:val="TableParagraph"/>
              <w:spacing w:before="53"/>
              <w:ind w:left="197"/>
            </w:pPr>
            <w:r>
              <w:t>1</w:t>
            </w:r>
          </w:p>
        </w:tc>
        <w:tc>
          <w:tcPr>
            <w:tcW w:w="532" w:type="dxa"/>
            <w:tcBorders>
              <w:right w:val="single" w:sz="4" w:space="0" w:color="4471C4"/>
            </w:tcBorders>
          </w:tcPr>
          <w:p w:rsidR="003E7CF5" w:rsidRDefault="003E7CF5">
            <w:pPr>
              <w:pStyle w:val="TableParagraph"/>
              <w:rPr>
                <w:sz w:val="20"/>
              </w:rPr>
            </w:pPr>
          </w:p>
        </w:tc>
        <w:tc>
          <w:tcPr>
            <w:tcW w:w="600" w:type="dxa"/>
            <w:tcBorders>
              <w:left w:val="single" w:sz="4" w:space="0" w:color="4471C4"/>
            </w:tcBorders>
            <w:shd w:val="clear" w:color="auto" w:fill="D0CECE"/>
          </w:tcPr>
          <w:p w:rsidR="003E7CF5" w:rsidRDefault="00024B00">
            <w:pPr>
              <w:pStyle w:val="TableParagraph"/>
              <w:spacing w:before="53"/>
              <w:ind w:right="86"/>
              <w:jc w:val="right"/>
              <w:rPr>
                <w:b/>
              </w:rPr>
            </w:pPr>
            <w:r>
              <w:rPr>
                <w:b/>
              </w:rPr>
              <w:t>4</w:t>
            </w:r>
          </w:p>
        </w:tc>
        <w:tc>
          <w:tcPr>
            <w:tcW w:w="540" w:type="dxa"/>
            <w:shd w:val="clear" w:color="auto" w:fill="D0CECE"/>
          </w:tcPr>
          <w:p w:rsidR="003E7CF5" w:rsidRDefault="00024B00">
            <w:pPr>
              <w:pStyle w:val="TableParagraph"/>
              <w:spacing w:before="87"/>
              <w:ind w:right="59"/>
              <w:jc w:val="right"/>
              <w:rPr>
                <w:i/>
                <w:sz w:val="20"/>
              </w:rPr>
            </w:pPr>
            <w:r>
              <w:rPr>
                <w:i/>
                <w:sz w:val="20"/>
              </w:rPr>
              <w:t>8%</w:t>
            </w:r>
          </w:p>
        </w:tc>
      </w:tr>
      <w:tr w:rsidR="003E7CF5">
        <w:trPr>
          <w:trHeight w:val="375"/>
        </w:trPr>
        <w:tc>
          <w:tcPr>
            <w:tcW w:w="1178" w:type="dxa"/>
          </w:tcPr>
          <w:p w:rsidR="003E7CF5" w:rsidRDefault="00024B00">
            <w:pPr>
              <w:pStyle w:val="TableParagraph"/>
              <w:spacing w:before="53"/>
              <w:ind w:left="70"/>
            </w:pPr>
            <w:r>
              <w:t>2015</w:t>
            </w:r>
          </w:p>
        </w:tc>
        <w:tc>
          <w:tcPr>
            <w:tcW w:w="798" w:type="dxa"/>
          </w:tcPr>
          <w:p w:rsidR="003E7CF5" w:rsidRDefault="003E7CF5">
            <w:pPr>
              <w:pStyle w:val="TableParagraph"/>
              <w:rPr>
                <w:sz w:val="20"/>
              </w:rPr>
            </w:pPr>
          </w:p>
        </w:tc>
        <w:tc>
          <w:tcPr>
            <w:tcW w:w="537" w:type="dxa"/>
          </w:tcPr>
          <w:p w:rsidR="003E7CF5" w:rsidRDefault="00024B00">
            <w:pPr>
              <w:pStyle w:val="TableParagraph"/>
              <w:spacing w:before="53"/>
              <w:ind w:right="134"/>
              <w:jc w:val="center"/>
            </w:pPr>
            <w:r>
              <w:t>1</w:t>
            </w:r>
          </w:p>
        </w:tc>
        <w:tc>
          <w:tcPr>
            <w:tcW w:w="684" w:type="dxa"/>
          </w:tcPr>
          <w:p w:rsidR="003E7CF5" w:rsidRDefault="00024B00">
            <w:pPr>
              <w:pStyle w:val="TableParagraph"/>
              <w:spacing w:before="53"/>
              <w:ind w:left="198"/>
            </w:pPr>
            <w:r>
              <w:t>1</w:t>
            </w:r>
          </w:p>
        </w:tc>
        <w:tc>
          <w:tcPr>
            <w:tcW w:w="639" w:type="dxa"/>
          </w:tcPr>
          <w:p w:rsidR="003E7CF5" w:rsidRDefault="003E7CF5">
            <w:pPr>
              <w:pStyle w:val="TableParagraph"/>
              <w:rPr>
                <w:sz w:val="20"/>
              </w:rPr>
            </w:pPr>
          </w:p>
        </w:tc>
        <w:tc>
          <w:tcPr>
            <w:tcW w:w="348" w:type="dxa"/>
          </w:tcPr>
          <w:p w:rsidR="003E7CF5" w:rsidRDefault="003E7CF5">
            <w:pPr>
              <w:pStyle w:val="TableParagraph"/>
              <w:rPr>
                <w:sz w:val="20"/>
              </w:rPr>
            </w:pPr>
          </w:p>
        </w:tc>
        <w:tc>
          <w:tcPr>
            <w:tcW w:w="430" w:type="dxa"/>
          </w:tcPr>
          <w:p w:rsidR="003E7CF5" w:rsidRDefault="003E7CF5">
            <w:pPr>
              <w:pStyle w:val="TableParagraph"/>
              <w:rPr>
                <w:sz w:val="20"/>
              </w:rPr>
            </w:pPr>
          </w:p>
        </w:tc>
        <w:tc>
          <w:tcPr>
            <w:tcW w:w="564" w:type="dxa"/>
          </w:tcPr>
          <w:p w:rsidR="003E7CF5" w:rsidRDefault="003E7CF5">
            <w:pPr>
              <w:pStyle w:val="TableParagraph"/>
              <w:rPr>
                <w:sz w:val="20"/>
              </w:rPr>
            </w:pPr>
          </w:p>
        </w:tc>
        <w:tc>
          <w:tcPr>
            <w:tcW w:w="517" w:type="dxa"/>
          </w:tcPr>
          <w:p w:rsidR="003E7CF5" w:rsidRDefault="003E7CF5">
            <w:pPr>
              <w:pStyle w:val="TableParagraph"/>
              <w:rPr>
                <w:sz w:val="20"/>
              </w:rPr>
            </w:pPr>
          </w:p>
        </w:tc>
        <w:tc>
          <w:tcPr>
            <w:tcW w:w="614" w:type="dxa"/>
          </w:tcPr>
          <w:p w:rsidR="003E7CF5" w:rsidRDefault="00024B00">
            <w:pPr>
              <w:pStyle w:val="TableParagraph"/>
              <w:spacing w:before="53"/>
              <w:ind w:right="98"/>
              <w:jc w:val="center"/>
            </w:pPr>
            <w:r>
              <w:t>1</w:t>
            </w:r>
          </w:p>
        </w:tc>
        <w:tc>
          <w:tcPr>
            <w:tcW w:w="519" w:type="dxa"/>
          </w:tcPr>
          <w:p w:rsidR="003E7CF5" w:rsidRDefault="003E7CF5">
            <w:pPr>
              <w:pStyle w:val="TableParagraph"/>
              <w:rPr>
                <w:sz w:val="20"/>
              </w:rPr>
            </w:pPr>
          </w:p>
        </w:tc>
        <w:tc>
          <w:tcPr>
            <w:tcW w:w="652" w:type="dxa"/>
          </w:tcPr>
          <w:p w:rsidR="003E7CF5" w:rsidRDefault="003E7CF5">
            <w:pPr>
              <w:pStyle w:val="TableParagraph"/>
              <w:rPr>
                <w:sz w:val="20"/>
              </w:rPr>
            </w:pPr>
          </w:p>
        </w:tc>
        <w:tc>
          <w:tcPr>
            <w:tcW w:w="625" w:type="dxa"/>
          </w:tcPr>
          <w:p w:rsidR="003E7CF5" w:rsidRDefault="003E7CF5">
            <w:pPr>
              <w:pStyle w:val="TableParagraph"/>
              <w:rPr>
                <w:sz w:val="20"/>
              </w:rPr>
            </w:pPr>
          </w:p>
        </w:tc>
        <w:tc>
          <w:tcPr>
            <w:tcW w:w="532" w:type="dxa"/>
            <w:tcBorders>
              <w:right w:val="single" w:sz="4" w:space="0" w:color="4471C4"/>
            </w:tcBorders>
          </w:tcPr>
          <w:p w:rsidR="003E7CF5" w:rsidRDefault="003E7CF5">
            <w:pPr>
              <w:pStyle w:val="TableParagraph"/>
              <w:rPr>
                <w:sz w:val="20"/>
              </w:rPr>
            </w:pPr>
          </w:p>
        </w:tc>
        <w:tc>
          <w:tcPr>
            <w:tcW w:w="600" w:type="dxa"/>
            <w:tcBorders>
              <w:left w:val="single" w:sz="4" w:space="0" w:color="4471C4"/>
            </w:tcBorders>
            <w:shd w:val="clear" w:color="auto" w:fill="D0CECE"/>
          </w:tcPr>
          <w:p w:rsidR="003E7CF5" w:rsidRDefault="00024B00">
            <w:pPr>
              <w:pStyle w:val="TableParagraph"/>
              <w:spacing w:before="53"/>
              <w:ind w:right="86"/>
              <w:jc w:val="right"/>
              <w:rPr>
                <w:b/>
              </w:rPr>
            </w:pPr>
            <w:r>
              <w:rPr>
                <w:b/>
              </w:rPr>
              <w:t>3</w:t>
            </w:r>
          </w:p>
        </w:tc>
        <w:tc>
          <w:tcPr>
            <w:tcW w:w="540" w:type="dxa"/>
            <w:shd w:val="clear" w:color="auto" w:fill="D0CECE"/>
          </w:tcPr>
          <w:p w:rsidR="003E7CF5" w:rsidRDefault="00024B00">
            <w:pPr>
              <w:pStyle w:val="TableParagraph"/>
              <w:spacing w:before="82"/>
              <w:ind w:right="59"/>
              <w:jc w:val="right"/>
              <w:rPr>
                <w:i/>
                <w:sz w:val="20"/>
              </w:rPr>
            </w:pPr>
            <w:r>
              <w:rPr>
                <w:i/>
                <w:sz w:val="20"/>
              </w:rPr>
              <w:t>6%</w:t>
            </w:r>
          </w:p>
        </w:tc>
      </w:tr>
      <w:tr w:rsidR="003E7CF5">
        <w:trPr>
          <w:trHeight w:val="380"/>
        </w:trPr>
        <w:tc>
          <w:tcPr>
            <w:tcW w:w="1178" w:type="dxa"/>
          </w:tcPr>
          <w:p w:rsidR="003E7CF5" w:rsidRDefault="00024B00">
            <w:pPr>
              <w:pStyle w:val="TableParagraph"/>
              <w:spacing w:before="53"/>
              <w:ind w:left="70"/>
            </w:pPr>
            <w:r>
              <w:t>2014</w:t>
            </w:r>
          </w:p>
        </w:tc>
        <w:tc>
          <w:tcPr>
            <w:tcW w:w="798" w:type="dxa"/>
          </w:tcPr>
          <w:p w:rsidR="003E7CF5" w:rsidRDefault="00024B00">
            <w:pPr>
              <w:pStyle w:val="TableParagraph"/>
              <w:spacing w:before="53"/>
              <w:ind w:left="407"/>
            </w:pPr>
            <w:r>
              <w:t>1</w:t>
            </w:r>
          </w:p>
        </w:tc>
        <w:tc>
          <w:tcPr>
            <w:tcW w:w="537" w:type="dxa"/>
          </w:tcPr>
          <w:p w:rsidR="003E7CF5" w:rsidRDefault="003E7CF5">
            <w:pPr>
              <w:pStyle w:val="TableParagraph"/>
              <w:rPr>
                <w:sz w:val="20"/>
              </w:rPr>
            </w:pPr>
          </w:p>
        </w:tc>
        <w:tc>
          <w:tcPr>
            <w:tcW w:w="684" w:type="dxa"/>
          </w:tcPr>
          <w:p w:rsidR="003E7CF5" w:rsidRDefault="003E7CF5">
            <w:pPr>
              <w:pStyle w:val="TableParagraph"/>
              <w:rPr>
                <w:sz w:val="20"/>
              </w:rPr>
            </w:pPr>
          </w:p>
        </w:tc>
        <w:tc>
          <w:tcPr>
            <w:tcW w:w="639" w:type="dxa"/>
          </w:tcPr>
          <w:p w:rsidR="003E7CF5" w:rsidRDefault="003E7CF5">
            <w:pPr>
              <w:pStyle w:val="TableParagraph"/>
              <w:rPr>
                <w:sz w:val="20"/>
              </w:rPr>
            </w:pPr>
          </w:p>
        </w:tc>
        <w:tc>
          <w:tcPr>
            <w:tcW w:w="348" w:type="dxa"/>
          </w:tcPr>
          <w:p w:rsidR="003E7CF5" w:rsidRDefault="003E7CF5">
            <w:pPr>
              <w:pStyle w:val="TableParagraph"/>
              <w:rPr>
                <w:sz w:val="20"/>
              </w:rPr>
            </w:pPr>
          </w:p>
        </w:tc>
        <w:tc>
          <w:tcPr>
            <w:tcW w:w="430" w:type="dxa"/>
          </w:tcPr>
          <w:p w:rsidR="003E7CF5" w:rsidRDefault="003E7CF5">
            <w:pPr>
              <w:pStyle w:val="TableParagraph"/>
              <w:rPr>
                <w:sz w:val="20"/>
              </w:rPr>
            </w:pPr>
          </w:p>
        </w:tc>
        <w:tc>
          <w:tcPr>
            <w:tcW w:w="564" w:type="dxa"/>
          </w:tcPr>
          <w:p w:rsidR="003E7CF5" w:rsidRDefault="003E7CF5">
            <w:pPr>
              <w:pStyle w:val="TableParagraph"/>
              <w:rPr>
                <w:sz w:val="20"/>
              </w:rPr>
            </w:pPr>
          </w:p>
        </w:tc>
        <w:tc>
          <w:tcPr>
            <w:tcW w:w="517" w:type="dxa"/>
          </w:tcPr>
          <w:p w:rsidR="003E7CF5" w:rsidRDefault="003E7CF5">
            <w:pPr>
              <w:pStyle w:val="TableParagraph"/>
              <w:rPr>
                <w:sz w:val="20"/>
              </w:rPr>
            </w:pPr>
          </w:p>
        </w:tc>
        <w:tc>
          <w:tcPr>
            <w:tcW w:w="614" w:type="dxa"/>
          </w:tcPr>
          <w:p w:rsidR="003E7CF5" w:rsidRDefault="003E7CF5">
            <w:pPr>
              <w:pStyle w:val="TableParagraph"/>
              <w:rPr>
                <w:sz w:val="20"/>
              </w:rPr>
            </w:pPr>
          </w:p>
        </w:tc>
        <w:tc>
          <w:tcPr>
            <w:tcW w:w="519" w:type="dxa"/>
          </w:tcPr>
          <w:p w:rsidR="003E7CF5" w:rsidRDefault="003E7CF5">
            <w:pPr>
              <w:pStyle w:val="TableParagraph"/>
              <w:rPr>
                <w:sz w:val="20"/>
              </w:rPr>
            </w:pPr>
          </w:p>
        </w:tc>
        <w:tc>
          <w:tcPr>
            <w:tcW w:w="652" w:type="dxa"/>
          </w:tcPr>
          <w:p w:rsidR="003E7CF5" w:rsidRDefault="003E7CF5">
            <w:pPr>
              <w:pStyle w:val="TableParagraph"/>
              <w:rPr>
                <w:sz w:val="20"/>
              </w:rPr>
            </w:pPr>
          </w:p>
        </w:tc>
        <w:tc>
          <w:tcPr>
            <w:tcW w:w="625" w:type="dxa"/>
          </w:tcPr>
          <w:p w:rsidR="003E7CF5" w:rsidRDefault="00024B00">
            <w:pPr>
              <w:pStyle w:val="TableParagraph"/>
              <w:spacing w:before="53"/>
              <w:ind w:left="197"/>
            </w:pPr>
            <w:r>
              <w:t>2</w:t>
            </w:r>
          </w:p>
        </w:tc>
        <w:tc>
          <w:tcPr>
            <w:tcW w:w="532" w:type="dxa"/>
            <w:tcBorders>
              <w:right w:val="single" w:sz="4" w:space="0" w:color="4471C4"/>
            </w:tcBorders>
          </w:tcPr>
          <w:p w:rsidR="003E7CF5" w:rsidRDefault="00024B00">
            <w:pPr>
              <w:pStyle w:val="TableParagraph"/>
              <w:spacing w:before="53"/>
              <w:ind w:right="9"/>
              <w:jc w:val="center"/>
            </w:pPr>
            <w:r>
              <w:t>1</w:t>
            </w:r>
          </w:p>
        </w:tc>
        <w:tc>
          <w:tcPr>
            <w:tcW w:w="600" w:type="dxa"/>
            <w:tcBorders>
              <w:left w:val="single" w:sz="4" w:space="0" w:color="4471C4"/>
            </w:tcBorders>
            <w:shd w:val="clear" w:color="auto" w:fill="D0CECE"/>
          </w:tcPr>
          <w:p w:rsidR="003E7CF5" w:rsidRDefault="00024B00">
            <w:pPr>
              <w:pStyle w:val="TableParagraph"/>
              <w:spacing w:before="53"/>
              <w:ind w:right="86"/>
              <w:jc w:val="right"/>
              <w:rPr>
                <w:b/>
              </w:rPr>
            </w:pPr>
            <w:r>
              <w:rPr>
                <w:b/>
              </w:rPr>
              <w:t>4</w:t>
            </w:r>
          </w:p>
        </w:tc>
        <w:tc>
          <w:tcPr>
            <w:tcW w:w="540" w:type="dxa"/>
            <w:shd w:val="clear" w:color="auto" w:fill="D0CECE"/>
          </w:tcPr>
          <w:p w:rsidR="003E7CF5" w:rsidRDefault="00024B00">
            <w:pPr>
              <w:pStyle w:val="TableParagraph"/>
              <w:spacing w:before="87"/>
              <w:ind w:right="59"/>
              <w:jc w:val="right"/>
              <w:rPr>
                <w:i/>
                <w:sz w:val="20"/>
              </w:rPr>
            </w:pPr>
            <w:r>
              <w:rPr>
                <w:i/>
                <w:sz w:val="20"/>
              </w:rPr>
              <w:t>8%</w:t>
            </w:r>
          </w:p>
        </w:tc>
      </w:tr>
      <w:tr w:rsidR="003E7CF5">
        <w:trPr>
          <w:trHeight w:val="380"/>
        </w:trPr>
        <w:tc>
          <w:tcPr>
            <w:tcW w:w="1178" w:type="dxa"/>
          </w:tcPr>
          <w:p w:rsidR="003E7CF5" w:rsidRDefault="00024B00">
            <w:pPr>
              <w:pStyle w:val="TableParagraph"/>
              <w:spacing w:before="53"/>
              <w:ind w:left="70"/>
            </w:pPr>
            <w:r>
              <w:lastRenderedPageBreak/>
              <w:t>2013</w:t>
            </w:r>
          </w:p>
        </w:tc>
        <w:tc>
          <w:tcPr>
            <w:tcW w:w="798" w:type="dxa"/>
          </w:tcPr>
          <w:p w:rsidR="003E7CF5" w:rsidRDefault="003E7CF5">
            <w:pPr>
              <w:pStyle w:val="TableParagraph"/>
              <w:rPr>
                <w:sz w:val="20"/>
              </w:rPr>
            </w:pPr>
          </w:p>
        </w:tc>
        <w:tc>
          <w:tcPr>
            <w:tcW w:w="537" w:type="dxa"/>
          </w:tcPr>
          <w:p w:rsidR="003E7CF5" w:rsidRDefault="003E7CF5">
            <w:pPr>
              <w:pStyle w:val="TableParagraph"/>
              <w:rPr>
                <w:sz w:val="20"/>
              </w:rPr>
            </w:pPr>
          </w:p>
        </w:tc>
        <w:tc>
          <w:tcPr>
            <w:tcW w:w="684" w:type="dxa"/>
          </w:tcPr>
          <w:p w:rsidR="003E7CF5" w:rsidRDefault="003E7CF5">
            <w:pPr>
              <w:pStyle w:val="TableParagraph"/>
              <w:rPr>
                <w:sz w:val="20"/>
              </w:rPr>
            </w:pPr>
          </w:p>
        </w:tc>
        <w:tc>
          <w:tcPr>
            <w:tcW w:w="639" w:type="dxa"/>
          </w:tcPr>
          <w:p w:rsidR="003E7CF5" w:rsidRDefault="00024B00">
            <w:pPr>
              <w:pStyle w:val="TableParagraph"/>
              <w:spacing w:before="53"/>
              <w:ind w:left="149"/>
            </w:pPr>
            <w:r>
              <w:t>1</w:t>
            </w:r>
          </w:p>
        </w:tc>
        <w:tc>
          <w:tcPr>
            <w:tcW w:w="348" w:type="dxa"/>
          </w:tcPr>
          <w:p w:rsidR="003E7CF5" w:rsidRDefault="003E7CF5">
            <w:pPr>
              <w:pStyle w:val="TableParagraph"/>
              <w:rPr>
                <w:sz w:val="20"/>
              </w:rPr>
            </w:pPr>
          </w:p>
        </w:tc>
        <w:tc>
          <w:tcPr>
            <w:tcW w:w="430" w:type="dxa"/>
          </w:tcPr>
          <w:p w:rsidR="003E7CF5" w:rsidRDefault="003E7CF5">
            <w:pPr>
              <w:pStyle w:val="TableParagraph"/>
              <w:rPr>
                <w:sz w:val="20"/>
              </w:rPr>
            </w:pPr>
          </w:p>
        </w:tc>
        <w:tc>
          <w:tcPr>
            <w:tcW w:w="564" w:type="dxa"/>
          </w:tcPr>
          <w:p w:rsidR="003E7CF5" w:rsidRDefault="003E7CF5">
            <w:pPr>
              <w:pStyle w:val="TableParagraph"/>
              <w:rPr>
                <w:sz w:val="20"/>
              </w:rPr>
            </w:pPr>
          </w:p>
        </w:tc>
        <w:tc>
          <w:tcPr>
            <w:tcW w:w="517" w:type="dxa"/>
          </w:tcPr>
          <w:p w:rsidR="003E7CF5" w:rsidRDefault="003E7CF5">
            <w:pPr>
              <w:pStyle w:val="TableParagraph"/>
              <w:rPr>
                <w:sz w:val="20"/>
              </w:rPr>
            </w:pPr>
          </w:p>
        </w:tc>
        <w:tc>
          <w:tcPr>
            <w:tcW w:w="614" w:type="dxa"/>
          </w:tcPr>
          <w:p w:rsidR="003E7CF5" w:rsidRDefault="00024B00">
            <w:pPr>
              <w:pStyle w:val="TableParagraph"/>
              <w:spacing w:before="53"/>
              <w:ind w:right="98"/>
              <w:jc w:val="center"/>
            </w:pPr>
            <w:r>
              <w:t>1</w:t>
            </w:r>
          </w:p>
        </w:tc>
        <w:tc>
          <w:tcPr>
            <w:tcW w:w="519" w:type="dxa"/>
          </w:tcPr>
          <w:p w:rsidR="003E7CF5" w:rsidRDefault="003E7CF5">
            <w:pPr>
              <w:pStyle w:val="TableParagraph"/>
              <w:rPr>
                <w:sz w:val="20"/>
              </w:rPr>
            </w:pPr>
          </w:p>
        </w:tc>
        <w:tc>
          <w:tcPr>
            <w:tcW w:w="652" w:type="dxa"/>
          </w:tcPr>
          <w:p w:rsidR="003E7CF5" w:rsidRDefault="003E7CF5">
            <w:pPr>
              <w:pStyle w:val="TableParagraph"/>
              <w:rPr>
                <w:sz w:val="20"/>
              </w:rPr>
            </w:pPr>
          </w:p>
        </w:tc>
        <w:tc>
          <w:tcPr>
            <w:tcW w:w="625" w:type="dxa"/>
          </w:tcPr>
          <w:p w:rsidR="003E7CF5" w:rsidRDefault="003E7CF5">
            <w:pPr>
              <w:pStyle w:val="TableParagraph"/>
              <w:rPr>
                <w:sz w:val="20"/>
              </w:rPr>
            </w:pPr>
          </w:p>
        </w:tc>
        <w:tc>
          <w:tcPr>
            <w:tcW w:w="532" w:type="dxa"/>
            <w:tcBorders>
              <w:right w:val="single" w:sz="4" w:space="0" w:color="4471C4"/>
            </w:tcBorders>
          </w:tcPr>
          <w:p w:rsidR="003E7CF5" w:rsidRDefault="003E7CF5">
            <w:pPr>
              <w:pStyle w:val="TableParagraph"/>
              <w:rPr>
                <w:sz w:val="20"/>
              </w:rPr>
            </w:pPr>
          </w:p>
        </w:tc>
        <w:tc>
          <w:tcPr>
            <w:tcW w:w="600" w:type="dxa"/>
            <w:tcBorders>
              <w:left w:val="single" w:sz="4" w:space="0" w:color="4471C4"/>
            </w:tcBorders>
            <w:shd w:val="clear" w:color="auto" w:fill="D0CECE"/>
          </w:tcPr>
          <w:p w:rsidR="003E7CF5" w:rsidRDefault="00024B00">
            <w:pPr>
              <w:pStyle w:val="TableParagraph"/>
              <w:spacing w:before="53"/>
              <w:ind w:right="86"/>
              <w:jc w:val="right"/>
              <w:rPr>
                <w:b/>
              </w:rPr>
            </w:pPr>
            <w:r>
              <w:rPr>
                <w:b/>
              </w:rPr>
              <w:t>2</w:t>
            </w:r>
          </w:p>
        </w:tc>
        <w:tc>
          <w:tcPr>
            <w:tcW w:w="540" w:type="dxa"/>
            <w:shd w:val="clear" w:color="auto" w:fill="D0CECE"/>
          </w:tcPr>
          <w:p w:rsidR="003E7CF5" w:rsidRDefault="00024B00">
            <w:pPr>
              <w:pStyle w:val="TableParagraph"/>
              <w:spacing w:before="87"/>
              <w:ind w:right="59"/>
              <w:jc w:val="right"/>
              <w:rPr>
                <w:i/>
                <w:sz w:val="20"/>
              </w:rPr>
            </w:pPr>
            <w:r>
              <w:rPr>
                <w:i/>
                <w:sz w:val="20"/>
              </w:rPr>
              <w:t>4%</w:t>
            </w:r>
          </w:p>
        </w:tc>
      </w:tr>
      <w:tr w:rsidR="003E7CF5">
        <w:trPr>
          <w:trHeight w:val="433"/>
        </w:trPr>
        <w:tc>
          <w:tcPr>
            <w:tcW w:w="1178" w:type="dxa"/>
            <w:tcBorders>
              <w:bottom w:val="single" w:sz="4" w:space="0" w:color="8EA9DB"/>
            </w:tcBorders>
          </w:tcPr>
          <w:p w:rsidR="003E7CF5" w:rsidRDefault="00024B00">
            <w:pPr>
              <w:pStyle w:val="TableParagraph"/>
              <w:spacing w:before="53"/>
              <w:ind w:left="70"/>
            </w:pPr>
            <w:r>
              <w:t>2011</w:t>
            </w:r>
          </w:p>
        </w:tc>
        <w:tc>
          <w:tcPr>
            <w:tcW w:w="798" w:type="dxa"/>
            <w:tcBorders>
              <w:bottom w:val="single" w:sz="4" w:space="0" w:color="8EA9DB"/>
            </w:tcBorders>
          </w:tcPr>
          <w:p w:rsidR="003E7CF5" w:rsidRDefault="003E7CF5">
            <w:pPr>
              <w:pStyle w:val="TableParagraph"/>
              <w:rPr>
                <w:sz w:val="20"/>
              </w:rPr>
            </w:pPr>
          </w:p>
        </w:tc>
        <w:tc>
          <w:tcPr>
            <w:tcW w:w="537" w:type="dxa"/>
            <w:tcBorders>
              <w:bottom w:val="single" w:sz="4" w:space="0" w:color="8EA9DB"/>
            </w:tcBorders>
          </w:tcPr>
          <w:p w:rsidR="003E7CF5" w:rsidRDefault="003E7CF5">
            <w:pPr>
              <w:pStyle w:val="TableParagraph"/>
              <w:rPr>
                <w:sz w:val="20"/>
              </w:rPr>
            </w:pPr>
          </w:p>
        </w:tc>
        <w:tc>
          <w:tcPr>
            <w:tcW w:w="684" w:type="dxa"/>
            <w:tcBorders>
              <w:bottom w:val="single" w:sz="4" w:space="0" w:color="8EA9DB"/>
            </w:tcBorders>
          </w:tcPr>
          <w:p w:rsidR="003E7CF5" w:rsidRDefault="003E7CF5">
            <w:pPr>
              <w:pStyle w:val="TableParagraph"/>
              <w:rPr>
                <w:sz w:val="20"/>
              </w:rPr>
            </w:pPr>
          </w:p>
        </w:tc>
        <w:tc>
          <w:tcPr>
            <w:tcW w:w="639" w:type="dxa"/>
            <w:tcBorders>
              <w:bottom w:val="single" w:sz="4" w:space="0" w:color="8EA9DB"/>
            </w:tcBorders>
          </w:tcPr>
          <w:p w:rsidR="003E7CF5" w:rsidRDefault="003E7CF5">
            <w:pPr>
              <w:pStyle w:val="TableParagraph"/>
              <w:rPr>
                <w:sz w:val="20"/>
              </w:rPr>
            </w:pPr>
          </w:p>
        </w:tc>
        <w:tc>
          <w:tcPr>
            <w:tcW w:w="348" w:type="dxa"/>
            <w:tcBorders>
              <w:bottom w:val="single" w:sz="4" w:space="0" w:color="8EA9DB"/>
            </w:tcBorders>
          </w:tcPr>
          <w:p w:rsidR="003E7CF5" w:rsidRDefault="003E7CF5">
            <w:pPr>
              <w:pStyle w:val="TableParagraph"/>
              <w:rPr>
                <w:sz w:val="20"/>
              </w:rPr>
            </w:pPr>
          </w:p>
        </w:tc>
        <w:tc>
          <w:tcPr>
            <w:tcW w:w="430" w:type="dxa"/>
            <w:tcBorders>
              <w:bottom w:val="single" w:sz="4" w:space="0" w:color="8EA9DB"/>
            </w:tcBorders>
          </w:tcPr>
          <w:p w:rsidR="003E7CF5" w:rsidRDefault="003E7CF5">
            <w:pPr>
              <w:pStyle w:val="TableParagraph"/>
              <w:rPr>
                <w:sz w:val="20"/>
              </w:rPr>
            </w:pPr>
          </w:p>
        </w:tc>
        <w:tc>
          <w:tcPr>
            <w:tcW w:w="564" w:type="dxa"/>
            <w:tcBorders>
              <w:bottom w:val="single" w:sz="4" w:space="0" w:color="8EA9DB"/>
            </w:tcBorders>
          </w:tcPr>
          <w:p w:rsidR="003E7CF5" w:rsidRDefault="003E7CF5">
            <w:pPr>
              <w:pStyle w:val="TableParagraph"/>
              <w:rPr>
                <w:sz w:val="20"/>
              </w:rPr>
            </w:pPr>
          </w:p>
        </w:tc>
        <w:tc>
          <w:tcPr>
            <w:tcW w:w="517" w:type="dxa"/>
            <w:tcBorders>
              <w:bottom w:val="single" w:sz="4" w:space="0" w:color="8EA9DB"/>
            </w:tcBorders>
          </w:tcPr>
          <w:p w:rsidR="003E7CF5" w:rsidRDefault="003E7CF5">
            <w:pPr>
              <w:pStyle w:val="TableParagraph"/>
              <w:rPr>
                <w:sz w:val="20"/>
              </w:rPr>
            </w:pPr>
          </w:p>
        </w:tc>
        <w:tc>
          <w:tcPr>
            <w:tcW w:w="614" w:type="dxa"/>
            <w:tcBorders>
              <w:bottom w:val="single" w:sz="4" w:space="0" w:color="8EA9DB"/>
            </w:tcBorders>
          </w:tcPr>
          <w:p w:rsidR="003E7CF5" w:rsidRDefault="00024B00">
            <w:pPr>
              <w:pStyle w:val="TableParagraph"/>
              <w:spacing w:before="53"/>
              <w:ind w:right="98"/>
              <w:jc w:val="center"/>
            </w:pPr>
            <w:r>
              <w:t>1</w:t>
            </w:r>
          </w:p>
        </w:tc>
        <w:tc>
          <w:tcPr>
            <w:tcW w:w="519" w:type="dxa"/>
            <w:tcBorders>
              <w:bottom w:val="single" w:sz="4" w:space="0" w:color="8EA9DB"/>
            </w:tcBorders>
          </w:tcPr>
          <w:p w:rsidR="003E7CF5" w:rsidRDefault="003E7CF5">
            <w:pPr>
              <w:pStyle w:val="TableParagraph"/>
              <w:rPr>
                <w:sz w:val="20"/>
              </w:rPr>
            </w:pPr>
          </w:p>
        </w:tc>
        <w:tc>
          <w:tcPr>
            <w:tcW w:w="652" w:type="dxa"/>
            <w:tcBorders>
              <w:bottom w:val="single" w:sz="4" w:space="0" w:color="8EA9DB"/>
            </w:tcBorders>
          </w:tcPr>
          <w:p w:rsidR="003E7CF5" w:rsidRDefault="003E7CF5">
            <w:pPr>
              <w:pStyle w:val="TableParagraph"/>
              <w:rPr>
                <w:sz w:val="20"/>
              </w:rPr>
            </w:pPr>
          </w:p>
        </w:tc>
        <w:tc>
          <w:tcPr>
            <w:tcW w:w="625" w:type="dxa"/>
            <w:tcBorders>
              <w:bottom w:val="single" w:sz="4" w:space="0" w:color="8EA9DB"/>
            </w:tcBorders>
          </w:tcPr>
          <w:p w:rsidR="003E7CF5" w:rsidRDefault="003E7CF5">
            <w:pPr>
              <w:pStyle w:val="TableParagraph"/>
              <w:rPr>
                <w:sz w:val="20"/>
              </w:rPr>
            </w:pPr>
          </w:p>
        </w:tc>
        <w:tc>
          <w:tcPr>
            <w:tcW w:w="532" w:type="dxa"/>
            <w:tcBorders>
              <w:bottom w:val="single" w:sz="4" w:space="0" w:color="8EA9DB"/>
              <w:right w:val="single" w:sz="4" w:space="0" w:color="4471C4"/>
            </w:tcBorders>
          </w:tcPr>
          <w:p w:rsidR="003E7CF5" w:rsidRDefault="003E7CF5">
            <w:pPr>
              <w:pStyle w:val="TableParagraph"/>
              <w:rPr>
                <w:sz w:val="20"/>
              </w:rPr>
            </w:pPr>
          </w:p>
        </w:tc>
        <w:tc>
          <w:tcPr>
            <w:tcW w:w="600" w:type="dxa"/>
            <w:tcBorders>
              <w:left w:val="single" w:sz="4" w:space="0" w:color="4471C4"/>
            </w:tcBorders>
            <w:shd w:val="clear" w:color="auto" w:fill="D0CECE"/>
          </w:tcPr>
          <w:p w:rsidR="003E7CF5" w:rsidRDefault="00024B00">
            <w:pPr>
              <w:pStyle w:val="TableParagraph"/>
              <w:spacing w:before="53"/>
              <w:ind w:right="86"/>
              <w:jc w:val="right"/>
              <w:rPr>
                <w:b/>
              </w:rPr>
            </w:pPr>
            <w:r>
              <w:rPr>
                <w:b/>
              </w:rPr>
              <w:t>1</w:t>
            </w:r>
          </w:p>
        </w:tc>
        <w:tc>
          <w:tcPr>
            <w:tcW w:w="540" w:type="dxa"/>
            <w:shd w:val="clear" w:color="auto" w:fill="D0CECE"/>
          </w:tcPr>
          <w:p w:rsidR="003E7CF5" w:rsidRDefault="00024B00">
            <w:pPr>
              <w:pStyle w:val="TableParagraph"/>
              <w:spacing w:before="87"/>
              <w:ind w:right="59"/>
              <w:jc w:val="right"/>
              <w:rPr>
                <w:i/>
                <w:sz w:val="20"/>
              </w:rPr>
            </w:pPr>
            <w:r>
              <w:rPr>
                <w:i/>
                <w:sz w:val="20"/>
              </w:rPr>
              <w:t>2%</w:t>
            </w:r>
          </w:p>
        </w:tc>
      </w:tr>
      <w:tr w:rsidR="003E7CF5">
        <w:trPr>
          <w:trHeight w:val="320"/>
        </w:trPr>
        <w:tc>
          <w:tcPr>
            <w:tcW w:w="1178" w:type="dxa"/>
            <w:tcBorders>
              <w:top w:val="single" w:sz="4" w:space="0" w:color="8EA9DB"/>
            </w:tcBorders>
            <w:shd w:val="clear" w:color="auto" w:fill="D0CECE"/>
          </w:tcPr>
          <w:p w:rsidR="003E7CF5" w:rsidRDefault="00024B00">
            <w:pPr>
              <w:pStyle w:val="TableParagraph"/>
              <w:spacing w:line="253" w:lineRule="exact"/>
              <w:ind w:left="70"/>
              <w:rPr>
                <w:b/>
              </w:rPr>
            </w:pPr>
            <w:r>
              <w:rPr>
                <w:b/>
              </w:rPr>
              <w:t>Total</w:t>
            </w:r>
          </w:p>
        </w:tc>
        <w:tc>
          <w:tcPr>
            <w:tcW w:w="798" w:type="dxa"/>
            <w:tcBorders>
              <w:top w:val="single" w:sz="4" w:space="0" w:color="8EA9DB"/>
            </w:tcBorders>
            <w:shd w:val="clear" w:color="auto" w:fill="D0CECE"/>
          </w:tcPr>
          <w:p w:rsidR="003E7CF5" w:rsidRDefault="00024B00">
            <w:pPr>
              <w:pStyle w:val="TableParagraph"/>
              <w:spacing w:line="253" w:lineRule="exact"/>
              <w:ind w:left="407"/>
              <w:rPr>
                <w:b/>
              </w:rPr>
            </w:pPr>
            <w:r>
              <w:rPr>
                <w:b/>
              </w:rPr>
              <w:t>5</w:t>
            </w:r>
          </w:p>
        </w:tc>
        <w:tc>
          <w:tcPr>
            <w:tcW w:w="537" w:type="dxa"/>
            <w:tcBorders>
              <w:top w:val="single" w:sz="4" w:space="0" w:color="8EA9DB"/>
            </w:tcBorders>
            <w:shd w:val="clear" w:color="auto" w:fill="D0CECE"/>
          </w:tcPr>
          <w:p w:rsidR="003E7CF5" w:rsidRDefault="00024B00">
            <w:pPr>
              <w:pStyle w:val="TableParagraph"/>
              <w:spacing w:line="253" w:lineRule="exact"/>
              <w:ind w:right="134"/>
              <w:jc w:val="center"/>
              <w:rPr>
                <w:b/>
              </w:rPr>
            </w:pPr>
            <w:r>
              <w:rPr>
                <w:b/>
              </w:rPr>
              <w:t>3</w:t>
            </w:r>
          </w:p>
        </w:tc>
        <w:tc>
          <w:tcPr>
            <w:tcW w:w="684" w:type="dxa"/>
            <w:tcBorders>
              <w:top w:val="single" w:sz="4" w:space="0" w:color="8EA9DB"/>
            </w:tcBorders>
            <w:shd w:val="clear" w:color="auto" w:fill="D0CECE"/>
          </w:tcPr>
          <w:p w:rsidR="003E7CF5" w:rsidRDefault="00024B00">
            <w:pPr>
              <w:pStyle w:val="TableParagraph"/>
              <w:spacing w:line="253" w:lineRule="exact"/>
              <w:ind w:left="198"/>
              <w:rPr>
                <w:b/>
              </w:rPr>
            </w:pPr>
            <w:r>
              <w:rPr>
                <w:b/>
              </w:rPr>
              <w:t>6</w:t>
            </w:r>
          </w:p>
        </w:tc>
        <w:tc>
          <w:tcPr>
            <w:tcW w:w="639" w:type="dxa"/>
            <w:tcBorders>
              <w:top w:val="single" w:sz="4" w:space="0" w:color="8EA9DB"/>
            </w:tcBorders>
            <w:shd w:val="clear" w:color="auto" w:fill="D0CECE"/>
          </w:tcPr>
          <w:p w:rsidR="003E7CF5" w:rsidRDefault="00024B00">
            <w:pPr>
              <w:pStyle w:val="TableParagraph"/>
              <w:spacing w:line="253" w:lineRule="exact"/>
              <w:ind w:left="149"/>
              <w:rPr>
                <w:b/>
              </w:rPr>
            </w:pPr>
            <w:r>
              <w:rPr>
                <w:b/>
              </w:rPr>
              <w:t>2</w:t>
            </w:r>
          </w:p>
        </w:tc>
        <w:tc>
          <w:tcPr>
            <w:tcW w:w="348" w:type="dxa"/>
            <w:tcBorders>
              <w:top w:val="single" w:sz="4" w:space="0" w:color="8EA9DB"/>
            </w:tcBorders>
            <w:shd w:val="clear" w:color="auto" w:fill="D0CECE"/>
          </w:tcPr>
          <w:p w:rsidR="003E7CF5" w:rsidRDefault="00024B00">
            <w:pPr>
              <w:pStyle w:val="TableParagraph"/>
              <w:spacing w:line="253" w:lineRule="exact"/>
              <w:ind w:right="10"/>
              <w:jc w:val="right"/>
              <w:rPr>
                <w:b/>
              </w:rPr>
            </w:pPr>
            <w:r>
              <w:rPr>
                <w:b/>
              </w:rPr>
              <w:t>1</w:t>
            </w:r>
          </w:p>
        </w:tc>
        <w:tc>
          <w:tcPr>
            <w:tcW w:w="430" w:type="dxa"/>
            <w:tcBorders>
              <w:top w:val="single" w:sz="4" w:space="0" w:color="8EA9DB"/>
            </w:tcBorders>
            <w:shd w:val="clear" w:color="auto" w:fill="D0CECE"/>
          </w:tcPr>
          <w:p w:rsidR="003E7CF5" w:rsidRDefault="003E7CF5">
            <w:pPr>
              <w:pStyle w:val="TableParagraph"/>
              <w:rPr>
                <w:sz w:val="20"/>
              </w:rPr>
            </w:pPr>
          </w:p>
        </w:tc>
        <w:tc>
          <w:tcPr>
            <w:tcW w:w="564" w:type="dxa"/>
            <w:tcBorders>
              <w:top w:val="single" w:sz="4" w:space="0" w:color="8EA9DB"/>
            </w:tcBorders>
            <w:shd w:val="clear" w:color="auto" w:fill="D0CECE"/>
          </w:tcPr>
          <w:p w:rsidR="003E7CF5" w:rsidRDefault="00024B00">
            <w:pPr>
              <w:pStyle w:val="TableParagraph"/>
              <w:spacing w:line="253" w:lineRule="exact"/>
              <w:ind w:left="153"/>
              <w:rPr>
                <w:b/>
              </w:rPr>
            </w:pPr>
            <w:r>
              <w:rPr>
                <w:b/>
              </w:rPr>
              <w:t>4</w:t>
            </w:r>
          </w:p>
        </w:tc>
        <w:tc>
          <w:tcPr>
            <w:tcW w:w="517" w:type="dxa"/>
            <w:tcBorders>
              <w:top w:val="single" w:sz="4" w:space="0" w:color="8EA9DB"/>
            </w:tcBorders>
            <w:shd w:val="clear" w:color="auto" w:fill="D0CECE"/>
          </w:tcPr>
          <w:p w:rsidR="003E7CF5" w:rsidRDefault="00024B00">
            <w:pPr>
              <w:pStyle w:val="TableParagraph"/>
              <w:spacing w:line="253" w:lineRule="exact"/>
              <w:ind w:left="154"/>
              <w:rPr>
                <w:b/>
              </w:rPr>
            </w:pPr>
            <w:r>
              <w:rPr>
                <w:b/>
              </w:rPr>
              <w:t>3</w:t>
            </w:r>
          </w:p>
        </w:tc>
        <w:tc>
          <w:tcPr>
            <w:tcW w:w="614" w:type="dxa"/>
            <w:tcBorders>
              <w:top w:val="single" w:sz="4" w:space="0" w:color="8EA9DB"/>
            </w:tcBorders>
            <w:shd w:val="clear" w:color="auto" w:fill="D0CECE"/>
          </w:tcPr>
          <w:p w:rsidR="003E7CF5" w:rsidRDefault="00024B00">
            <w:pPr>
              <w:pStyle w:val="TableParagraph"/>
              <w:spacing w:line="253" w:lineRule="exact"/>
              <w:ind w:right="98"/>
              <w:jc w:val="center"/>
              <w:rPr>
                <w:b/>
              </w:rPr>
            </w:pPr>
            <w:r>
              <w:rPr>
                <w:b/>
              </w:rPr>
              <w:t>6</w:t>
            </w:r>
          </w:p>
        </w:tc>
        <w:tc>
          <w:tcPr>
            <w:tcW w:w="519" w:type="dxa"/>
            <w:tcBorders>
              <w:top w:val="single" w:sz="4" w:space="0" w:color="8EA9DB"/>
            </w:tcBorders>
            <w:shd w:val="clear" w:color="auto" w:fill="D0CECE"/>
          </w:tcPr>
          <w:p w:rsidR="003E7CF5" w:rsidRDefault="00024B00">
            <w:pPr>
              <w:pStyle w:val="TableParagraph"/>
              <w:spacing w:line="253" w:lineRule="exact"/>
              <w:ind w:left="158"/>
              <w:rPr>
                <w:b/>
              </w:rPr>
            </w:pPr>
            <w:r>
              <w:rPr>
                <w:b/>
              </w:rPr>
              <w:t>2</w:t>
            </w:r>
          </w:p>
        </w:tc>
        <w:tc>
          <w:tcPr>
            <w:tcW w:w="652" w:type="dxa"/>
            <w:tcBorders>
              <w:top w:val="single" w:sz="4" w:space="0" w:color="8EA9DB"/>
            </w:tcBorders>
            <w:shd w:val="clear" w:color="auto" w:fill="D0CECE"/>
          </w:tcPr>
          <w:p w:rsidR="003E7CF5" w:rsidRDefault="00024B00">
            <w:pPr>
              <w:pStyle w:val="TableParagraph"/>
              <w:spacing w:line="253" w:lineRule="exact"/>
              <w:ind w:right="130"/>
              <w:jc w:val="center"/>
              <w:rPr>
                <w:b/>
              </w:rPr>
            </w:pPr>
            <w:r>
              <w:rPr>
                <w:b/>
              </w:rPr>
              <w:t>6</w:t>
            </w:r>
          </w:p>
        </w:tc>
        <w:tc>
          <w:tcPr>
            <w:tcW w:w="625" w:type="dxa"/>
            <w:tcBorders>
              <w:top w:val="single" w:sz="4" w:space="0" w:color="8EA9DB"/>
            </w:tcBorders>
            <w:shd w:val="clear" w:color="auto" w:fill="D0CECE"/>
          </w:tcPr>
          <w:p w:rsidR="003E7CF5" w:rsidRDefault="00024B00">
            <w:pPr>
              <w:pStyle w:val="TableParagraph"/>
              <w:spacing w:line="253" w:lineRule="exact"/>
              <w:ind w:left="197"/>
              <w:rPr>
                <w:b/>
              </w:rPr>
            </w:pPr>
            <w:r>
              <w:rPr>
                <w:b/>
              </w:rPr>
              <w:t>5</w:t>
            </w:r>
          </w:p>
        </w:tc>
        <w:tc>
          <w:tcPr>
            <w:tcW w:w="532" w:type="dxa"/>
            <w:tcBorders>
              <w:top w:val="single" w:sz="4" w:space="0" w:color="8EA9DB"/>
            </w:tcBorders>
            <w:shd w:val="clear" w:color="auto" w:fill="D0CECE"/>
          </w:tcPr>
          <w:p w:rsidR="003E7CF5" w:rsidRDefault="00024B00">
            <w:pPr>
              <w:pStyle w:val="TableParagraph"/>
              <w:spacing w:line="253" w:lineRule="exact"/>
              <w:ind w:left="23" w:right="37"/>
              <w:jc w:val="center"/>
              <w:rPr>
                <w:b/>
              </w:rPr>
            </w:pPr>
            <w:r>
              <w:rPr>
                <w:b/>
              </w:rPr>
              <w:t>10</w:t>
            </w:r>
          </w:p>
        </w:tc>
        <w:tc>
          <w:tcPr>
            <w:tcW w:w="600" w:type="dxa"/>
            <w:shd w:val="clear" w:color="auto" w:fill="D0CECE"/>
          </w:tcPr>
          <w:p w:rsidR="003E7CF5" w:rsidRDefault="00024B00">
            <w:pPr>
              <w:pStyle w:val="TableParagraph"/>
              <w:spacing w:line="253" w:lineRule="exact"/>
              <w:ind w:right="86"/>
              <w:jc w:val="right"/>
              <w:rPr>
                <w:b/>
              </w:rPr>
            </w:pPr>
            <w:r>
              <w:rPr>
                <w:b/>
              </w:rPr>
              <w:t>53</w:t>
            </w:r>
          </w:p>
        </w:tc>
        <w:tc>
          <w:tcPr>
            <w:tcW w:w="540" w:type="dxa"/>
            <w:vMerge w:val="restart"/>
            <w:shd w:val="clear" w:color="auto" w:fill="D0CECE"/>
          </w:tcPr>
          <w:p w:rsidR="003E7CF5" w:rsidRDefault="003E7CF5">
            <w:pPr>
              <w:pStyle w:val="TableParagraph"/>
              <w:rPr>
                <w:sz w:val="20"/>
              </w:rPr>
            </w:pPr>
          </w:p>
        </w:tc>
      </w:tr>
      <w:tr w:rsidR="003E7CF5">
        <w:trPr>
          <w:trHeight w:val="439"/>
        </w:trPr>
        <w:tc>
          <w:tcPr>
            <w:tcW w:w="1178" w:type="dxa"/>
            <w:shd w:val="clear" w:color="auto" w:fill="D0CECE"/>
          </w:tcPr>
          <w:p w:rsidR="003E7CF5" w:rsidRDefault="00024B00">
            <w:pPr>
              <w:pStyle w:val="TableParagraph"/>
              <w:spacing w:before="59"/>
              <w:ind w:left="70"/>
              <w:rPr>
                <w:b/>
              </w:rPr>
            </w:pPr>
            <w:r>
              <w:rPr>
                <w:b/>
              </w:rPr>
              <w:t>général</w:t>
            </w:r>
          </w:p>
        </w:tc>
        <w:tc>
          <w:tcPr>
            <w:tcW w:w="798" w:type="dxa"/>
            <w:shd w:val="clear" w:color="auto" w:fill="D0CECE"/>
          </w:tcPr>
          <w:p w:rsidR="003E7CF5" w:rsidRDefault="00024B00">
            <w:pPr>
              <w:pStyle w:val="TableParagraph"/>
              <w:spacing w:before="72"/>
              <w:ind w:left="432"/>
              <w:rPr>
                <w:i/>
                <w:sz w:val="20"/>
              </w:rPr>
            </w:pPr>
            <w:r>
              <w:rPr>
                <w:i/>
                <w:sz w:val="20"/>
              </w:rPr>
              <w:t>9%</w:t>
            </w:r>
          </w:p>
        </w:tc>
        <w:tc>
          <w:tcPr>
            <w:tcW w:w="537" w:type="dxa"/>
            <w:shd w:val="clear" w:color="auto" w:fill="D0CECE"/>
          </w:tcPr>
          <w:p w:rsidR="003E7CF5" w:rsidRDefault="00024B00">
            <w:pPr>
              <w:pStyle w:val="TableParagraph"/>
              <w:spacing w:before="72"/>
              <w:ind w:left="81" w:right="149"/>
              <w:jc w:val="center"/>
              <w:rPr>
                <w:i/>
                <w:sz w:val="20"/>
              </w:rPr>
            </w:pPr>
            <w:r>
              <w:rPr>
                <w:i/>
                <w:sz w:val="20"/>
              </w:rPr>
              <w:t>6%</w:t>
            </w:r>
          </w:p>
        </w:tc>
        <w:tc>
          <w:tcPr>
            <w:tcW w:w="684" w:type="dxa"/>
            <w:shd w:val="clear" w:color="auto" w:fill="D0CECE"/>
          </w:tcPr>
          <w:p w:rsidR="003E7CF5" w:rsidRDefault="00024B00">
            <w:pPr>
              <w:pStyle w:val="TableParagraph"/>
              <w:spacing w:before="72"/>
              <w:ind w:left="173"/>
              <w:rPr>
                <w:i/>
                <w:sz w:val="20"/>
              </w:rPr>
            </w:pPr>
            <w:r>
              <w:rPr>
                <w:i/>
                <w:sz w:val="20"/>
              </w:rPr>
              <w:t>11%</w:t>
            </w:r>
          </w:p>
        </w:tc>
        <w:tc>
          <w:tcPr>
            <w:tcW w:w="639" w:type="dxa"/>
            <w:shd w:val="clear" w:color="auto" w:fill="D0CECE"/>
          </w:tcPr>
          <w:p w:rsidR="003E7CF5" w:rsidRDefault="00024B00">
            <w:pPr>
              <w:pStyle w:val="TableParagraph"/>
              <w:spacing w:before="72"/>
              <w:ind w:left="154"/>
              <w:rPr>
                <w:i/>
                <w:sz w:val="20"/>
              </w:rPr>
            </w:pPr>
            <w:r>
              <w:rPr>
                <w:i/>
                <w:sz w:val="20"/>
              </w:rPr>
              <w:t>4%</w:t>
            </w:r>
          </w:p>
        </w:tc>
        <w:tc>
          <w:tcPr>
            <w:tcW w:w="348" w:type="dxa"/>
            <w:shd w:val="clear" w:color="auto" w:fill="D0CECE"/>
          </w:tcPr>
          <w:p w:rsidR="003E7CF5" w:rsidRDefault="003E7CF5">
            <w:pPr>
              <w:pStyle w:val="TableParagraph"/>
              <w:rPr>
                <w:sz w:val="20"/>
              </w:rPr>
            </w:pPr>
          </w:p>
        </w:tc>
        <w:tc>
          <w:tcPr>
            <w:tcW w:w="430" w:type="dxa"/>
            <w:shd w:val="clear" w:color="auto" w:fill="D0CECE"/>
          </w:tcPr>
          <w:p w:rsidR="003E7CF5" w:rsidRDefault="00024B00">
            <w:pPr>
              <w:pStyle w:val="TableParagraph"/>
              <w:spacing w:before="72"/>
              <w:ind w:left="23"/>
              <w:rPr>
                <w:i/>
                <w:sz w:val="20"/>
              </w:rPr>
            </w:pPr>
            <w:r>
              <w:rPr>
                <w:i/>
                <w:sz w:val="20"/>
              </w:rPr>
              <w:t>2%</w:t>
            </w:r>
          </w:p>
        </w:tc>
        <w:tc>
          <w:tcPr>
            <w:tcW w:w="564" w:type="dxa"/>
            <w:shd w:val="clear" w:color="auto" w:fill="D0CECE"/>
          </w:tcPr>
          <w:p w:rsidR="003E7CF5" w:rsidRDefault="00024B00">
            <w:pPr>
              <w:pStyle w:val="TableParagraph"/>
              <w:spacing w:before="72"/>
              <w:ind w:left="158"/>
              <w:rPr>
                <w:i/>
                <w:sz w:val="20"/>
              </w:rPr>
            </w:pPr>
            <w:r>
              <w:rPr>
                <w:i/>
                <w:sz w:val="20"/>
              </w:rPr>
              <w:t>8%</w:t>
            </w:r>
          </w:p>
        </w:tc>
        <w:tc>
          <w:tcPr>
            <w:tcW w:w="517" w:type="dxa"/>
            <w:shd w:val="clear" w:color="auto" w:fill="D0CECE"/>
          </w:tcPr>
          <w:p w:rsidR="003E7CF5" w:rsidRDefault="00024B00">
            <w:pPr>
              <w:pStyle w:val="TableParagraph"/>
              <w:spacing w:before="72"/>
              <w:ind w:left="159"/>
              <w:rPr>
                <w:i/>
                <w:sz w:val="20"/>
              </w:rPr>
            </w:pPr>
            <w:r>
              <w:rPr>
                <w:i/>
                <w:sz w:val="20"/>
              </w:rPr>
              <w:t>6%</w:t>
            </w:r>
          </w:p>
        </w:tc>
        <w:tc>
          <w:tcPr>
            <w:tcW w:w="614" w:type="dxa"/>
            <w:shd w:val="clear" w:color="auto" w:fill="D0CECE"/>
          </w:tcPr>
          <w:p w:rsidR="003E7CF5" w:rsidRDefault="00024B00">
            <w:pPr>
              <w:pStyle w:val="TableParagraph"/>
              <w:spacing w:before="72"/>
              <w:ind w:left="88" w:right="118"/>
              <w:jc w:val="center"/>
              <w:rPr>
                <w:i/>
                <w:sz w:val="20"/>
              </w:rPr>
            </w:pPr>
            <w:r>
              <w:rPr>
                <w:i/>
                <w:sz w:val="20"/>
              </w:rPr>
              <w:t>11%</w:t>
            </w:r>
          </w:p>
        </w:tc>
        <w:tc>
          <w:tcPr>
            <w:tcW w:w="519" w:type="dxa"/>
            <w:shd w:val="clear" w:color="auto" w:fill="D0CECE"/>
          </w:tcPr>
          <w:p w:rsidR="003E7CF5" w:rsidRDefault="00024B00">
            <w:pPr>
              <w:pStyle w:val="TableParagraph"/>
              <w:spacing w:before="72"/>
              <w:ind w:left="163"/>
              <w:rPr>
                <w:i/>
                <w:sz w:val="20"/>
              </w:rPr>
            </w:pPr>
            <w:r>
              <w:rPr>
                <w:i/>
                <w:sz w:val="20"/>
              </w:rPr>
              <w:t>4%</w:t>
            </w:r>
          </w:p>
        </w:tc>
        <w:tc>
          <w:tcPr>
            <w:tcW w:w="652" w:type="dxa"/>
            <w:shd w:val="clear" w:color="auto" w:fill="D0CECE"/>
          </w:tcPr>
          <w:p w:rsidR="003E7CF5" w:rsidRDefault="00024B00">
            <w:pPr>
              <w:pStyle w:val="TableParagraph"/>
              <w:spacing w:before="72"/>
              <w:ind w:left="91" w:right="154"/>
              <w:jc w:val="center"/>
              <w:rPr>
                <w:i/>
                <w:sz w:val="20"/>
              </w:rPr>
            </w:pPr>
            <w:r>
              <w:rPr>
                <w:i/>
                <w:sz w:val="20"/>
              </w:rPr>
              <w:t>11%</w:t>
            </w:r>
          </w:p>
        </w:tc>
        <w:tc>
          <w:tcPr>
            <w:tcW w:w="625" w:type="dxa"/>
            <w:shd w:val="clear" w:color="auto" w:fill="D0CECE"/>
          </w:tcPr>
          <w:p w:rsidR="003E7CF5" w:rsidRDefault="00024B00">
            <w:pPr>
              <w:pStyle w:val="TableParagraph"/>
              <w:spacing w:before="72"/>
              <w:ind w:left="272"/>
              <w:rPr>
                <w:i/>
                <w:sz w:val="20"/>
              </w:rPr>
            </w:pPr>
            <w:r>
              <w:rPr>
                <w:i/>
                <w:sz w:val="20"/>
              </w:rPr>
              <w:t>9%</w:t>
            </w:r>
          </w:p>
        </w:tc>
        <w:tc>
          <w:tcPr>
            <w:tcW w:w="532" w:type="dxa"/>
            <w:shd w:val="clear" w:color="auto" w:fill="D0CECE"/>
          </w:tcPr>
          <w:p w:rsidR="003E7CF5" w:rsidRDefault="00024B00">
            <w:pPr>
              <w:pStyle w:val="TableParagraph"/>
              <w:spacing w:before="72"/>
              <w:ind w:left="88" w:right="37"/>
              <w:jc w:val="center"/>
              <w:rPr>
                <w:i/>
                <w:sz w:val="20"/>
              </w:rPr>
            </w:pPr>
            <w:r>
              <w:rPr>
                <w:i/>
                <w:sz w:val="20"/>
              </w:rPr>
              <w:t>19%</w:t>
            </w:r>
          </w:p>
        </w:tc>
        <w:tc>
          <w:tcPr>
            <w:tcW w:w="600" w:type="dxa"/>
            <w:shd w:val="clear" w:color="auto" w:fill="D0CECE"/>
          </w:tcPr>
          <w:p w:rsidR="003E7CF5" w:rsidRDefault="003E7CF5">
            <w:pPr>
              <w:pStyle w:val="TableParagraph"/>
              <w:rPr>
                <w:sz w:val="20"/>
              </w:rPr>
            </w:pPr>
          </w:p>
        </w:tc>
        <w:tc>
          <w:tcPr>
            <w:tcW w:w="540" w:type="dxa"/>
            <w:vMerge/>
            <w:tcBorders>
              <w:top w:val="nil"/>
            </w:tcBorders>
            <w:shd w:val="clear" w:color="auto" w:fill="D0CECE"/>
          </w:tcPr>
          <w:p w:rsidR="003E7CF5" w:rsidRDefault="003E7CF5">
            <w:pPr>
              <w:rPr>
                <w:sz w:val="2"/>
                <w:szCs w:val="2"/>
              </w:rPr>
            </w:pPr>
          </w:p>
        </w:tc>
      </w:tr>
    </w:tbl>
    <w:p w:rsidR="003E7CF5" w:rsidRDefault="003E7CF5">
      <w:pPr>
        <w:pStyle w:val="Corpsdetexte"/>
        <w:rPr>
          <w:sz w:val="20"/>
        </w:rPr>
      </w:pPr>
    </w:p>
    <w:p w:rsidR="003E7CF5" w:rsidRDefault="003E7CF5">
      <w:pPr>
        <w:pStyle w:val="Corpsdetexte"/>
        <w:spacing w:before="9"/>
        <w:rPr>
          <w:b/>
        </w:rPr>
      </w:pPr>
      <w:bookmarkStart w:id="27" w:name="Observation_et_analyses_des_résultats"/>
      <w:bookmarkStart w:id="28" w:name="_bookmark30"/>
      <w:bookmarkEnd w:id="27"/>
      <w:bookmarkEnd w:id="28"/>
    </w:p>
    <w:p w:rsidR="003E7CF5" w:rsidRPr="00481040" w:rsidRDefault="00024B00" w:rsidP="008C59C3">
      <w:pPr>
        <w:pStyle w:val="Corpsdetexte"/>
        <w:spacing w:before="240" w:after="240" w:line="360" w:lineRule="auto"/>
        <w:ind w:right="50"/>
        <w:rPr>
          <w:b/>
        </w:rPr>
      </w:pPr>
      <w:bookmarkStart w:id="29" w:name="Analyse_totale_de_l’échantillon"/>
      <w:bookmarkEnd w:id="29"/>
      <w:r w:rsidRPr="00481040">
        <w:rPr>
          <w:b/>
        </w:rPr>
        <w:t>Analyse totale de l’échantillon</w:t>
      </w:r>
    </w:p>
    <w:p w:rsidR="003E7CF5" w:rsidRDefault="00024B00" w:rsidP="008C59C3">
      <w:pPr>
        <w:pStyle w:val="Corpsdetexte"/>
        <w:spacing w:before="240" w:after="240" w:line="360" w:lineRule="auto"/>
        <w:ind w:right="50"/>
        <w:jc w:val="both"/>
      </w:pPr>
      <w:r>
        <w:t>La première analyse porte sur l’hypothèse selon laquelle, il existe une corrélation entre l’annonce d’une</w:t>
      </w:r>
      <w:r>
        <w:rPr>
          <w:spacing w:val="-14"/>
        </w:rPr>
        <w:t xml:space="preserve"> </w:t>
      </w:r>
      <w:r>
        <w:t>faille</w:t>
      </w:r>
      <w:r>
        <w:rPr>
          <w:spacing w:val="-8"/>
        </w:rPr>
        <w:t xml:space="preserve"> </w:t>
      </w:r>
      <w:r>
        <w:t>de</w:t>
      </w:r>
      <w:r>
        <w:rPr>
          <w:spacing w:val="-13"/>
        </w:rPr>
        <w:t xml:space="preserve"> </w:t>
      </w:r>
      <w:r>
        <w:t>sécurité</w:t>
      </w:r>
      <w:r>
        <w:rPr>
          <w:spacing w:val="-9"/>
        </w:rPr>
        <w:t xml:space="preserve"> </w:t>
      </w:r>
      <w:r>
        <w:t>et</w:t>
      </w:r>
      <w:r>
        <w:rPr>
          <w:spacing w:val="-8"/>
        </w:rPr>
        <w:t xml:space="preserve"> </w:t>
      </w:r>
      <w:r>
        <w:t>le</w:t>
      </w:r>
      <w:r>
        <w:rPr>
          <w:spacing w:val="-8"/>
        </w:rPr>
        <w:t xml:space="preserve"> </w:t>
      </w:r>
      <w:r>
        <w:t>rendement</w:t>
      </w:r>
      <w:r>
        <w:rPr>
          <w:spacing w:val="-9"/>
        </w:rPr>
        <w:t xml:space="preserve"> </w:t>
      </w:r>
      <w:r>
        <w:t>anormalement</w:t>
      </w:r>
      <w:r>
        <w:rPr>
          <w:spacing w:val="-8"/>
        </w:rPr>
        <w:t xml:space="preserve"> </w:t>
      </w:r>
      <w:r>
        <w:t>négatif</w:t>
      </w:r>
      <w:r>
        <w:rPr>
          <w:spacing w:val="-10"/>
        </w:rPr>
        <w:t xml:space="preserve"> </w:t>
      </w:r>
      <w:r>
        <w:t>des</w:t>
      </w:r>
      <w:r>
        <w:rPr>
          <w:spacing w:val="-6"/>
        </w:rPr>
        <w:t xml:space="preserve"> </w:t>
      </w:r>
      <w:r>
        <w:t>actions</w:t>
      </w:r>
      <w:r>
        <w:rPr>
          <w:spacing w:val="-10"/>
        </w:rPr>
        <w:t xml:space="preserve"> </w:t>
      </w:r>
      <w:r>
        <w:t>de</w:t>
      </w:r>
      <w:r>
        <w:rPr>
          <w:spacing w:val="-13"/>
        </w:rPr>
        <w:t xml:space="preserve"> </w:t>
      </w:r>
      <w:r>
        <w:t>notre</w:t>
      </w:r>
      <w:r>
        <w:rPr>
          <w:spacing w:val="-13"/>
        </w:rPr>
        <w:t xml:space="preserve"> </w:t>
      </w:r>
      <w:r>
        <w:t>échantillon.</w:t>
      </w:r>
      <w:r>
        <w:rPr>
          <w:spacing w:val="-7"/>
        </w:rPr>
        <w:t xml:space="preserve"> </w:t>
      </w:r>
      <w:r>
        <w:t>Huit fenêtres</w:t>
      </w:r>
      <w:r>
        <w:rPr>
          <w:spacing w:val="-11"/>
        </w:rPr>
        <w:t xml:space="preserve"> </w:t>
      </w:r>
      <w:r>
        <w:t>d’analyse</w:t>
      </w:r>
      <w:r>
        <w:rPr>
          <w:spacing w:val="-13"/>
        </w:rPr>
        <w:t xml:space="preserve"> </w:t>
      </w:r>
      <w:r>
        <w:t>ont</w:t>
      </w:r>
      <w:r>
        <w:rPr>
          <w:spacing w:val="-12"/>
        </w:rPr>
        <w:t xml:space="preserve"> </w:t>
      </w:r>
      <w:r>
        <w:t>été</w:t>
      </w:r>
      <w:r>
        <w:rPr>
          <w:spacing w:val="-13"/>
        </w:rPr>
        <w:t xml:space="preserve"> </w:t>
      </w:r>
      <w:r>
        <w:t>constituées.</w:t>
      </w:r>
      <w:r>
        <w:rPr>
          <w:spacing w:val="-12"/>
        </w:rPr>
        <w:t xml:space="preserve"> </w:t>
      </w:r>
      <w:r>
        <w:t>La</w:t>
      </w:r>
      <w:r>
        <w:rPr>
          <w:spacing w:val="-14"/>
        </w:rPr>
        <w:t xml:space="preserve"> </w:t>
      </w:r>
      <w:r>
        <w:t>moitié</w:t>
      </w:r>
      <w:r>
        <w:rPr>
          <w:spacing w:val="-13"/>
        </w:rPr>
        <w:t xml:space="preserve"> </w:t>
      </w:r>
      <w:r>
        <w:t>d’entre</w:t>
      </w:r>
      <w:r>
        <w:rPr>
          <w:spacing w:val="-13"/>
        </w:rPr>
        <w:t xml:space="preserve"> </w:t>
      </w:r>
      <w:r>
        <w:t>elles</w:t>
      </w:r>
      <w:r>
        <w:rPr>
          <w:spacing w:val="-11"/>
        </w:rPr>
        <w:t xml:space="preserve"> </w:t>
      </w:r>
      <w:r>
        <w:t>sont</w:t>
      </w:r>
      <w:r>
        <w:rPr>
          <w:spacing w:val="-13"/>
        </w:rPr>
        <w:t xml:space="preserve"> </w:t>
      </w:r>
      <w:r>
        <w:t>des</w:t>
      </w:r>
      <w:r>
        <w:rPr>
          <w:spacing w:val="-5"/>
        </w:rPr>
        <w:t xml:space="preserve"> </w:t>
      </w:r>
      <w:r>
        <w:t>fenêtres</w:t>
      </w:r>
      <w:r>
        <w:rPr>
          <w:spacing w:val="-10"/>
        </w:rPr>
        <w:t xml:space="preserve"> </w:t>
      </w:r>
      <w:r>
        <w:t>qui</w:t>
      </w:r>
      <w:r>
        <w:rPr>
          <w:spacing w:val="-9"/>
        </w:rPr>
        <w:t xml:space="preserve"> </w:t>
      </w:r>
      <w:r>
        <w:t>encadrent</w:t>
      </w:r>
      <w:r>
        <w:rPr>
          <w:spacing w:val="-13"/>
        </w:rPr>
        <w:t xml:space="preserve"> </w:t>
      </w:r>
      <w:r>
        <w:t>le</w:t>
      </w:r>
      <w:r>
        <w:rPr>
          <w:spacing w:val="-13"/>
        </w:rPr>
        <w:t xml:space="preserve"> </w:t>
      </w:r>
      <w:r>
        <w:t>jour de l’annonce (t =0) à quelques jours près, soit [0 ; 1], [0 ; 3], [-1 ; 1] et [-1 ; 3]. Ces fenêtres sont les plus intéressantes à étudier puisqu’aujourd’hui, 55% des entreprises affirment avoir contrôlé l’attaque dans les 24h alors que 88% d’entre elles sont détectées en moins d’une journée. (Accenture, 2020) Quatre autres fenêtres, plus larges autour de l’évènement ont également été étudiées afin de mesurer l’impact de l’annonce sur le moyen terme. Ces fenêtres sont : [-1 ; 5], [ - 1 ; 10], [-1 ; 15] et [-1 ;</w:t>
      </w:r>
      <w:r>
        <w:rPr>
          <w:spacing w:val="-4"/>
        </w:rPr>
        <w:t xml:space="preserve"> </w:t>
      </w:r>
      <w:r>
        <w:t>20].</w:t>
      </w:r>
    </w:p>
    <w:p w:rsidR="003E7CF5" w:rsidRDefault="00024B00" w:rsidP="008C59C3">
      <w:pPr>
        <w:pStyle w:val="Corpsdetexte"/>
        <w:spacing w:before="240" w:after="240" w:line="360" w:lineRule="auto"/>
        <w:ind w:right="50"/>
        <w:jc w:val="both"/>
      </w:pPr>
      <w:r>
        <w:t>Pour</w:t>
      </w:r>
      <w:r>
        <w:rPr>
          <w:spacing w:val="-16"/>
        </w:rPr>
        <w:t xml:space="preserve"> </w:t>
      </w:r>
      <w:r>
        <w:t>la</w:t>
      </w:r>
      <w:r>
        <w:rPr>
          <w:spacing w:val="-18"/>
        </w:rPr>
        <w:t xml:space="preserve"> </w:t>
      </w:r>
      <w:r>
        <w:t>fenêtre</w:t>
      </w:r>
      <w:r>
        <w:rPr>
          <w:spacing w:val="-18"/>
        </w:rPr>
        <w:t xml:space="preserve"> </w:t>
      </w:r>
      <w:r>
        <w:t>[0</w:t>
      </w:r>
      <w:r>
        <w:rPr>
          <w:spacing w:val="-1"/>
        </w:rPr>
        <w:t xml:space="preserve"> </w:t>
      </w:r>
      <w:r>
        <w:t>;</w:t>
      </w:r>
      <w:r>
        <w:rPr>
          <w:spacing w:val="-13"/>
        </w:rPr>
        <w:t xml:space="preserve"> </w:t>
      </w:r>
      <w:r>
        <w:t>1],</w:t>
      </w:r>
      <w:r>
        <w:rPr>
          <w:spacing w:val="-16"/>
        </w:rPr>
        <w:t xml:space="preserve"> </w:t>
      </w:r>
      <w:r>
        <w:t>la</w:t>
      </w:r>
      <w:r>
        <w:rPr>
          <w:spacing w:val="-13"/>
        </w:rPr>
        <w:t xml:space="preserve"> </w:t>
      </w:r>
      <w:r>
        <w:t>moyenne</w:t>
      </w:r>
      <w:r>
        <w:rPr>
          <w:spacing w:val="-18"/>
        </w:rPr>
        <w:t xml:space="preserve"> </w:t>
      </w:r>
      <w:r>
        <w:t>des</w:t>
      </w:r>
      <w:r>
        <w:rPr>
          <w:spacing w:val="-15"/>
        </w:rPr>
        <w:t xml:space="preserve"> </w:t>
      </w:r>
      <w:r>
        <w:t>rendements</w:t>
      </w:r>
      <w:r>
        <w:rPr>
          <w:spacing w:val="-15"/>
        </w:rPr>
        <w:t xml:space="preserve"> </w:t>
      </w:r>
      <w:r>
        <w:t>cumulés</w:t>
      </w:r>
      <w:r>
        <w:rPr>
          <w:spacing w:val="-10"/>
        </w:rPr>
        <w:t xml:space="preserve"> </w:t>
      </w:r>
      <w:r>
        <w:t>moyens</w:t>
      </w:r>
      <w:r>
        <w:rPr>
          <w:spacing w:val="-10"/>
        </w:rPr>
        <w:t xml:space="preserve"> </w:t>
      </w:r>
      <w:r>
        <w:t>est</w:t>
      </w:r>
      <w:r>
        <w:rPr>
          <w:spacing w:val="-17"/>
        </w:rPr>
        <w:t xml:space="preserve"> </w:t>
      </w:r>
      <w:r>
        <w:t>de</w:t>
      </w:r>
      <w:r>
        <w:rPr>
          <w:spacing w:val="-18"/>
        </w:rPr>
        <w:t xml:space="preserve"> </w:t>
      </w:r>
      <w:r>
        <w:t>–</w:t>
      </w:r>
      <w:r>
        <w:rPr>
          <w:spacing w:val="-12"/>
        </w:rPr>
        <w:t xml:space="preserve"> </w:t>
      </w:r>
      <w:r>
        <w:t>0,0068</w:t>
      </w:r>
      <w:r>
        <w:rPr>
          <w:spacing w:val="-16"/>
        </w:rPr>
        <w:t xml:space="preserve"> </w:t>
      </w:r>
      <w:r>
        <w:t>pour</w:t>
      </w:r>
      <w:r>
        <w:rPr>
          <w:spacing w:val="-16"/>
        </w:rPr>
        <w:t xml:space="preserve"> </w:t>
      </w:r>
      <w:r>
        <w:t>l’ensemble des entreprises de l’échantillon. Ce chiffre indique qu’entre le jour de l’annonce de la faille de sécurité</w:t>
      </w:r>
      <w:r>
        <w:rPr>
          <w:spacing w:val="-4"/>
        </w:rPr>
        <w:t xml:space="preserve"> </w:t>
      </w:r>
      <w:r>
        <w:t>et</w:t>
      </w:r>
      <w:r>
        <w:rPr>
          <w:spacing w:val="-4"/>
        </w:rPr>
        <w:t xml:space="preserve"> </w:t>
      </w:r>
      <w:r>
        <w:t>le</w:t>
      </w:r>
      <w:r>
        <w:rPr>
          <w:spacing w:val="-1"/>
        </w:rPr>
        <w:t xml:space="preserve"> </w:t>
      </w:r>
      <w:r>
        <w:t>jour</w:t>
      </w:r>
      <w:r>
        <w:rPr>
          <w:spacing w:val="-7"/>
        </w:rPr>
        <w:t xml:space="preserve"> </w:t>
      </w:r>
      <w:r>
        <w:t>suivant</w:t>
      </w:r>
      <w:r>
        <w:rPr>
          <w:spacing w:val="-8"/>
        </w:rPr>
        <w:t xml:space="preserve"> </w:t>
      </w:r>
      <w:r>
        <w:t>l’annonce,</w:t>
      </w:r>
      <w:r>
        <w:rPr>
          <w:spacing w:val="-3"/>
        </w:rPr>
        <w:t xml:space="preserve"> </w:t>
      </w:r>
      <w:r>
        <w:t>le</w:t>
      </w:r>
      <w:r>
        <w:rPr>
          <w:spacing w:val="-4"/>
        </w:rPr>
        <w:t xml:space="preserve"> </w:t>
      </w:r>
      <w:r>
        <w:t>portefeuille</w:t>
      </w:r>
      <w:r>
        <w:rPr>
          <w:spacing w:val="-8"/>
        </w:rPr>
        <w:t xml:space="preserve"> </w:t>
      </w:r>
      <w:r>
        <w:t>des</w:t>
      </w:r>
      <w:r>
        <w:rPr>
          <w:spacing w:val="-5"/>
        </w:rPr>
        <w:t xml:space="preserve"> </w:t>
      </w:r>
      <w:r>
        <w:t>entreprises</w:t>
      </w:r>
      <w:r>
        <w:rPr>
          <w:spacing w:val="-2"/>
        </w:rPr>
        <w:t xml:space="preserve"> </w:t>
      </w:r>
      <w:r>
        <w:t>a</w:t>
      </w:r>
      <w:r>
        <w:rPr>
          <w:spacing w:val="-9"/>
        </w:rPr>
        <w:t xml:space="preserve"> </w:t>
      </w:r>
      <w:r>
        <w:t>diminué</w:t>
      </w:r>
      <w:r>
        <w:rPr>
          <w:spacing w:val="-3"/>
        </w:rPr>
        <w:t xml:space="preserve"> </w:t>
      </w:r>
      <w:r>
        <w:t>de</w:t>
      </w:r>
      <w:r>
        <w:rPr>
          <w:spacing w:val="-9"/>
        </w:rPr>
        <w:t xml:space="preserve"> </w:t>
      </w:r>
      <w:r>
        <w:t>0,68%</w:t>
      </w:r>
      <w:r>
        <w:rPr>
          <w:spacing w:val="1"/>
        </w:rPr>
        <w:t xml:space="preserve"> </w:t>
      </w:r>
      <w:r>
        <w:t>par</w:t>
      </w:r>
      <w:r>
        <w:rPr>
          <w:spacing w:val="-8"/>
        </w:rPr>
        <w:t xml:space="preserve"> </w:t>
      </w:r>
      <w:r>
        <w:t>rapport à leur valorisation boursière initiale. Cependant la valeur ne semble pas significative au seuil de 5%. Ce qui signifie qu’on ne peut pas affirmer qu’une différence significative existe entre la moyenne anormale estimée et la moyenne observée sur le</w:t>
      </w:r>
      <w:r>
        <w:rPr>
          <w:spacing w:val="-8"/>
        </w:rPr>
        <w:t xml:space="preserve"> </w:t>
      </w:r>
      <w:r>
        <w:t>marché.</w:t>
      </w:r>
    </w:p>
    <w:p w:rsidR="003E7CF5" w:rsidRDefault="00024B00" w:rsidP="008C59C3">
      <w:pPr>
        <w:pStyle w:val="Corpsdetexte"/>
        <w:spacing w:before="240" w:after="240" w:line="360" w:lineRule="auto"/>
        <w:ind w:right="50"/>
        <w:jc w:val="both"/>
      </w:pPr>
      <w:r>
        <w:t>Sur</w:t>
      </w:r>
      <w:r>
        <w:rPr>
          <w:spacing w:val="-5"/>
        </w:rPr>
        <w:t xml:space="preserve"> </w:t>
      </w:r>
      <w:r>
        <w:t>la</w:t>
      </w:r>
      <w:r>
        <w:rPr>
          <w:spacing w:val="-7"/>
        </w:rPr>
        <w:t xml:space="preserve"> </w:t>
      </w:r>
      <w:r>
        <w:t>fenêtre</w:t>
      </w:r>
      <w:r>
        <w:rPr>
          <w:spacing w:val="-7"/>
        </w:rPr>
        <w:t xml:space="preserve"> </w:t>
      </w:r>
      <w:r>
        <w:t>[-1</w:t>
      </w:r>
      <w:r>
        <w:rPr>
          <w:spacing w:val="5"/>
        </w:rPr>
        <w:t xml:space="preserve"> </w:t>
      </w:r>
      <w:r>
        <w:t>;1],</w:t>
      </w:r>
      <w:r>
        <w:rPr>
          <w:spacing w:val="-6"/>
        </w:rPr>
        <w:t xml:space="preserve"> </w:t>
      </w:r>
      <w:r>
        <w:t>on</w:t>
      </w:r>
      <w:r>
        <w:rPr>
          <w:spacing w:val="-6"/>
        </w:rPr>
        <w:t xml:space="preserve"> </w:t>
      </w:r>
      <w:r>
        <w:t>constate</w:t>
      </w:r>
      <w:r>
        <w:rPr>
          <w:spacing w:val="-2"/>
        </w:rPr>
        <w:t xml:space="preserve"> </w:t>
      </w:r>
      <w:r>
        <w:t>que</w:t>
      </w:r>
      <w:r>
        <w:rPr>
          <w:spacing w:val="-6"/>
        </w:rPr>
        <w:t xml:space="preserve"> </w:t>
      </w:r>
      <w:r>
        <w:t>le</w:t>
      </w:r>
      <w:r>
        <w:rPr>
          <w:spacing w:val="-7"/>
        </w:rPr>
        <w:t xml:space="preserve"> </w:t>
      </w:r>
      <w:r>
        <w:t>RACM</w:t>
      </w:r>
      <w:r>
        <w:rPr>
          <w:spacing w:val="-4"/>
        </w:rPr>
        <w:t xml:space="preserve"> </w:t>
      </w:r>
      <w:r>
        <w:t>est</w:t>
      </w:r>
      <w:r>
        <w:rPr>
          <w:spacing w:val="-7"/>
        </w:rPr>
        <w:t xml:space="preserve"> </w:t>
      </w:r>
      <w:r>
        <w:t>de</w:t>
      </w:r>
      <w:r>
        <w:rPr>
          <w:spacing w:val="-5"/>
        </w:rPr>
        <w:t xml:space="preserve"> </w:t>
      </w:r>
      <w:r>
        <w:t>–</w:t>
      </w:r>
      <w:r>
        <w:rPr>
          <w:spacing w:val="-5"/>
        </w:rPr>
        <w:t xml:space="preserve"> </w:t>
      </w:r>
      <w:r>
        <w:t>0,0005</w:t>
      </w:r>
      <w:r>
        <w:rPr>
          <w:spacing w:val="-6"/>
        </w:rPr>
        <w:t xml:space="preserve"> </w:t>
      </w:r>
      <w:r>
        <w:t>et</w:t>
      </w:r>
      <w:r>
        <w:rPr>
          <w:spacing w:val="-7"/>
        </w:rPr>
        <w:t xml:space="preserve"> </w:t>
      </w:r>
      <w:r>
        <w:t>donc</w:t>
      </w:r>
      <w:r>
        <w:rPr>
          <w:spacing w:val="-2"/>
        </w:rPr>
        <w:t xml:space="preserve"> </w:t>
      </w:r>
      <w:r>
        <w:t>moins</w:t>
      </w:r>
      <w:r>
        <w:rPr>
          <w:spacing w:val="-4"/>
        </w:rPr>
        <w:t xml:space="preserve"> </w:t>
      </w:r>
      <w:r>
        <w:t>important</w:t>
      </w:r>
      <w:r>
        <w:rPr>
          <w:spacing w:val="-7"/>
        </w:rPr>
        <w:t xml:space="preserve"> </w:t>
      </w:r>
      <w:r>
        <w:t>que</w:t>
      </w:r>
      <w:r>
        <w:rPr>
          <w:spacing w:val="-7"/>
        </w:rPr>
        <w:t xml:space="preserve"> </w:t>
      </w:r>
      <w:r>
        <w:t>sur la fenêtre</w:t>
      </w:r>
      <w:r>
        <w:rPr>
          <w:spacing w:val="-3"/>
        </w:rPr>
        <w:t xml:space="preserve"> </w:t>
      </w:r>
      <w:r>
        <w:t>précédente.</w:t>
      </w:r>
      <w:r>
        <w:rPr>
          <w:spacing w:val="-7"/>
        </w:rPr>
        <w:t xml:space="preserve"> </w:t>
      </w:r>
      <w:r>
        <w:t>Cette</w:t>
      </w:r>
      <w:r>
        <w:rPr>
          <w:spacing w:val="-3"/>
        </w:rPr>
        <w:t xml:space="preserve"> </w:t>
      </w:r>
      <w:r>
        <w:t>analyse</w:t>
      </w:r>
      <w:r>
        <w:rPr>
          <w:spacing w:val="-7"/>
        </w:rPr>
        <w:t xml:space="preserve"> </w:t>
      </w:r>
      <w:r>
        <w:t>nous</w:t>
      </w:r>
      <w:r>
        <w:rPr>
          <w:spacing w:val="-5"/>
        </w:rPr>
        <w:t xml:space="preserve"> </w:t>
      </w:r>
      <w:r>
        <w:t>permet</w:t>
      </w:r>
      <w:r>
        <w:rPr>
          <w:spacing w:val="-8"/>
        </w:rPr>
        <w:t xml:space="preserve"> </w:t>
      </w:r>
      <w:r>
        <w:t>de</w:t>
      </w:r>
      <w:r>
        <w:rPr>
          <w:spacing w:val="-2"/>
        </w:rPr>
        <w:t xml:space="preserve"> </w:t>
      </w:r>
      <w:r>
        <w:t>supposer</w:t>
      </w:r>
      <w:r>
        <w:rPr>
          <w:spacing w:val="-7"/>
        </w:rPr>
        <w:t xml:space="preserve"> </w:t>
      </w:r>
      <w:r>
        <w:t>que</w:t>
      </w:r>
      <w:r>
        <w:rPr>
          <w:spacing w:val="-3"/>
        </w:rPr>
        <w:t xml:space="preserve"> </w:t>
      </w:r>
      <w:r>
        <w:t>les</w:t>
      </w:r>
      <w:r>
        <w:rPr>
          <w:spacing w:val="3"/>
        </w:rPr>
        <w:t xml:space="preserve"> </w:t>
      </w:r>
      <w:r>
        <w:t>annonces</w:t>
      </w:r>
      <w:r>
        <w:rPr>
          <w:spacing w:val="-4"/>
        </w:rPr>
        <w:t xml:space="preserve"> </w:t>
      </w:r>
      <w:r>
        <w:t>ne</w:t>
      </w:r>
      <w:r>
        <w:rPr>
          <w:spacing w:val="-3"/>
        </w:rPr>
        <w:t xml:space="preserve"> </w:t>
      </w:r>
      <w:r>
        <w:t>sont</w:t>
      </w:r>
      <w:r>
        <w:rPr>
          <w:spacing w:val="-8"/>
        </w:rPr>
        <w:t xml:space="preserve"> </w:t>
      </w:r>
      <w:r>
        <w:t>pas</w:t>
      </w:r>
      <w:r>
        <w:rPr>
          <w:spacing w:val="-5"/>
        </w:rPr>
        <w:t xml:space="preserve"> </w:t>
      </w:r>
      <w:r>
        <w:t>anticipées par les actionnaires et plus globalement par le marché. Le retour anormal sur cette fenêtre est relativement faible et proche de 0%. En comparaison avec d’autres études qui ont étudié cette même fenêtre d’événement, notre résultat est plutôt cohérent bien qu’un peu plus faible (Kamiya et coll. (2020) – RACM [-1 ;1] -</w:t>
      </w:r>
      <w:r>
        <w:rPr>
          <w:spacing w:val="-3"/>
        </w:rPr>
        <w:t xml:space="preserve"> </w:t>
      </w:r>
      <w:r>
        <w:t>0,0084).</w:t>
      </w:r>
    </w:p>
    <w:p w:rsidR="003E7CF5" w:rsidRDefault="00024B00" w:rsidP="008C59C3">
      <w:pPr>
        <w:pStyle w:val="Corpsdetexte"/>
        <w:spacing w:before="240" w:after="240" w:line="360" w:lineRule="auto"/>
        <w:ind w:right="50"/>
        <w:jc w:val="both"/>
      </w:pPr>
      <w:r>
        <w:t xml:space="preserve">Globalement on peut observer des rendements anormaux sur les périodes proches de l’évènement </w:t>
      </w:r>
      <w:r>
        <w:lastRenderedPageBreak/>
        <w:t>et</w:t>
      </w:r>
      <w:r>
        <w:rPr>
          <w:spacing w:val="-9"/>
        </w:rPr>
        <w:t xml:space="preserve"> </w:t>
      </w:r>
      <w:r>
        <w:t>pour</w:t>
      </w:r>
      <w:r>
        <w:rPr>
          <w:spacing w:val="-6"/>
        </w:rPr>
        <w:t xml:space="preserve"> </w:t>
      </w:r>
      <w:r>
        <w:t>la</w:t>
      </w:r>
      <w:r>
        <w:rPr>
          <w:spacing w:val="-9"/>
        </w:rPr>
        <w:t xml:space="preserve"> </w:t>
      </w:r>
      <w:r>
        <w:t>majorité</w:t>
      </w:r>
      <w:r>
        <w:rPr>
          <w:spacing w:val="-8"/>
        </w:rPr>
        <w:t xml:space="preserve"> </w:t>
      </w:r>
      <w:r>
        <w:t>des</w:t>
      </w:r>
      <w:r>
        <w:rPr>
          <w:spacing w:val="-1"/>
        </w:rPr>
        <w:t xml:space="preserve"> </w:t>
      </w:r>
      <w:r>
        <w:t>entreprises</w:t>
      </w:r>
      <w:r>
        <w:rPr>
          <w:spacing w:val="-1"/>
        </w:rPr>
        <w:t xml:space="preserve"> </w:t>
      </w:r>
      <w:r>
        <w:t>(68%</w:t>
      </w:r>
      <w:r>
        <w:rPr>
          <w:spacing w:val="-2"/>
        </w:rPr>
        <w:t xml:space="preserve"> </w:t>
      </w:r>
      <w:r>
        <w:t>et</w:t>
      </w:r>
      <w:r>
        <w:rPr>
          <w:spacing w:val="-8"/>
        </w:rPr>
        <w:t xml:space="preserve"> </w:t>
      </w:r>
      <w:r>
        <w:t>64%</w:t>
      </w:r>
      <w:r>
        <w:rPr>
          <w:spacing w:val="-3"/>
        </w:rPr>
        <w:t xml:space="preserve"> </w:t>
      </w:r>
      <w:r>
        <w:t>des</w:t>
      </w:r>
      <w:r>
        <w:rPr>
          <w:spacing w:val="-5"/>
        </w:rPr>
        <w:t xml:space="preserve"> </w:t>
      </w:r>
      <w:r>
        <w:t>entreprises</w:t>
      </w:r>
      <w:r>
        <w:rPr>
          <w:spacing w:val="-6"/>
        </w:rPr>
        <w:t xml:space="preserve"> </w:t>
      </w:r>
      <w:r>
        <w:t>de</w:t>
      </w:r>
      <w:r>
        <w:rPr>
          <w:spacing w:val="-3"/>
        </w:rPr>
        <w:t xml:space="preserve"> </w:t>
      </w:r>
      <w:r>
        <w:t>l’échantillon</w:t>
      </w:r>
      <w:r>
        <w:rPr>
          <w:spacing w:val="-8"/>
        </w:rPr>
        <w:t xml:space="preserve"> </w:t>
      </w:r>
      <w:r>
        <w:t>à</w:t>
      </w:r>
      <w:r>
        <w:rPr>
          <w:spacing w:val="-3"/>
        </w:rPr>
        <w:t xml:space="preserve"> </w:t>
      </w:r>
      <w:r>
        <w:t>très</w:t>
      </w:r>
      <w:r>
        <w:rPr>
          <w:spacing w:val="-6"/>
        </w:rPr>
        <w:t xml:space="preserve"> </w:t>
      </w:r>
      <w:r>
        <w:t>court</w:t>
      </w:r>
      <w:r>
        <w:rPr>
          <w:spacing w:val="-8"/>
        </w:rPr>
        <w:t xml:space="preserve"> </w:t>
      </w:r>
      <w:r>
        <w:t>terme).</w:t>
      </w:r>
    </w:p>
    <w:p w:rsidR="003E7CF5" w:rsidRDefault="00A5268B" w:rsidP="00A5268B">
      <w:pPr>
        <w:tabs>
          <w:tab w:val="left" w:pos="4050"/>
        </w:tabs>
        <w:rPr>
          <w:sz w:val="27"/>
        </w:rPr>
      </w:pPr>
      <w:r>
        <w:tab/>
      </w:r>
    </w:p>
    <w:p w:rsidR="003E7CF5" w:rsidRDefault="00024B00">
      <w:pPr>
        <w:spacing w:before="92"/>
        <w:ind w:left="335"/>
        <w:jc w:val="both"/>
        <w:rPr>
          <w:sz w:val="20"/>
        </w:rPr>
      </w:pPr>
      <w:bookmarkStart w:id="30" w:name="_bookmark31"/>
      <w:bookmarkEnd w:id="30"/>
      <w:r>
        <w:rPr>
          <w:sz w:val="20"/>
        </w:rPr>
        <w:t>Tableau 4 : Résultats d’analyse de la totalité de l’échantillon</w:t>
      </w:r>
    </w:p>
    <w:p w:rsidR="003E7CF5" w:rsidRDefault="003E7CF5">
      <w:pPr>
        <w:pStyle w:val="Corpsdetexte"/>
        <w:spacing w:before="7"/>
        <w:rPr>
          <w:sz w:val="13"/>
        </w:rPr>
      </w:pPr>
    </w:p>
    <w:tbl>
      <w:tblPr>
        <w:tblStyle w:val="TableNormal"/>
        <w:tblW w:w="0" w:type="auto"/>
        <w:tblInd w:w="333" w:type="dxa"/>
        <w:tblLayout w:type="fixed"/>
        <w:tblLook w:val="01E0" w:firstRow="1" w:lastRow="1" w:firstColumn="1" w:lastColumn="1" w:noHBand="0" w:noVBand="0"/>
      </w:tblPr>
      <w:tblGrid>
        <w:gridCol w:w="1730"/>
        <w:gridCol w:w="2145"/>
        <w:gridCol w:w="1282"/>
        <w:gridCol w:w="1799"/>
        <w:gridCol w:w="1252"/>
        <w:gridCol w:w="1243"/>
      </w:tblGrid>
      <w:tr w:rsidR="003E7CF5">
        <w:trPr>
          <w:trHeight w:val="1085"/>
        </w:trPr>
        <w:tc>
          <w:tcPr>
            <w:tcW w:w="1730" w:type="dxa"/>
            <w:tcBorders>
              <w:top w:val="single" w:sz="12" w:space="0" w:color="000000"/>
              <w:bottom w:val="single" w:sz="8" w:space="0" w:color="4471C4"/>
            </w:tcBorders>
            <w:shd w:val="clear" w:color="auto" w:fill="D0CECE"/>
          </w:tcPr>
          <w:p w:rsidR="003E7CF5" w:rsidRDefault="00024B00">
            <w:pPr>
              <w:pStyle w:val="TableParagraph"/>
              <w:spacing w:before="179" w:line="362" w:lineRule="auto"/>
              <w:ind w:left="159" w:right="408"/>
              <w:rPr>
                <w:b/>
                <w:sz w:val="21"/>
              </w:rPr>
            </w:pPr>
            <w:r>
              <w:rPr>
                <w:b/>
                <w:sz w:val="21"/>
              </w:rPr>
              <w:t>Fenêtre d’événement</w:t>
            </w:r>
          </w:p>
        </w:tc>
        <w:tc>
          <w:tcPr>
            <w:tcW w:w="2145" w:type="dxa"/>
            <w:tcBorders>
              <w:top w:val="single" w:sz="12" w:space="0" w:color="000000"/>
              <w:bottom w:val="single" w:sz="8" w:space="0" w:color="4471C4"/>
            </w:tcBorders>
            <w:shd w:val="clear" w:color="auto" w:fill="D0CECE"/>
          </w:tcPr>
          <w:p w:rsidR="003E7CF5" w:rsidRDefault="003E7CF5">
            <w:pPr>
              <w:pStyle w:val="TableParagraph"/>
              <w:spacing w:before="2"/>
              <w:rPr>
                <w:sz w:val="31"/>
              </w:rPr>
            </w:pPr>
          </w:p>
          <w:p w:rsidR="003E7CF5" w:rsidRDefault="00024B00">
            <w:pPr>
              <w:pStyle w:val="TableParagraph"/>
              <w:ind w:left="405" w:right="317"/>
              <w:jc w:val="center"/>
              <w:rPr>
                <w:b/>
                <w:sz w:val="21"/>
              </w:rPr>
            </w:pPr>
            <w:r>
              <w:rPr>
                <w:b/>
                <w:sz w:val="21"/>
              </w:rPr>
              <w:t>Moyenne RAM</w:t>
            </w:r>
          </w:p>
        </w:tc>
        <w:tc>
          <w:tcPr>
            <w:tcW w:w="1282" w:type="dxa"/>
            <w:tcBorders>
              <w:top w:val="single" w:sz="12" w:space="0" w:color="000000"/>
              <w:bottom w:val="single" w:sz="8" w:space="0" w:color="4471C4"/>
            </w:tcBorders>
            <w:shd w:val="clear" w:color="auto" w:fill="D0CECE"/>
          </w:tcPr>
          <w:p w:rsidR="003E7CF5" w:rsidRDefault="003E7CF5">
            <w:pPr>
              <w:pStyle w:val="TableParagraph"/>
              <w:spacing w:before="2"/>
              <w:rPr>
                <w:sz w:val="31"/>
              </w:rPr>
            </w:pPr>
          </w:p>
          <w:p w:rsidR="003E7CF5" w:rsidRDefault="00024B00">
            <w:pPr>
              <w:pStyle w:val="TableParagraph"/>
              <w:ind w:left="336"/>
              <w:rPr>
                <w:b/>
                <w:sz w:val="21"/>
              </w:rPr>
            </w:pPr>
            <w:r>
              <w:rPr>
                <w:b/>
                <w:sz w:val="21"/>
              </w:rPr>
              <w:t>t-value</w:t>
            </w:r>
          </w:p>
        </w:tc>
        <w:tc>
          <w:tcPr>
            <w:tcW w:w="1799" w:type="dxa"/>
            <w:tcBorders>
              <w:top w:val="single" w:sz="12" w:space="0" w:color="000000"/>
              <w:bottom w:val="single" w:sz="8" w:space="0" w:color="4471C4"/>
            </w:tcBorders>
            <w:shd w:val="clear" w:color="auto" w:fill="D0CECE"/>
          </w:tcPr>
          <w:p w:rsidR="003E7CF5" w:rsidRDefault="003E7CF5">
            <w:pPr>
              <w:pStyle w:val="TableParagraph"/>
              <w:spacing w:before="2"/>
              <w:rPr>
                <w:sz w:val="31"/>
              </w:rPr>
            </w:pPr>
          </w:p>
          <w:p w:rsidR="003E7CF5" w:rsidRDefault="00024B00">
            <w:pPr>
              <w:pStyle w:val="TableParagraph"/>
              <w:ind w:left="305" w:right="118"/>
              <w:jc w:val="center"/>
              <w:rPr>
                <w:b/>
                <w:sz w:val="21"/>
              </w:rPr>
            </w:pPr>
            <w:r>
              <w:rPr>
                <w:b/>
                <w:sz w:val="21"/>
              </w:rPr>
              <w:t>Médiane RAM</w:t>
            </w:r>
          </w:p>
        </w:tc>
        <w:tc>
          <w:tcPr>
            <w:tcW w:w="1252" w:type="dxa"/>
            <w:tcBorders>
              <w:top w:val="single" w:sz="12" w:space="0" w:color="000000"/>
              <w:bottom w:val="single" w:sz="8" w:space="0" w:color="4471C4"/>
            </w:tcBorders>
            <w:shd w:val="clear" w:color="auto" w:fill="D0CECE"/>
          </w:tcPr>
          <w:p w:rsidR="003E7CF5" w:rsidRDefault="003E7CF5">
            <w:pPr>
              <w:pStyle w:val="TableParagraph"/>
              <w:spacing w:before="2"/>
              <w:rPr>
                <w:sz w:val="31"/>
              </w:rPr>
            </w:pPr>
          </w:p>
          <w:p w:rsidR="003E7CF5" w:rsidRDefault="00024B00">
            <w:pPr>
              <w:pStyle w:val="TableParagraph"/>
              <w:ind w:left="115" w:right="116"/>
              <w:jc w:val="center"/>
              <w:rPr>
                <w:b/>
                <w:sz w:val="21"/>
              </w:rPr>
            </w:pPr>
            <w:r>
              <w:rPr>
                <w:b/>
                <w:sz w:val="21"/>
              </w:rPr>
              <w:t>t-value</w:t>
            </w:r>
          </w:p>
        </w:tc>
        <w:tc>
          <w:tcPr>
            <w:tcW w:w="1243" w:type="dxa"/>
            <w:tcBorders>
              <w:top w:val="single" w:sz="12" w:space="0" w:color="000000"/>
              <w:bottom w:val="single" w:sz="8" w:space="0" w:color="4471C4"/>
            </w:tcBorders>
            <w:shd w:val="clear" w:color="auto" w:fill="D0CECE"/>
          </w:tcPr>
          <w:p w:rsidR="003E7CF5" w:rsidRDefault="00024B00">
            <w:pPr>
              <w:pStyle w:val="TableParagraph"/>
              <w:spacing w:line="240" w:lineRule="exact"/>
              <w:ind w:right="1"/>
              <w:jc w:val="center"/>
              <w:rPr>
                <w:b/>
                <w:sz w:val="21"/>
              </w:rPr>
            </w:pPr>
            <w:r>
              <w:rPr>
                <w:b/>
                <w:sz w:val="21"/>
              </w:rPr>
              <w:t>%</w:t>
            </w:r>
          </w:p>
          <w:p w:rsidR="003E7CF5" w:rsidRDefault="00024B00">
            <w:pPr>
              <w:pStyle w:val="TableParagraph"/>
              <w:spacing w:before="21" w:line="366" w:lineRule="exact"/>
              <w:ind w:left="134" w:right="135"/>
              <w:jc w:val="center"/>
              <w:rPr>
                <w:b/>
                <w:sz w:val="21"/>
              </w:rPr>
            </w:pPr>
            <w:r>
              <w:rPr>
                <w:b/>
                <w:sz w:val="21"/>
              </w:rPr>
              <w:t>rendement négatif</w:t>
            </w:r>
          </w:p>
        </w:tc>
      </w:tr>
      <w:tr w:rsidR="003E7CF5">
        <w:trPr>
          <w:trHeight w:val="449"/>
        </w:trPr>
        <w:tc>
          <w:tcPr>
            <w:tcW w:w="1730" w:type="dxa"/>
            <w:tcBorders>
              <w:top w:val="single" w:sz="8" w:space="0" w:color="4471C4"/>
            </w:tcBorders>
          </w:tcPr>
          <w:p w:rsidR="003E7CF5" w:rsidRDefault="00024B00">
            <w:pPr>
              <w:pStyle w:val="TableParagraph"/>
              <w:spacing w:before="51"/>
              <w:ind w:left="159"/>
              <w:rPr>
                <w:b/>
                <w:sz w:val="24"/>
              </w:rPr>
            </w:pPr>
            <w:r>
              <w:rPr>
                <w:b/>
                <w:sz w:val="24"/>
              </w:rPr>
              <w:t>[0;1]</w:t>
            </w:r>
          </w:p>
        </w:tc>
        <w:tc>
          <w:tcPr>
            <w:tcW w:w="2145" w:type="dxa"/>
            <w:tcBorders>
              <w:top w:val="single" w:sz="8" w:space="0" w:color="4471C4"/>
            </w:tcBorders>
          </w:tcPr>
          <w:p w:rsidR="003E7CF5" w:rsidRDefault="00024B00">
            <w:pPr>
              <w:pStyle w:val="TableParagraph"/>
              <w:spacing w:before="51"/>
              <w:ind w:left="402" w:right="317"/>
              <w:jc w:val="center"/>
              <w:rPr>
                <w:sz w:val="24"/>
              </w:rPr>
            </w:pPr>
            <w:r>
              <w:rPr>
                <w:sz w:val="24"/>
              </w:rPr>
              <w:t>-0,0068</w:t>
            </w:r>
          </w:p>
        </w:tc>
        <w:tc>
          <w:tcPr>
            <w:tcW w:w="1282" w:type="dxa"/>
            <w:tcBorders>
              <w:top w:val="single" w:sz="8" w:space="0" w:color="4471C4"/>
            </w:tcBorders>
          </w:tcPr>
          <w:p w:rsidR="003E7CF5" w:rsidRDefault="00024B00">
            <w:pPr>
              <w:pStyle w:val="TableParagraph"/>
              <w:spacing w:before="51"/>
              <w:ind w:left="336"/>
              <w:rPr>
                <w:sz w:val="24"/>
              </w:rPr>
            </w:pPr>
            <w:r>
              <w:rPr>
                <w:sz w:val="24"/>
              </w:rPr>
              <w:t>-1,451</w:t>
            </w:r>
          </w:p>
        </w:tc>
        <w:tc>
          <w:tcPr>
            <w:tcW w:w="1799" w:type="dxa"/>
            <w:tcBorders>
              <w:top w:val="single" w:sz="8" w:space="0" w:color="4471C4"/>
            </w:tcBorders>
          </w:tcPr>
          <w:p w:rsidR="003E7CF5" w:rsidRDefault="00024B00">
            <w:pPr>
              <w:pStyle w:val="TableParagraph"/>
              <w:spacing w:before="51"/>
              <w:ind w:left="305" w:right="115"/>
              <w:jc w:val="center"/>
              <w:rPr>
                <w:sz w:val="24"/>
              </w:rPr>
            </w:pPr>
            <w:r>
              <w:rPr>
                <w:sz w:val="24"/>
              </w:rPr>
              <w:t>-0,0090</w:t>
            </w:r>
          </w:p>
        </w:tc>
        <w:tc>
          <w:tcPr>
            <w:tcW w:w="1252" w:type="dxa"/>
            <w:tcBorders>
              <w:top w:val="single" w:sz="8" w:space="0" w:color="4471C4"/>
            </w:tcBorders>
          </w:tcPr>
          <w:p w:rsidR="003E7CF5" w:rsidRDefault="00024B00">
            <w:pPr>
              <w:pStyle w:val="TableParagraph"/>
              <w:spacing w:before="51"/>
              <w:ind w:left="116" w:right="116"/>
              <w:jc w:val="center"/>
              <w:rPr>
                <w:sz w:val="24"/>
              </w:rPr>
            </w:pPr>
            <w:r>
              <w:rPr>
                <w:sz w:val="24"/>
              </w:rPr>
              <w:t>-4,135***</w:t>
            </w:r>
          </w:p>
        </w:tc>
        <w:tc>
          <w:tcPr>
            <w:tcW w:w="1243" w:type="dxa"/>
            <w:tcBorders>
              <w:top w:val="single" w:sz="8" w:space="0" w:color="4471C4"/>
            </w:tcBorders>
          </w:tcPr>
          <w:p w:rsidR="003E7CF5" w:rsidRDefault="00024B00">
            <w:pPr>
              <w:pStyle w:val="TableParagraph"/>
              <w:spacing w:before="51"/>
              <w:ind w:left="134" w:right="135"/>
              <w:jc w:val="center"/>
              <w:rPr>
                <w:sz w:val="24"/>
              </w:rPr>
            </w:pPr>
            <w:r>
              <w:rPr>
                <w:sz w:val="24"/>
              </w:rPr>
              <w:t>68%</w:t>
            </w:r>
          </w:p>
        </w:tc>
      </w:tr>
      <w:tr w:rsidR="003E7CF5">
        <w:trPr>
          <w:trHeight w:val="510"/>
        </w:trPr>
        <w:tc>
          <w:tcPr>
            <w:tcW w:w="1730" w:type="dxa"/>
          </w:tcPr>
          <w:p w:rsidR="003E7CF5" w:rsidRDefault="00024B00">
            <w:pPr>
              <w:pStyle w:val="TableParagraph"/>
              <w:spacing w:before="112"/>
              <w:ind w:left="159"/>
              <w:rPr>
                <w:b/>
                <w:sz w:val="24"/>
              </w:rPr>
            </w:pPr>
            <w:r>
              <w:rPr>
                <w:b/>
                <w:sz w:val="24"/>
              </w:rPr>
              <w:t>[0;3]</w:t>
            </w:r>
          </w:p>
        </w:tc>
        <w:tc>
          <w:tcPr>
            <w:tcW w:w="2145" w:type="dxa"/>
          </w:tcPr>
          <w:p w:rsidR="003E7CF5" w:rsidRDefault="00024B00">
            <w:pPr>
              <w:pStyle w:val="TableParagraph"/>
              <w:spacing w:before="112"/>
              <w:ind w:left="402" w:right="317"/>
              <w:jc w:val="center"/>
              <w:rPr>
                <w:sz w:val="24"/>
              </w:rPr>
            </w:pPr>
            <w:r>
              <w:rPr>
                <w:sz w:val="24"/>
              </w:rPr>
              <w:t>-0,0068</w:t>
            </w:r>
          </w:p>
        </w:tc>
        <w:tc>
          <w:tcPr>
            <w:tcW w:w="1282" w:type="dxa"/>
          </w:tcPr>
          <w:p w:rsidR="003E7CF5" w:rsidRDefault="00024B00">
            <w:pPr>
              <w:pStyle w:val="TableParagraph"/>
              <w:spacing w:before="112"/>
              <w:ind w:left="336"/>
              <w:rPr>
                <w:sz w:val="24"/>
              </w:rPr>
            </w:pPr>
            <w:r>
              <w:rPr>
                <w:sz w:val="24"/>
              </w:rPr>
              <w:t>-1,446</w:t>
            </w:r>
          </w:p>
        </w:tc>
        <w:tc>
          <w:tcPr>
            <w:tcW w:w="1799" w:type="dxa"/>
          </w:tcPr>
          <w:p w:rsidR="003E7CF5" w:rsidRDefault="00024B00">
            <w:pPr>
              <w:pStyle w:val="TableParagraph"/>
              <w:spacing w:before="112"/>
              <w:ind w:left="305" w:right="115"/>
              <w:jc w:val="center"/>
              <w:rPr>
                <w:sz w:val="24"/>
              </w:rPr>
            </w:pPr>
            <w:r>
              <w:rPr>
                <w:sz w:val="24"/>
              </w:rPr>
              <w:t>-0,0093</w:t>
            </w:r>
          </w:p>
        </w:tc>
        <w:tc>
          <w:tcPr>
            <w:tcW w:w="1252" w:type="dxa"/>
          </w:tcPr>
          <w:p w:rsidR="003E7CF5" w:rsidRDefault="00024B00">
            <w:pPr>
              <w:pStyle w:val="TableParagraph"/>
              <w:spacing w:before="112"/>
              <w:ind w:left="116" w:right="116"/>
              <w:jc w:val="center"/>
              <w:rPr>
                <w:sz w:val="24"/>
              </w:rPr>
            </w:pPr>
            <w:r>
              <w:rPr>
                <w:sz w:val="24"/>
              </w:rPr>
              <w:t>-4,282***</w:t>
            </w:r>
          </w:p>
        </w:tc>
        <w:tc>
          <w:tcPr>
            <w:tcW w:w="1243" w:type="dxa"/>
          </w:tcPr>
          <w:p w:rsidR="003E7CF5" w:rsidRDefault="00024B00">
            <w:pPr>
              <w:pStyle w:val="TableParagraph"/>
              <w:spacing w:before="112"/>
              <w:ind w:left="134" w:right="135"/>
              <w:jc w:val="center"/>
              <w:rPr>
                <w:sz w:val="24"/>
              </w:rPr>
            </w:pPr>
            <w:r>
              <w:rPr>
                <w:sz w:val="24"/>
              </w:rPr>
              <w:t>58%</w:t>
            </w:r>
          </w:p>
        </w:tc>
      </w:tr>
      <w:tr w:rsidR="003E7CF5">
        <w:trPr>
          <w:trHeight w:val="509"/>
        </w:trPr>
        <w:tc>
          <w:tcPr>
            <w:tcW w:w="1730" w:type="dxa"/>
          </w:tcPr>
          <w:p w:rsidR="003E7CF5" w:rsidRDefault="00024B00">
            <w:pPr>
              <w:pStyle w:val="TableParagraph"/>
              <w:spacing w:before="112"/>
              <w:ind w:left="159"/>
              <w:rPr>
                <w:b/>
                <w:sz w:val="24"/>
              </w:rPr>
            </w:pPr>
            <w:r>
              <w:rPr>
                <w:b/>
                <w:sz w:val="24"/>
              </w:rPr>
              <w:t>[-1;1]</w:t>
            </w:r>
          </w:p>
        </w:tc>
        <w:tc>
          <w:tcPr>
            <w:tcW w:w="2145" w:type="dxa"/>
          </w:tcPr>
          <w:p w:rsidR="003E7CF5" w:rsidRDefault="00024B00">
            <w:pPr>
              <w:pStyle w:val="TableParagraph"/>
              <w:spacing w:before="112"/>
              <w:ind w:left="402" w:right="317"/>
              <w:jc w:val="center"/>
              <w:rPr>
                <w:sz w:val="24"/>
              </w:rPr>
            </w:pPr>
            <w:r>
              <w:rPr>
                <w:sz w:val="24"/>
              </w:rPr>
              <w:t>-0,0005</w:t>
            </w:r>
          </w:p>
        </w:tc>
        <w:tc>
          <w:tcPr>
            <w:tcW w:w="1282" w:type="dxa"/>
          </w:tcPr>
          <w:p w:rsidR="003E7CF5" w:rsidRDefault="00024B00">
            <w:pPr>
              <w:pStyle w:val="TableParagraph"/>
              <w:spacing w:before="112"/>
              <w:ind w:left="336"/>
              <w:rPr>
                <w:sz w:val="24"/>
              </w:rPr>
            </w:pPr>
            <w:r>
              <w:rPr>
                <w:sz w:val="24"/>
              </w:rPr>
              <w:t>-0,107</w:t>
            </w:r>
          </w:p>
        </w:tc>
        <w:tc>
          <w:tcPr>
            <w:tcW w:w="1799" w:type="dxa"/>
          </w:tcPr>
          <w:p w:rsidR="003E7CF5" w:rsidRDefault="00024B00">
            <w:pPr>
              <w:pStyle w:val="TableParagraph"/>
              <w:spacing w:before="112"/>
              <w:ind w:left="305" w:right="115"/>
              <w:jc w:val="center"/>
              <w:rPr>
                <w:sz w:val="24"/>
              </w:rPr>
            </w:pPr>
            <w:r>
              <w:rPr>
                <w:sz w:val="24"/>
              </w:rPr>
              <w:t>-0,0064</w:t>
            </w:r>
          </w:p>
        </w:tc>
        <w:tc>
          <w:tcPr>
            <w:tcW w:w="1252" w:type="dxa"/>
          </w:tcPr>
          <w:p w:rsidR="003E7CF5" w:rsidRDefault="00024B00">
            <w:pPr>
              <w:pStyle w:val="TableParagraph"/>
              <w:spacing w:before="112"/>
              <w:ind w:left="116" w:right="116"/>
              <w:jc w:val="center"/>
              <w:rPr>
                <w:sz w:val="24"/>
              </w:rPr>
            </w:pPr>
            <w:r>
              <w:rPr>
                <w:sz w:val="24"/>
              </w:rPr>
              <w:t>-2,936***</w:t>
            </w:r>
          </w:p>
        </w:tc>
        <w:tc>
          <w:tcPr>
            <w:tcW w:w="1243" w:type="dxa"/>
          </w:tcPr>
          <w:p w:rsidR="003E7CF5" w:rsidRDefault="00024B00">
            <w:pPr>
              <w:pStyle w:val="TableParagraph"/>
              <w:spacing w:before="112"/>
              <w:ind w:left="134" w:right="135"/>
              <w:jc w:val="center"/>
              <w:rPr>
                <w:sz w:val="24"/>
              </w:rPr>
            </w:pPr>
            <w:r>
              <w:rPr>
                <w:sz w:val="24"/>
              </w:rPr>
              <w:t>64%</w:t>
            </w:r>
          </w:p>
        </w:tc>
      </w:tr>
      <w:tr w:rsidR="003E7CF5">
        <w:trPr>
          <w:trHeight w:val="510"/>
        </w:trPr>
        <w:tc>
          <w:tcPr>
            <w:tcW w:w="1730" w:type="dxa"/>
          </w:tcPr>
          <w:p w:rsidR="003E7CF5" w:rsidRDefault="00024B00">
            <w:pPr>
              <w:pStyle w:val="TableParagraph"/>
              <w:spacing w:before="112"/>
              <w:ind w:left="159"/>
              <w:rPr>
                <w:b/>
                <w:sz w:val="24"/>
              </w:rPr>
            </w:pPr>
            <w:r>
              <w:rPr>
                <w:b/>
                <w:sz w:val="24"/>
              </w:rPr>
              <w:t>[-1;3]</w:t>
            </w:r>
          </w:p>
        </w:tc>
        <w:tc>
          <w:tcPr>
            <w:tcW w:w="2145" w:type="dxa"/>
          </w:tcPr>
          <w:p w:rsidR="003E7CF5" w:rsidRDefault="00024B00">
            <w:pPr>
              <w:pStyle w:val="TableParagraph"/>
              <w:spacing w:before="112"/>
              <w:ind w:left="402" w:right="317"/>
              <w:jc w:val="center"/>
              <w:rPr>
                <w:sz w:val="24"/>
              </w:rPr>
            </w:pPr>
            <w:r>
              <w:rPr>
                <w:sz w:val="24"/>
              </w:rPr>
              <w:t>-0,0005</w:t>
            </w:r>
          </w:p>
        </w:tc>
        <w:tc>
          <w:tcPr>
            <w:tcW w:w="1282" w:type="dxa"/>
          </w:tcPr>
          <w:p w:rsidR="003E7CF5" w:rsidRDefault="00024B00">
            <w:pPr>
              <w:pStyle w:val="TableParagraph"/>
              <w:spacing w:before="112"/>
              <w:ind w:left="336"/>
              <w:rPr>
                <w:sz w:val="24"/>
              </w:rPr>
            </w:pPr>
            <w:r>
              <w:rPr>
                <w:sz w:val="24"/>
              </w:rPr>
              <w:t>-0,102</w:t>
            </w:r>
          </w:p>
        </w:tc>
        <w:tc>
          <w:tcPr>
            <w:tcW w:w="1799" w:type="dxa"/>
          </w:tcPr>
          <w:p w:rsidR="003E7CF5" w:rsidRDefault="00024B00">
            <w:pPr>
              <w:pStyle w:val="TableParagraph"/>
              <w:spacing w:before="112"/>
              <w:ind w:left="305" w:right="115"/>
              <w:jc w:val="center"/>
              <w:rPr>
                <w:sz w:val="24"/>
              </w:rPr>
            </w:pPr>
            <w:r>
              <w:rPr>
                <w:sz w:val="24"/>
              </w:rPr>
              <w:t>-0,0126</w:t>
            </w:r>
          </w:p>
        </w:tc>
        <w:tc>
          <w:tcPr>
            <w:tcW w:w="1252" w:type="dxa"/>
          </w:tcPr>
          <w:p w:rsidR="003E7CF5" w:rsidRDefault="00024B00">
            <w:pPr>
              <w:pStyle w:val="TableParagraph"/>
              <w:spacing w:before="112"/>
              <w:ind w:left="116" w:right="116"/>
              <w:jc w:val="center"/>
              <w:rPr>
                <w:sz w:val="24"/>
              </w:rPr>
            </w:pPr>
            <w:r>
              <w:rPr>
                <w:sz w:val="24"/>
              </w:rPr>
              <w:t>-5,807***</w:t>
            </w:r>
          </w:p>
        </w:tc>
        <w:tc>
          <w:tcPr>
            <w:tcW w:w="1243" w:type="dxa"/>
          </w:tcPr>
          <w:p w:rsidR="003E7CF5" w:rsidRDefault="00024B00">
            <w:pPr>
              <w:pStyle w:val="TableParagraph"/>
              <w:spacing w:before="112"/>
              <w:ind w:left="134" w:right="135"/>
              <w:jc w:val="center"/>
              <w:rPr>
                <w:sz w:val="24"/>
              </w:rPr>
            </w:pPr>
            <w:r>
              <w:rPr>
                <w:sz w:val="24"/>
              </w:rPr>
              <w:t>62%</w:t>
            </w:r>
          </w:p>
        </w:tc>
      </w:tr>
      <w:tr w:rsidR="003E7CF5">
        <w:trPr>
          <w:trHeight w:val="510"/>
        </w:trPr>
        <w:tc>
          <w:tcPr>
            <w:tcW w:w="1730" w:type="dxa"/>
          </w:tcPr>
          <w:p w:rsidR="003E7CF5" w:rsidRDefault="00024B00">
            <w:pPr>
              <w:pStyle w:val="TableParagraph"/>
              <w:spacing w:before="112"/>
              <w:ind w:left="159"/>
              <w:rPr>
                <w:b/>
                <w:sz w:val="24"/>
              </w:rPr>
            </w:pPr>
            <w:r>
              <w:rPr>
                <w:b/>
                <w:sz w:val="24"/>
              </w:rPr>
              <w:t>[-1;5]</w:t>
            </w:r>
          </w:p>
        </w:tc>
        <w:tc>
          <w:tcPr>
            <w:tcW w:w="2145" w:type="dxa"/>
          </w:tcPr>
          <w:p w:rsidR="003E7CF5" w:rsidRDefault="00024B00">
            <w:pPr>
              <w:pStyle w:val="TableParagraph"/>
              <w:spacing w:before="112"/>
              <w:ind w:left="402" w:right="317"/>
              <w:jc w:val="center"/>
              <w:rPr>
                <w:sz w:val="24"/>
              </w:rPr>
            </w:pPr>
            <w:r>
              <w:rPr>
                <w:sz w:val="24"/>
              </w:rPr>
              <w:t>0,0071</w:t>
            </w:r>
          </w:p>
        </w:tc>
        <w:tc>
          <w:tcPr>
            <w:tcW w:w="1282" w:type="dxa"/>
          </w:tcPr>
          <w:p w:rsidR="003E7CF5" w:rsidRDefault="00024B00">
            <w:pPr>
              <w:pStyle w:val="TableParagraph"/>
              <w:spacing w:before="112"/>
              <w:ind w:left="376"/>
              <w:rPr>
                <w:sz w:val="24"/>
              </w:rPr>
            </w:pPr>
            <w:r>
              <w:rPr>
                <w:sz w:val="24"/>
              </w:rPr>
              <w:t>1,518</w:t>
            </w:r>
          </w:p>
        </w:tc>
        <w:tc>
          <w:tcPr>
            <w:tcW w:w="1799" w:type="dxa"/>
          </w:tcPr>
          <w:p w:rsidR="003E7CF5" w:rsidRDefault="00024B00">
            <w:pPr>
              <w:pStyle w:val="TableParagraph"/>
              <w:spacing w:before="112"/>
              <w:ind w:left="305" w:right="115"/>
              <w:jc w:val="center"/>
              <w:rPr>
                <w:sz w:val="24"/>
              </w:rPr>
            </w:pPr>
            <w:r>
              <w:rPr>
                <w:sz w:val="24"/>
              </w:rPr>
              <w:t>0,0011</w:t>
            </w:r>
          </w:p>
        </w:tc>
        <w:tc>
          <w:tcPr>
            <w:tcW w:w="1252" w:type="dxa"/>
          </w:tcPr>
          <w:p w:rsidR="003E7CF5" w:rsidRDefault="00024B00">
            <w:pPr>
              <w:pStyle w:val="TableParagraph"/>
              <w:spacing w:before="112"/>
              <w:ind w:left="116" w:right="116"/>
              <w:jc w:val="center"/>
              <w:rPr>
                <w:sz w:val="24"/>
              </w:rPr>
            </w:pPr>
            <w:r>
              <w:rPr>
                <w:sz w:val="24"/>
              </w:rPr>
              <w:t>0,515</w:t>
            </w:r>
          </w:p>
        </w:tc>
        <w:tc>
          <w:tcPr>
            <w:tcW w:w="1243" w:type="dxa"/>
          </w:tcPr>
          <w:p w:rsidR="003E7CF5" w:rsidRDefault="00024B00">
            <w:pPr>
              <w:pStyle w:val="TableParagraph"/>
              <w:spacing w:before="112"/>
              <w:ind w:left="134" w:right="135"/>
              <w:jc w:val="center"/>
              <w:rPr>
                <w:sz w:val="24"/>
              </w:rPr>
            </w:pPr>
            <w:r>
              <w:rPr>
                <w:sz w:val="24"/>
              </w:rPr>
              <w:t>49%</w:t>
            </w:r>
          </w:p>
        </w:tc>
      </w:tr>
      <w:tr w:rsidR="003E7CF5">
        <w:trPr>
          <w:trHeight w:val="510"/>
        </w:trPr>
        <w:tc>
          <w:tcPr>
            <w:tcW w:w="1730" w:type="dxa"/>
          </w:tcPr>
          <w:p w:rsidR="003E7CF5" w:rsidRDefault="00024B00">
            <w:pPr>
              <w:pStyle w:val="TableParagraph"/>
              <w:spacing w:before="112"/>
              <w:ind w:left="159"/>
              <w:rPr>
                <w:b/>
                <w:sz w:val="24"/>
              </w:rPr>
            </w:pPr>
            <w:r>
              <w:rPr>
                <w:b/>
                <w:sz w:val="24"/>
              </w:rPr>
              <w:t>[-1;10]</w:t>
            </w:r>
          </w:p>
        </w:tc>
        <w:tc>
          <w:tcPr>
            <w:tcW w:w="2145" w:type="dxa"/>
          </w:tcPr>
          <w:p w:rsidR="003E7CF5" w:rsidRDefault="00024B00">
            <w:pPr>
              <w:pStyle w:val="TableParagraph"/>
              <w:spacing w:before="112"/>
              <w:ind w:left="402" w:right="317"/>
              <w:jc w:val="center"/>
              <w:rPr>
                <w:sz w:val="24"/>
              </w:rPr>
            </w:pPr>
            <w:r>
              <w:rPr>
                <w:sz w:val="24"/>
              </w:rPr>
              <w:t>0,0034</w:t>
            </w:r>
          </w:p>
        </w:tc>
        <w:tc>
          <w:tcPr>
            <w:tcW w:w="1282" w:type="dxa"/>
          </w:tcPr>
          <w:p w:rsidR="003E7CF5" w:rsidRDefault="00024B00">
            <w:pPr>
              <w:pStyle w:val="TableParagraph"/>
              <w:spacing w:before="112"/>
              <w:ind w:left="376"/>
              <w:rPr>
                <w:sz w:val="24"/>
              </w:rPr>
            </w:pPr>
            <w:r>
              <w:rPr>
                <w:sz w:val="24"/>
              </w:rPr>
              <w:t>0,718</w:t>
            </w:r>
          </w:p>
        </w:tc>
        <w:tc>
          <w:tcPr>
            <w:tcW w:w="1799" w:type="dxa"/>
          </w:tcPr>
          <w:p w:rsidR="003E7CF5" w:rsidRDefault="00024B00">
            <w:pPr>
              <w:pStyle w:val="TableParagraph"/>
              <w:spacing w:before="112"/>
              <w:ind w:left="305" w:right="115"/>
              <w:jc w:val="center"/>
              <w:rPr>
                <w:sz w:val="24"/>
              </w:rPr>
            </w:pPr>
            <w:r>
              <w:rPr>
                <w:sz w:val="24"/>
              </w:rPr>
              <w:t>0,0057</w:t>
            </w:r>
          </w:p>
        </w:tc>
        <w:tc>
          <w:tcPr>
            <w:tcW w:w="1252" w:type="dxa"/>
          </w:tcPr>
          <w:p w:rsidR="003E7CF5" w:rsidRDefault="00024B00">
            <w:pPr>
              <w:pStyle w:val="TableParagraph"/>
              <w:spacing w:before="112"/>
              <w:ind w:left="116" w:right="116"/>
              <w:jc w:val="center"/>
              <w:rPr>
                <w:sz w:val="24"/>
              </w:rPr>
            </w:pPr>
            <w:r>
              <w:rPr>
                <w:sz w:val="24"/>
              </w:rPr>
              <w:t>2,607**</w:t>
            </w:r>
          </w:p>
        </w:tc>
        <w:tc>
          <w:tcPr>
            <w:tcW w:w="1243" w:type="dxa"/>
          </w:tcPr>
          <w:p w:rsidR="003E7CF5" w:rsidRDefault="00024B00">
            <w:pPr>
              <w:pStyle w:val="TableParagraph"/>
              <w:spacing w:before="112"/>
              <w:ind w:left="134" w:right="135"/>
              <w:jc w:val="center"/>
              <w:rPr>
                <w:sz w:val="24"/>
              </w:rPr>
            </w:pPr>
            <w:r>
              <w:rPr>
                <w:sz w:val="24"/>
              </w:rPr>
              <w:t>47%</w:t>
            </w:r>
          </w:p>
        </w:tc>
      </w:tr>
      <w:tr w:rsidR="003E7CF5">
        <w:trPr>
          <w:trHeight w:val="510"/>
        </w:trPr>
        <w:tc>
          <w:tcPr>
            <w:tcW w:w="1730" w:type="dxa"/>
          </w:tcPr>
          <w:p w:rsidR="003E7CF5" w:rsidRDefault="00024B00">
            <w:pPr>
              <w:pStyle w:val="TableParagraph"/>
              <w:spacing w:before="112"/>
              <w:ind w:left="159"/>
              <w:rPr>
                <w:b/>
                <w:sz w:val="24"/>
              </w:rPr>
            </w:pPr>
            <w:r>
              <w:rPr>
                <w:b/>
                <w:sz w:val="24"/>
              </w:rPr>
              <w:t>[-1;15]</w:t>
            </w:r>
          </w:p>
        </w:tc>
        <w:tc>
          <w:tcPr>
            <w:tcW w:w="2145" w:type="dxa"/>
          </w:tcPr>
          <w:p w:rsidR="003E7CF5" w:rsidRDefault="00024B00">
            <w:pPr>
              <w:pStyle w:val="TableParagraph"/>
              <w:spacing w:before="112"/>
              <w:ind w:left="402" w:right="317"/>
              <w:jc w:val="center"/>
              <w:rPr>
                <w:sz w:val="24"/>
              </w:rPr>
            </w:pPr>
            <w:r>
              <w:rPr>
                <w:sz w:val="24"/>
              </w:rPr>
              <w:t>-0,0069</w:t>
            </w:r>
          </w:p>
        </w:tc>
        <w:tc>
          <w:tcPr>
            <w:tcW w:w="1282" w:type="dxa"/>
          </w:tcPr>
          <w:p w:rsidR="003E7CF5" w:rsidRDefault="00024B00">
            <w:pPr>
              <w:pStyle w:val="TableParagraph"/>
              <w:spacing w:before="112"/>
              <w:ind w:left="336"/>
              <w:rPr>
                <w:sz w:val="24"/>
              </w:rPr>
            </w:pPr>
            <w:r>
              <w:rPr>
                <w:sz w:val="24"/>
              </w:rPr>
              <w:t>-1,467</w:t>
            </w:r>
          </w:p>
        </w:tc>
        <w:tc>
          <w:tcPr>
            <w:tcW w:w="1799" w:type="dxa"/>
          </w:tcPr>
          <w:p w:rsidR="003E7CF5" w:rsidRDefault="00024B00">
            <w:pPr>
              <w:pStyle w:val="TableParagraph"/>
              <w:spacing w:before="112"/>
              <w:ind w:left="305" w:right="115"/>
              <w:jc w:val="center"/>
              <w:rPr>
                <w:sz w:val="24"/>
              </w:rPr>
            </w:pPr>
            <w:r>
              <w:rPr>
                <w:sz w:val="24"/>
              </w:rPr>
              <w:t>-0,0147</w:t>
            </w:r>
          </w:p>
        </w:tc>
        <w:tc>
          <w:tcPr>
            <w:tcW w:w="1252" w:type="dxa"/>
          </w:tcPr>
          <w:p w:rsidR="003E7CF5" w:rsidRDefault="00024B00">
            <w:pPr>
              <w:pStyle w:val="TableParagraph"/>
              <w:spacing w:before="112"/>
              <w:ind w:left="116" w:right="116"/>
              <w:jc w:val="center"/>
              <w:rPr>
                <w:sz w:val="24"/>
              </w:rPr>
            </w:pPr>
            <w:r>
              <w:rPr>
                <w:sz w:val="24"/>
              </w:rPr>
              <w:t>-6,782***</w:t>
            </w:r>
          </w:p>
        </w:tc>
        <w:tc>
          <w:tcPr>
            <w:tcW w:w="1243" w:type="dxa"/>
          </w:tcPr>
          <w:p w:rsidR="003E7CF5" w:rsidRDefault="00024B00">
            <w:pPr>
              <w:pStyle w:val="TableParagraph"/>
              <w:spacing w:before="112"/>
              <w:ind w:left="134" w:right="135"/>
              <w:jc w:val="center"/>
              <w:rPr>
                <w:sz w:val="24"/>
              </w:rPr>
            </w:pPr>
            <w:r>
              <w:rPr>
                <w:sz w:val="24"/>
              </w:rPr>
              <w:t>58%</w:t>
            </w:r>
          </w:p>
        </w:tc>
      </w:tr>
      <w:tr w:rsidR="003E7CF5">
        <w:trPr>
          <w:trHeight w:val="571"/>
        </w:trPr>
        <w:tc>
          <w:tcPr>
            <w:tcW w:w="1730" w:type="dxa"/>
            <w:tcBorders>
              <w:bottom w:val="single" w:sz="12" w:space="0" w:color="000000"/>
            </w:tcBorders>
          </w:tcPr>
          <w:p w:rsidR="003E7CF5" w:rsidRDefault="00024B00">
            <w:pPr>
              <w:pStyle w:val="TableParagraph"/>
              <w:spacing w:before="112"/>
              <w:ind w:left="159"/>
              <w:rPr>
                <w:b/>
                <w:sz w:val="24"/>
              </w:rPr>
            </w:pPr>
            <w:r>
              <w:rPr>
                <w:b/>
                <w:sz w:val="24"/>
              </w:rPr>
              <w:t>[-1;20]</w:t>
            </w:r>
          </w:p>
        </w:tc>
        <w:tc>
          <w:tcPr>
            <w:tcW w:w="2145" w:type="dxa"/>
            <w:tcBorders>
              <w:bottom w:val="single" w:sz="12" w:space="0" w:color="000000"/>
            </w:tcBorders>
          </w:tcPr>
          <w:p w:rsidR="003E7CF5" w:rsidRDefault="00024B00">
            <w:pPr>
              <w:pStyle w:val="TableParagraph"/>
              <w:spacing w:before="112"/>
              <w:ind w:left="402" w:right="317"/>
              <w:jc w:val="center"/>
              <w:rPr>
                <w:sz w:val="24"/>
              </w:rPr>
            </w:pPr>
            <w:r>
              <w:rPr>
                <w:sz w:val="24"/>
              </w:rPr>
              <w:t>-0,0070</w:t>
            </w:r>
          </w:p>
        </w:tc>
        <w:tc>
          <w:tcPr>
            <w:tcW w:w="1282" w:type="dxa"/>
            <w:tcBorders>
              <w:bottom w:val="single" w:sz="12" w:space="0" w:color="000000"/>
            </w:tcBorders>
          </w:tcPr>
          <w:p w:rsidR="003E7CF5" w:rsidRDefault="00024B00">
            <w:pPr>
              <w:pStyle w:val="TableParagraph"/>
              <w:spacing w:before="112"/>
              <w:ind w:left="336"/>
              <w:rPr>
                <w:sz w:val="24"/>
              </w:rPr>
            </w:pPr>
            <w:r>
              <w:rPr>
                <w:sz w:val="24"/>
              </w:rPr>
              <w:t>-1,480</w:t>
            </w:r>
          </w:p>
        </w:tc>
        <w:tc>
          <w:tcPr>
            <w:tcW w:w="1799" w:type="dxa"/>
            <w:tcBorders>
              <w:bottom w:val="single" w:sz="12" w:space="0" w:color="000000"/>
            </w:tcBorders>
          </w:tcPr>
          <w:p w:rsidR="003E7CF5" w:rsidRDefault="00024B00">
            <w:pPr>
              <w:pStyle w:val="TableParagraph"/>
              <w:spacing w:before="112"/>
              <w:ind w:left="305" w:right="115"/>
              <w:jc w:val="center"/>
              <w:rPr>
                <w:sz w:val="24"/>
              </w:rPr>
            </w:pPr>
            <w:r>
              <w:rPr>
                <w:sz w:val="24"/>
              </w:rPr>
              <w:t>-0,0090</w:t>
            </w:r>
          </w:p>
        </w:tc>
        <w:tc>
          <w:tcPr>
            <w:tcW w:w="1252" w:type="dxa"/>
            <w:tcBorders>
              <w:bottom w:val="single" w:sz="12" w:space="0" w:color="000000"/>
            </w:tcBorders>
          </w:tcPr>
          <w:p w:rsidR="003E7CF5" w:rsidRDefault="00024B00">
            <w:pPr>
              <w:pStyle w:val="TableParagraph"/>
              <w:spacing w:before="112"/>
              <w:ind w:left="116" w:right="116"/>
              <w:jc w:val="center"/>
              <w:rPr>
                <w:sz w:val="24"/>
              </w:rPr>
            </w:pPr>
            <w:r>
              <w:rPr>
                <w:sz w:val="24"/>
              </w:rPr>
              <w:t>-4,138***</w:t>
            </w:r>
          </w:p>
        </w:tc>
        <w:tc>
          <w:tcPr>
            <w:tcW w:w="1243" w:type="dxa"/>
            <w:tcBorders>
              <w:bottom w:val="single" w:sz="12" w:space="0" w:color="000000"/>
            </w:tcBorders>
          </w:tcPr>
          <w:p w:rsidR="003E7CF5" w:rsidRDefault="00024B00">
            <w:pPr>
              <w:pStyle w:val="TableParagraph"/>
              <w:spacing w:before="112"/>
              <w:ind w:left="134" w:right="135"/>
              <w:jc w:val="center"/>
              <w:rPr>
                <w:sz w:val="24"/>
              </w:rPr>
            </w:pPr>
            <w:r>
              <w:rPr>
                <w:sz w:val="24"/>
              </w:rPr>
              <w:t>51%</w:t>
            </w:r>
          </w:p>
        </w:tc>
      </w:tr>
    </w:tbl>
    <w:p w:rsidR="003E7CF5" w:rsidRDefault="003E7CF5">
      <w:pPr>
        <w:pStyle w:val="Corpsdetexte"/>
        <w:rPr>
          <w:sz w:val="22"/>
        </w:rPr>
      </w:pPr>
    </w:p>
    <w:p w:rsidR="00747380" w:rsidRPr="00481040" w:rsidRDefault="00024B00" w:rsidP="008C59C3">
      <w:pPr>
        <w:pStyle w:val="Corpsdetexte"/>
        <w:spacing w:before="240" w:after="240" w:line="360" w:lineRule="auto"/>
        <w:ind w:right="50"/>
        <w:jc w:val="both"/>
      </w:pPr>
      <w:r w:rsidRPr="00481040">
        <w:t>Ces premiers résultats permettent de valider la première hypothèse selon laquelle on observe un rendement anormal sur l’ensemble de l’échantillon, et ce sur plusieurs fenêtres sélectionnées. En majorité, l’échantillon est composé d’évènements ayant entrainé des rendements anormalement négatifs. Le test de student ne permet pas de valider ces observations au seuil de 5%. Cependant, l’étude repose sur un échantillon de 53 évènements ce qui peut expliquer le manque de significativité observé avec ce test statistique.</w:t>
      </w:r>
    </w:p>
    <w:p w:rsidR="003E7CF5" w:rsidRPr="00481040" w:rsidRDefault="00024B00" w:rsidP="008C59C3">
      <w:pPr>
        <w:tabs>
          <w:tab w:val="left" w:pos="4960"/>
        </w:tabs>
        <w:spacing w:before="240" w:after="240" w:line="360" w:lineRule="auto"/>
        <w:ind w:right="50"/>
        <w:jc w:val="both"/>
        <w:rPr>
          <w:b/>
          <w:sz w:val="24"/>
          <w:szCs w:val="24"/>
        </w:rPr>
      </w:pPr>
      <w:bookmarkStart w:id="31" w:name="Analyse_par_secteur_d’activité"/>
      <w:bookmarkEnd w:id="31"/>
      <w:r w:rsidRPr="00481040">
        <w:rPr>
          <w:b/>
          <w:sz w:val="24"/>
          <w:szCs w:val="24"/>
        </w:rPr>
        <w:t>Analyse par secteur d’activité</w:t>
      </w:r>
    </w:p>
    <w:p w:rsidR="003E7CF5" w:rsidRPr="00481040" w:rsidRDefault="00024B00" w:rsidP="008C59C3">
      <w:pPr>
        <w:pStyle w:val="Corpsdetexte"/>
        <w:spacing w:before="240" w:after="240" w:line="360" w:lineRule="auto"/>
        <w:ind w:right="50"/>
        <w:jc w:val="both"/>
      </w:pPr>
      <w:r w:rsidRPr="00481040">
        <w:t xml:space="preserve">Dans la description caractéristique de l’échantillon, nous avons pu observer que trois secteurs de notre échantillon sont plus touchés par les cyberattaques. Ces secteurs sont ceux qui disposent de données sensibles et à forte valeur ajoutée dans les domaines de la banque et assurance </w:t>
      </w:r>
      <w:r w:rsidRPr="00481040">
        <w:rPr>
          <w:spacing w:val="3"/>
        </w:rPr>
        <w:t xml:space="preserve">(19% </w:t>
      </w:r>
      <w:r w:rsidRPr="00481040">
        <w:t xml:space="preserve">des attaques collectées), de l’audiovisuel et du divertissement (11% des attaques collectées) et de l’aérospatial (9% des attaques collectées). Cette analyse va nous permettre de valider ou non la seconde hypothèse de cette étude selon laquelle, une atteinte à la sécurité des systèmes </w:t>
      </w:r>
      <w:r w:rsidRPr="00481040">
        <w:lastRenderedPageBreak/>
        <w:t>d’information</w:t>
      </w:r>
      <w:r w:rsidRPr="00481040">
        <w:rPr>
          <w:spacing w:val="-8"/>
        </w:rPr>
        <w:t xml:space="preserve"> </w:t>
      </w:r>
      <w:r w:rsidRPr="00481040">
        <w:t>d’une</w:t>
      </w:r>
      <w:r w:rsidRPr="00481040">
        <w:rPr>
          <w:spacing w:val="-8"/>
        </w:rPr>
        <w:t xml:space="preserve"> </w:t>
      </w:r>
      <w:r w:rsidRPr="00481040">
        <w:t>entreprise</w:t>
      </w:r>
      <w:r w:rsidRPr="00481040">
        <w:rPr>
          <w:spacing w:val="-8"/>
        </w:rPr>
        <w:t xml:space="preserve"> </w:t>
      </w:r>
      <w:r w:rsidRPr="00481040">
        <w:t>entraîne</w:t>
      </w:r>
      <w:r w:rsidRPr="00481040">
        <w:rPr>
          <w:spacing w:val="-8"/>
        </w:rPr>
        <w:t xml:space="preserve"> </w:t>
      </w:r>
      <w:r w:rsidRPr="00481040">
        <w:t>une</w:t>
      </w:r>
      <w:r w:rsidRPr="00481040">
        <w:rPr>
          <w:spacing w:val="-8"/>
        </w:rPr>
        <w:t xml:space="preserve"> </w:t>
      </w:r>
      <w:r w:rsidRPr="00481040">
        <w:t>rentabilité</w:t>
      </w:r>
      <w:r w:rsidRPr="00481040">
        <w:rPr>
          <w:spacing w:val="-8"/>
        </w:rPr>
        <w:t xml:space="preserve"> </w:t>
      </w:r>
      <w:r w:rsidRPr="00481040">
        <w:t>anormalement</w:t>
      </w:r>
      <w:r w:rsidRPr="00481040">
        <w:rPr>
          <w:spacing w:val="-8"/>
        </w:rPr>
        <w:t xml:space="preserve"> </w:t>
      </w:r>
      <w:r w:rsidRPr="00481040">
        <w:t>négative</w:t>
      </w:r>
      <w:r w:rsidRPr="00481040">
        <w:rPr>
          <w:spacing w:val="-4"/>
        </w:rPr>
        <w:t xml:space="preserve"> </w:t>
      </w:r>
      <w:r w:rsidRPr="00481040">
        <w:t>sur</w:t>
      </w:r>
      <w:r w:rsidRPr="00481040">
        <w:rPr>
          <w:spacing w:val="-6"/>
        </w:rPr>
        <w:t xml:space="preserve"> </w:t>
      </w:r>
      <w:r w:rsidRPr="00481040">
        <w:t>le</w:t>
      </w:r>
      <w:r w:rsidRPr="00481040">
        <w:rPr>
          <w:spacing w:val="-8"/>
        </w:rPr>
        <w:t xml:space="preserve"> </w:t>
      </w:r>
      <w:r w:rsidRPr="00481040">
        <w:t>rendement</w:t>
      </w:r>
      <w:r w:rsidRPr="00481040">
        <w:rPr>
          <w:spacing w:val="-8"/>
        </w:rPr>
        <w:t xml:space="preserve"> </w:t>
      </w:r>
      <w:r w:rsidRPr="00481040">
        <w:t>de ses actions lorsqu’elle est rendue publique en fonction de son secteur</w:t>
      </w:r>
      <w:r w:rsidRPr="00481040">
        <w:rPr>
          <w:spacing w:val="-13"/>
        </w:rPr>
        <w:t xml:space="preserve"> </w:t>
      </w:r>
      <w:r w:rsidRPr="00481040">
        <w:t>d’activité.</w:t>
      </w:r>
      <w:r w:rsidR="008C59C3">
        <w:t xml:space="preserve"> </w:t>
      </w:r>
      <w:r w:rsidRPr="00481040">
        <w:t>Afin</w:t>
      </w:r>
      <w:r w:rsidRPr="00481040">
        <w:rPr>
          <w:spacing w:val="-4"/>
        </w:rPr>
        <w:t xml:space="preserve"> </w:t>
      </w:r>
      <w:r w:rsidRPr="00481040">
        <w:t>de</w:t>
      </w:r>
      <w:r w:rsidRPr="00481040">
        <w:rPr>
          <w:spacing w:val="-5"/>
        </w:rPr>
        <w:t xml:space="preserve"> </w:t>
      </w:r>
      <w:r w:rsidRPr="00481040">
        <w:t>pouvoir</w:t>
      </w:r>
      <w:r w:rsidRPr="00481040">
        <w:rPr>
          <w:spacing w:val="-3"/>
        </w:rPr>
        <w:t xml:space="preserve"> </w:t>
      </w:r>
      <w:r w:rsidRPr="00481040">
        <w:t>comparer</w:t>
      </w:r>
      <w:r w:rsidRPr="00481040">
        <w:rPr>
          <w:spacing w:val="-4"/>
        </w:rPr>
        <w:t xml:space="preserve"> </w:t>
      </w:r>
      <w:r w:rsidRPr="00481040">
        <w:t>les</w:t>
      </w:r>
      <w:r w:rsidRPr="00481040">
        <w:rPr>
          <w:spacing w:val="-2"/>
        </w:rPr>
        <w:t xml:space="preserve"> </w:t>
      </w:r>
      <w:r w:rsidRPr="00481040">
        <w:t>moyennes</w:t>
      </w:r>
      <w:r w:rsidRPr="00481040">
        <w:rPr>
          <w:spacing w:val="-1"/>
        </w:rPr>
        <w:t xml:space="preserve"> </w:t>
      </w:r>
      <w:r w:rsidRPr="00481040">
        <w:t>cumulées,</w:t>
      </w:r>
      <w:r w:rsidRPr="00481040">
        <w:rPr>
          <w:spacing w:val="-3"/>
        </w:rPr>
        <w:t xml:space="preserve"> </w:t>
      </w:r>
      <w:r w:rsidRPr="00481040">
        <w:t>les</w:t>
      </w:r>
      <w:r w:rsidRPr="00481040">
        <w:rPr>
          <w:spacing w:val="-2"/>
        </w:rPr>
        <w:t xml:space="preserve"> </w:t>
      </w:r>
      <w:r w:rsidRPr="00481040">
        <w:t>secteurs</w:t>
      </w:r>
      <w:r w:rsidRPr="00481040">
        <w:rPr>
          <w:spacing w:val="-3"/>
        </w:rPr>
        <w:t xml:space="preserve"> </w:t>
      </w:r>
      <w:r w:rsidRPr="00481040">
        <w:t>avec</w:t>
      </w:r>
      <w:r w:rsidRPr="00481040">
        <w:rPr>
          <w:spacing w:val="-5"/>
        </w:rPr>
        <w:t xml:space="preserve"> </w:t>
      </w:r>
      <w:r w:rsidRPr="00481040">
        <w:t>moins</w:t>
      </w:r>
      <w:r w:rsidRPr="00481040">
        <w:rPr>
          <w:spacing w:val="-3"/>
        </w:rPr>
        <w:t xml:space="preserve"> </w:t>
      </w:r>
      <w:r w:rsidRPr="00481040">
        <w:t>de</w:t>
      </w:r>
      <w:r w:rsidRPr="00481040">
        <w:rPr>
          <w:spacing w:val="-3"/>
        </w:rPr>
        <w:t xml:space="preserve"> </w:t>
      </w:r>
      <w:r w:rsidRPr="00481040">
        <w:t>cinq</w:t>
      </w:r>
      <w:r w:rsidRPr="00481040">
        <w:rPr>
          <w:spacing w:val="-4"/>
        </w:rPr>
        <w:t xml:space="preserve"> </w:t>
      </w:r>
      <w:r w:rsidRPr="00481040">
        <w:t>évènements</w:t>
      </w:r>
      <w:r w:rsidRPr="00481040">
        <w:rPr>
          <w:spacing w:val="-3"/>
        </w:rPr>
        <w:t xml:space="preserve"> </w:t>
      </w:r>
      <w:r w:rsidRPr="00481040">
        <w:t>ne sont pas</w:t>
      </w:r>
      <w:r w:rsidRPr="00481040">
        <w:rPr>
          <w:spacing w:val="-1"/>
        </w:rPr>
        <w:t xml:space="preserve"> </w:t>
      </w:r>
      <w:r w:rsidRPr="00481040">
        <w:t>analysés.</w:t>
      </w:r>
    </w:p>
    <w:p w:rsidR="003E7CF5" w:rsidRDefault="00024B00">
      <w:pPr>
        <w:spacing w:before="119"/>
        <w:ind w:left="335"/>
        <w:jc w:val="both"/>
        <w:rPr>
          <w:sz w:val="20"/>
        </w:rPr>
      </w:pPr>
      <w:bookmarkStart w:id="32" w:name="_bookmark32"/>
      <w:bookmarkEnd w:id="32"/>
      <w:r>
        <w:rPr>
          <w:sz w:val="20"/>
        </w:rPr>
        <w:t>Tableau 5 : Résultats d’analyse de la RAMC par secteur d’activité</w:t>
      </w:r>
    </w:p>
    <w:p w:rsidR="003E7CF5" w:rsidRDefault="003E7CF5">
      <w:pPr>
        <w:pStyle w:val="Corpsdetexte"/>
        <w:spacing w:before="7"/>
        <w:rPr>
          <w:sz w:val="13"/>
        </w:rPr>
      </w:pPr>
    </w:p>
    <w:tbl>
      <w:tblPr>
        <w:tblStyle w:val="TableNormal"/>
        <w:tblW w:w="0" w:type="auto"/>
        <w:tblInd w:w="335" w:type="dxa"/>
        <w:tblLayout w:type="fixed"/>
        <w:tblLook w:val="01E0" w:firstRow="1" w:lastRow="1" w:firstColumn="1" w:lastColumn="1" w:noHBand="0" w:noVBand="0"/>
      </w:tblPr>
      <w:tblGrid>
        <w:gridCol w:w="1345"/>
        <w:gridCol w:w="1299"/>
        <w:gridCol w:w="1363"/>
        <w:gridCol w:w="1383"/>
        <w:gridCol w:w="1320"/>
        <w:gridCol w:w="1380"/>
        <w:gridCol w:w="1363"/>
      </w:tblGrid>
      <w:tr w:rsidR="003E7CF5">
        <w:trPr>
          <w:trHeight w:val="2250"/>
        </w:trPr>
        <w:tc>
          <w:tcPr>
            <w:tcW w:w="1345" w:type="dxa"/>
            <w:tcBorders>
              <w:top w:val="single" w:sz="12" w:space="0" w:color="000000"/>
              <w:bottom w:val="single" w:sz="12" w:space="0" w:color="4471C4"/>
            </w:tcBorders>
            <w:shd w:val="clear" w:color="auto" w:fill="D0CECE"/>
            <w:textDirection w:val="btLr"/>
          </w:tcPr>
          <w:p w:rsidR="003E7CF5" w:rsidRDefault="00024B00">
            <w:pPr>
              <w:pStyle w:val="TableParagraph"/>
              <w:spacing w:before="207"/>
              <w:ind w:left="114"/>
              <w:rPr>
                <w:b/>
              </w:rPr>
            </w:pPr>
            <w:r>
              <w:rPr>
                <w:b/>
              </w:rPr>
              <w:t>Fenêtres</w:t>
            </w:r>
          </w:p>
          <w:p w:rsidR="003E7CF5" w:rsidRDefault="00024B00">
            <w:pPr>
              <w:pStyle w:val="TableParagraph"/>
              <w:spacing w:before="127"/>
              <w:ind w:left="114"/>
              <w:rPr>
                <w:b/>
              </w:rPr>
            </w:pPr>
            <w:r>
              <w:rPr>
                <w:b/>
              </w:rPr>
              <w:t>d’ évènements</w:t>
            </w:r>
          </w:p>
        </w:tc>
        <w:tc>
          <w:tcPr>
            <w:tcW w:w="1299" w:type="dxa"/>
            <w:tcBorders>
              <w:top w:val="single" w:sz="12" w:space="0" w:color="000000"/>
              <w:bottom w:val="single" w:sz="12" w:space="0" w:color="4471C4"/>
            </w:tcBorders>
            <w:shd w:val="clear" w:color="auto" w:fill="D0CECE"/>
            <w:textDirection w:val="btLr"/>
          </w:tcPr>
          <w:p w:rsidR="003E7CF5" w:rsidRDefault="003E7CF5">
            <w:pPr>
              <w:pStyle w:val="TableParagraph"/>
              <w:rPr>
                <w:sz w:val="24"/>
              </w:rPr>
            </w:pPr>
          </w:p>
          <w:p w:rsidR="003E7CF5" w:rsidRDefault="00024B00">
            <w:pPr>
              <w:pStyle w:val="TableParagraph"/>
              <w:spacing w:before="157"/>
              <w:ind w:left="114"/>
              <w:rPr>
                <w:b/>
              </w:rPr>
            </w:pPr>
            <w:r>
              <w:rPr>
                <w:b/>
              </w:rPr>
              <w:t>Banque / Assurance</w:t>
            </w:r>
          </w:p>
        </w:tc>
        <w:tc>
          <w:tcPr>
            <w:tcW w:w="1363" w:type="dxa"/>
            <w:tcBorders>
              <w:top w:val="single" w:sz="12" w:space="0" w:color="000000"/>
              <w:bottom w:val="single" w:sz="12" w:space="0" w:color="4471C4"/>
            </w:tcBorders>
            <w:shd w:val="clear" w:color="auto" w:fill="D0CECE"/>
            <w:textDirection w:val="btLr"/>
          </w:tcPr>
          <w:p w:rsidR="003E7CF5" w:rsidRDefault="003E7CF5">
            <w:pPr>
              <w:pStyle w:val="TableParagraph"/>
              <w:spacing w:before="5"/>
              <w:rPr>
                <w:sz w:val="26"/>
              </w:rPr>
            </w:pPr>
          </w:p>
          <w:p w:rsidR="003E7CF5" w:rsidRDefault="00024B00">
            <w:pPr>
              <w:pStyle w:val="TableParagraph"/>
              <w:spacing w:line="360" w:lineRule="auto"/>
              <w:ind w:left="114" w:right="661"/>
              <w:rPr>
                <w:b/>
              </w:rPr>
            </w:pPr>
            <w:r>
              <w:rPr>
                <w:b/>
              </w:rPr>
              <w:t>Audiovisuel et divertissements</w:t>
            </w:r>
          </w:p>
        </w:tc>
        <w:tc>
          <w:tcPr>
            <w:tcW w:w="1383" w:type="dxa"/>
            <w:tcBorders>
              <w:top w:val="single" w:sz="12" w:space="0" w:color="000000"/>
              <w:bottom w:val="single" w:sz="12" w:space="0" w:color="4471C4"/>
            </w:tcBorders>
            <w:shd w:val="clear" w:color="auto" w:fill="D0CECE"/>
            <w:textDirection w:val="btLr"/>
          </w:tcPr>
          <w:p w:rsidR="003E7CF5" w:rsidRDefault="003E7CF5">
            <w:pPr>
              <w:pStyle w:val="TableParagraph"/>
              <w:rPr>
                <w:sz w:val="24"/>
              </w:rPr>
            </w:pPr>
          </w:p>
          <w:p w:rsidR="003E7CF5" w:rsidRDefault="003E7CF5">
            <w:pPr>
              <w:pStyle w:val="TableParagraph"/>
              <w:spacing w:before="9"/>
              <w:rPr>
                <w:sz w:val="18"/>
              </w:rPr>
            </w:pPr>
          </w:p>
          <w:p w:rsidR="003E7CF5" w:rsidRDefault="00024B00">
            <w:pPr>
              <w:pStyle w:val="TableParagraph"/>
              <w:ind w:left="114"/>
              <w:rPr>
                <w:b/>
              </w:rPr>
            </w:pPr>
            <w:r>
              <w:rPr>
                <w:b/>
              </w:rPr>
              <w:t>Énergie</w:t>
            </w:r>
          </w:p>
        </w:tc>
        <w:tc>
          <w:tcPr>
            <w:tcW w:w="1320" w:type="dxa"/>
            <w:tcBorders>
              <w:top w:val="single" w:sz="12" w:space="0" w:color="000000"/>
              <w:bottom w:val="single" w:sz="12" w:space="0" w:color="4471C4"/>
            </w:tcBorders>
            <w:shd w:val="clear" w:color="auto" w:fill="D0CECE"/>
            <w:textDirection w:val="btLr"/>
          </w:tcPr>
          <w:p w:rsidR="003E7CF5" w:rsidRDefault="003E7CF5">
            <w:pPr>
              <w:pStyle w:val="TableParagraph"/>
              <w:rPr>
                <w:sz w:val="24"/>
              </w:rPr>
            </w:pPr>
          </w:p>
          <w:p w:rsidR="003E7CF5" w:rsidRDefault="00024B00">
            <w:pPr>
              <w:pStyle w:val="TableParagraph"/>
              <w:spacing w:before="193"/>
              <w:ind w:left="114"/>
              <w:rPr>
                <w:b/>
              </w:rPr>
            </w:pPr>
            <w:r>
              <w:rPr>
                <w:b/>
              </w:rPr>
              <w:t>Service</w:t>
            </w:r>
          </w:p>
        </w:tc>
        <w:tc>
          <w:tcPr>
            <w:tcW w:w="1380" w:type="dxa"/>
            <w:tcBorders>
              <w:top w:val="single" w:sz="12" w:space="0" w:color="000000"/>
              <w:bottom w:val="single" w:sz="12" w:space="0" w:color="4471C4"/>
            </w:tcBorders>
            <w:shd w:val="clear" w:color="auto" w:fill="D0CECE"/>
            <w:textDirection w:val="btLr"/>
          </w:tcPr>
          <w:p w:rsidR="003E7CF5" w:rsidRDefault="003E7CF5">
            <w:pPr>
              <w:pStyle w:val="TableParagraph"/>
              <w:rPr>
                <w:sz w:val="24"/>
              </w:rPr>
            </w:pPr>
          </w:p>
          <w:p w:rsidR="003E7CF5" w:rsidRDefault="003E7CF5">
            <w:pPr>
              <w:pStyle w:val="TableParagraph"/>
              <w:spacing w:before="9"/>
              <w:rPr>
                <w:sz w:val="20"/>
              </w:rPr>
            </w:pPr>
          </w:p>
          <w:p w:rsidR="003E7CF5" w:rsidRDefault="00024B00">
            <w:pPr>
              <w:pStyle w:val="TableParagraph"/>
              <w:ind w:left="114"/>
              <w:rPr>
                <w:b/>
              </w:rPr>
            </w:pPr>
            <w:r>
              <w:rPr>
                <w:b/>
              </w:rPr>
              <w:t>Aérospatiale</w:t>
            </w:r>
          </w:p>
        </w:tc>
        <w:tc>
          <w:tcPr>
            <w:tcW w:w="1363" w:type="dxa"/>
            <w:tcBorders>
              <w:top w:val="single" w:sz="12" w:space="0" w:color="000000"/>
              <w:bottom w:val="single" w:sz="12" w:space="0" w:color="4471C4"/>
            </w:tcBorders>
            <w:shd w:val="clear" w:color="auto" w:fill="D0CECE"/>
            <w:textDirection w:val="btLr"/>
          </w:tcPr>
          <w:p w:rsidR="003E7CF5" w:rsidRDefault="003E7CF5">
            <w:pPr>
              <w:pStyle w:val="TableParagraph"/>
              <w:spacing w:before="6"/>
              <w:rPr>
                <w:sz w:val="26"/>
              </w:rPr>
            </w:pPr>
          </w:p>
          <w:p w:rsidR="003E7CF5" w:rsidRDefault="00024B00">
            <w:pPr>
              <w:pStyle w:val="TableParagraph"/>
              <w:spacing w:line="360" w:lineRule="auto"/>
              <w:ind w:left="114"/>
              <w:rPr>
                <w:b/>
              </w:rPr>
            </w:pPr>
            <w:r>
              <w:rPr>
                <w:b/>
              </w:rPr>
              <w:t>Télécommunications filaires</w:t>
            </w:r>
          </w:p>
        </w:tc>
      </w:tr>
      <w:tr w:rsidR="003E7CF5">
        <w:trPr>
          <w:trHeight w:val="575"/>
        </w:trPr>
        <w:tc>
          <w:tcPr>
            <w:tcW w:w="1345" w:type="dxa"/>
            <w:tcBorders>
              <w:top w:val="single" w:sz="12" w:space="0" w:color="4471C4"/>
            </w:tcBorders>
          </w:tcPr>
          <w:p w:rsidR="003E7CF5" w:rsidRDefault="00024B00">
            <w:pPr>
              <w:pStyle w:val="TableParagraph"/>
              <w:spacing w:before="2"/>
              <w:ind w:left="117"/>
              <w:rPr>
                <w:i/>
                <w:sz w:val="18"/>
              </w:rPr>
            </w:pPr>
            <w:r>
              <w:rPr>
                <w:i/>
                <w:sz w:val="18"/>
              </w:rPr>
              <w:t>Nombre</w:t>
            </w:r>
          </w:p>
          <w:p w:rsidR="003E7CF5" w:rsidRDefault="00024B00">
            <w:pPr>
              <w:pStyle w:val="TableParagraph"/>
              <w:spacing w:before="103"/>
              <w:ind w:left="117"/>
              <w:rPr>
                <w:i/>
                <w:sz w:val="18"/>
              </w:rPr>
            </w:pPr>
            <w:r>
              <w:rPr>
                <w:i/>
                <w:sz w:val="18"/>
              </w:rPr>
              <w:t>d’évènements</w:t>
            </w:r>
          </w:p>
        </w:tc>
        <w:tc>
          <w:tcPr>
            <w:tcW w:w="1299" w:type="dxa"/>
            <w:tcBorders>
              <w:top w:val="single" w:sz="12" w:space="0" w:color="4471C4"/>
            </w:tcBorders>
          </w:tcPr>
          <w:p w:rsidR="003E7CF5" w:rsidRDefault="00024B00">
            <w:pPr>
              <w:pStyle w:val="TableParagraph"/>
              <w:spacing w:before="157"/>
              <w:ind w:left="510" w:right="569"/>
              <w:jc w:val="center"/>
              <w:rPr>
                <w:i/>
                <w:sz w:val="18"/>
              </w:rPr>
            </w:pPr>
            <w:r>
              <w:rPr>
                <w:i/>
                <w:sz w:val="18"/>
              </w:rPr>
              <w:t>10</w:t>
            </w:r>
          </w:p>
        </w:tc>
        <w:tc>
          <w:tcPr>
            <w:tcW w:w="1363" w:type="dxa"/>
            <w:tcBorders>
              <w:top w:val="single" w:sz="12" w:space="0" w:color="4471C4"/>
            </w:tcBorders>
          </w:tcPr>
          <w:p w:rsidR="003E7CF5" w:rsidRDefault="00024B00">
            <w:pPr>
              <w:pStyle w:val="TableParagraph"/>
              <w:spacing w:before="157"/>
              <w:ind w:right="2"/>
              <w:jc w:val="center"/>
              <w:rPr>
                <w:i/>
                <w:sz w:val="18"/>
              </w:rPr>
            </w:pPr>
            <w:r>
              <w:rPr>
                <w:i/>
                <w:sz w:val="18"/>
              </w:rPr>
              <w:t>6</w:t>
            </w:r>
          </w:p>
        </w:tc>
        <w:tc>
          <w:tcPr>
            <w:tcW w:w="1383" w:type="dxa"/>
            <w:tcBorders>
              <w:top w:val="single" w:sz="12" w:space="0" w:color="4471C4"/>
            </w:tcBorders>
          </w:tcPr>
          <w:p w:rsidR="003E7CF5" w:rsidRDefault="00024B00">
            <w:pPr>
              <w:pStyle w:val="TableParagraph"/>
              <w:spacing w:before="157"/>
              <w:ind w:right="15"/>
              <w:jc w:val="center"/>
              <w:rPr>
                <w:i/>
                <w:sz w:val="18"/>
              </w:rPr>
            </w:pPr>
            <w:r>
              <w:rPr>
                <w:i/>
                <w:sz w:val="18"/>
              </w:rPr>
              <w:t>6</w:t>
            </w:r>
          </w:p>
        </w:tc>
        <w:tc>
          <w:tcPr>
            <w:tcW w:w="1320" w:type="dxa"/>
            <w:tcBorders>
              <w:top w:val="single" w:sz="12" w:space="0" w:color="4471C4"/>
            </w:tcBorders>
          </w:tcPr>
          <w:p w:rsidR="003E7CF5" w:rsidRDefault="00024B00">
            <w:pPr>
              <w:pStyle w:val="TableParagraph"/>
              <w:spacing w:before="157"/>
              <w:jc w:val="center"/>
              <w:rPr>
                <w:i/>
                <w:sz w:val="18"/>
              </w:rPr>
            </w:pPr>
            <w:r>
              <w:rPr>
                <w:i/>
                <w:sz w:val="18"/>
              </w:rPr>
              <w:t>6</w:t>
            </w:r>
          </w:p>
        </w:tc>
        <w:tc>
          <w:tcPr>
            <w:tcW w:w="1380" w:type="dxa"/>
            <w:tcBorders>
              <w:top w:val="single" w:sz="12" w:space="0" w:color="4471C4"/>
            </w:tcBorders>
          </w:tcPr>
          <w:p w:rsidR="003E7CF5" w:rsidRDefault="00024B00">
            <w:pPr>
              <w:pStyle w:val="TableParagraph"/>
              <w:spacing w:before="157"/>
              <w:ind w:left="20"/>
              <w:jc w:val="center"/>
              <w:rPr>
                <w:i/>
                <w:sz w:val="18"/>
              </w:rPr>
            </w:pPr>
            <w:r>
              <w:rPr>
                <w:i/>
                <w:sz w:val="18"/>
              </w:rPr>
              <w:t>5</w:t>
            </w:r>
          </w:p>
        </w:tc>
        <w:tc>
          <w:tcPr>
            <w:tcW w:w="1363" w:type="dxa"/>
            <w:tcBorders>
              <w:top w:val="single" w:sz="12" w:space="0" w:color="4471C4"/>
            </w:tcBorders>
          </w:tcPr>
          <w:p w:rsidR="003E7CF5" w:rsidRDefault="00024B00">
            <w:pPr>
              <w:pStyle w:val="TableParagraph"/>
              <w:spacing w:before="157"/>
              <w:jc w:val="center"/>
              <w:rPr>
                <w:i/>
                <w:sz w:val="18"/>
              </w:rPr>
            </w:pPr>
            <w:r>
              <w:rPr>
                <w:i/>
                <w:sz w:val="18"/>
              </w:rPr>
              <w:t>5</w:t>
            </w:r>
          </w:p>
        </w:tc>
      </w:tr>
      <w:tr w:rsidR="003E7CF5">
        <w:trPr>
          <w:trHeight w:val="392"/>
        </w:trPr>
        <w:tc>
          <w:tcPr>
            <w:tcW w:w="1345" w:type="dxa"/>
          </w:tcPr>
          <w:p w:rsidR="003E7CF5" w:rsidRDefault="00024B00">
            <w:pPr>
              <w:pStyle w:val="TableParagraph"/>
              <w:spacing w:before="46"/>
              <w:ind w:left="117"/>
              <w:rPr>
                <w:b/>
                <w:sz w:val="24"/>
              </w:rPr>
            </w:pPr>
            <w:r>
              <w:rPr>
                <w:b/>
                <w:sz w:val="24"/>
              </w:rPr>
              <w:t>[0;1]</w:t>
            </w:r>
          </w:p>
        </w:tc>
        <w:tc>
          <w:tcPr>
            <w:tcW w:w="1299" w:type="dxa"/>
          </w:tcPr>
          <w:p w:rsidR="003E7CF5" w:rsidRDefault="00024B00">
            <w:pPr>
              <w:pStyle w:val="TableParagraph"/>
              <w:spacing w:before="46"/>
              <w:ind w:left="248"/>
              <w:rPr>
                <w:sz w:val="24"/>
              </w:rPr>
            </w:pPr>
            <w:r>
              <w:rPr>
                <w:sz w:val="24"/>
              </w:rPr>
              <w:t>-0,0054</w:t>
            </w:r>
          </w:p>
        </w:tc>
        <w:tc>
          <w:tcPr>
            <w:tcW w:w="1363" w:type="dxa"/>
          </w:tcPr>
          <w:p w:rsidR="003E7CF5" w:rsidRDefault="00024B00">
            <w:pPr>
              <w:pStyle w:val="TableParagraph"/>
              <w:spacing w:before="46"/>
              <w:ind w:left="289" w:right="291"/>
              <w:jc w:val="center"/>
              <w:rPr>
                <w:sz w:val="24"/>
              </w:rPr>
            </w:pPr>
            <w:r>
              <w:rPr>
                <w:sz w:val="24"/>
              </w:rPr>
              <w:t>0,0016</w:t>
            </w:r>
          </w:p>
        </w:tc>
        <w:tc>
          <w:tcPr>
            <w:tcW w:w="1383" w:type="dxa"/>
          </w:tcPr>
          <w:p w:rsidR="003E7CF5" w:rsidRDefault="00024B00">
            <w:pPr>
              <w:pStyle w:val="TableParagraph"/>
              <w:spacing w:before="46"/>
              <w:ind w:left="294" w:right="309"/>
              <w:jc w:val="center"/>
              <w:rPr>
                <w:sz w:val="24"/>
              </w:rPr>
            </w:pPr>
            <w:r>
              <w:rPr>
                <w:sz w:val="24"/>
              </w:rPr>
              <w:t>-0,0090</w:t>
            </w:r>
          </w:p>
        </w:tc>
        <w:tc>
          <w:tcPr>
            <w:tcW w:w="1320" w:type="dxa"/>
          </w:tcPr>
          <w:p w:rsidR="003E7CF5" w:rsidRDefault="00024B00">
            <w:pPr>
              <w:pStyle w:val="TableParagraph"/>
              <w:spacing w:before="46"/>
              <w:ind w:left="310" w:right="310"/>
              <w:jc w:val="center"/>
              <w:rPr>
                <w:sz w:val="24"/>
              </w:rPr>
            </w:pPr>
            <w:r>
              <w:rPr>
                <w:sz w:val="24"/>
              </w:rPr>
              <w:t>0,0018</w:t>
            </w:r>
          </w:p>
        </w:tc>
        <w:tc>
          <w:tcPr>
            <w:tcW w:w="1380" w:type="dxa"/>
          </w:tcPr>
          <w:p w:rsidR="003E7CF5" w:rsidRDefault="00024B00">
            <w:pPr>
              <w:pStyle w:val="TableParagraph"/>
              <w:spacing w:before="46"/>
              <w:ind w:left="310" w:right="290"/>
              <w:jc w:val="center"/>
              <w:rPr>
                <w:sz w:val="24"/>
              </w:rPr>
            </w:pPr>
            <w:r>
              <w:rPr>
                <w:sz w:val="24"/>
              </w:rPr>
              <w:t>-0,0056</w:t>
            </w:r>
          </w:p>
        </w:tc>
        <w:tc>
          <w:tcPr>
            <w:tcW w:w="1363" w:type="dxa"/>
          </w:tcPr>
          <w:p w:rsidR="003E7CF5" w:rsidRDefault="00024B00">
            <w:pPr>
              <w:pStyle w:val="TableParagraph"/>
              <w:spacing w:before="46"/>
              <w:ind w:left="290" w:right="290"/>
              <w:jc w:val="center"/>
              <w:rPr>
                <w:sz w:val="24"/>
              </w:rPr>
            </w:pPr>
            <w:r>
              <w:rPr>
                <w:sz w:val="24"/>
              </w:rPr>
              <w:t>0,0027</w:t>
            </w:r>
          </w:p>
        </w:tc>
      </w:tr>
      <w:tr w:rsidR="003E7CF5">
        <w:trPr>
          <w:trHeight w:val="450"/>
        </w:trPr>
        <w:tc>
          <w:tcPr>
            <w:tcW w:w="1345" w:type="dxa"/>
          </w:tcPr>
          <w:p w:rsidR="003E7CF5" w:rsidRDefault="00024B00">
            <w:pPr>
              <w:pStyle w:val="TableParagraph"/>
              <w:spacing w:before="63"/>
              <w:ind w:left="117"/>
              <w:rPr>
                <w:i/>
              </w:rPr>
            </w:pPr>
            <w:r>
              <w:rPr>
                <w:i/>
              </w:rPr>
              <w:t>t-value</w:t>
            </w:r>
          </w:p>
        </w:tc>
        <w:tc>
          <w:tcPr>
            <w:tcW w:w="1299" w:type="dxa"/>
          </w:tcPr>
          <w:p w:rsidR="003E7CF5" w:rsidRDefault="00024B00">
            <w:pPr>
              <w:pStyle w:val="TableParagraph"/>
              <w:spacing w:before="61"/>
              <w:ind w:left="313"/>
              <w:rPr>
                <w:i/>
                <w:sz w:val="20"/>
              </w:rPr>
            </w:pPr>
            <w:r>
              <w:rPr>
                <w:i/>
                <w:sz w:val="20"/>
              </w:rPr>
              <w:t>-1,1401</w:t>
            </w:r>
          </w:p>
        </w:tc>
        <w:tc>
          <w:tcPr>
            <w:tcW w:w="1363" w:type="dxa"/>
          </w:tcPr>
          <w:p w:rsidR="003E7CF5" w:rsidRDefault="00024B00">
            <w:pPr>
              <w:pStyle w:val="TableParagraph"/>
              <w:spacing w:before="61"/>
              <w:ind w:left="289" w:right="291"/>
              <w:jc w:val="center"/>
              <w:rPr>
                <w:i/>
                <w:sz w:val="20"/>
              </w:rPr>
            </w:pPr>
            <w:r>
              <w:rPr>
                <w:i/>
                <w:sz w:val="20"/>
              </w:rPr>
              <w:t>0,3494</w:t>
            </w:r>
          </w:p>
        </w:tc>
        <w:tc>
          <w:tcPr>
            <w:tcW w:w="1383" w:type="dxa"/>
          </w:tcPr>
          <w:p w:rsidR="003E7CF5" w:rsidRDefault="00024B00">
            <w:pPr>
              <w:pStyle w:val="TableParagraph"/>
              <w:spacing w:before="61"/>
              <w:ind w:left="294" w:right="304"/>
              <w:jc w:val="center"/>
              <w:rPr>
                <w:i/>
                <w:sz w:val="20"/>
              </w:rPr>
            </w:pPr>
            <w:r>
              <w:rPr>
                <w:i/>
                <w:sz w:val="20"/>
              </w:rPr>
              <w:t>-1,9159</w:t>
            </w:r>
          </w:p>
        </w:tc>
        <w:tc>
          <w:tcPr>
            <w:tcW w:w="1320" w:type="dxa"/>
          </w:tcPr>
          <w:p w:rsidR="003E7CF5" w:rsidRDefault="00024B00">
            <w:pPr>
              <w:pStyle w:val="TableParagraph"/>
              <w:spacing w:before="61"/>
              <w:ind w:left="310" w:right="310"/>
              <w:jc w:val="center"/>
              <w:rPr>
                <w:i/>
                <w:sz w:val="20"/>
              </w:rPr>
            </w:pPr>
            <w:r>
              <w:rPr>
                <w:i/>
                <w:sz w:val="20"/>
              </w:rPr>
              <w:t>0,3870</w:t>
            </w:r>
          </w:p>
        </w:tc>
        <w:tc>
          <w:tcPr>
            <w:tcW w:w="1380" w:type="dxa"/>
          </w:tcPr>
          <w:p w:rsidR="003E7CF5" w:rsidRDefault="00024B00">
            <w:pPr>
              <w:pStyle w:val="TableParagraph"/>
              <w:spacing w:before="61"/>
              <w:ind w:left="310" w:right="285"/>
              <w:jc w:val="center"/>
              <w:rPr>
                <w:i/>
                <w:sz w:val="20"/>
              </w:rPr>
            </w:pPr>
            <w:r>
              <w:rPr>
                <w:i/>
                <w:sz w:val="20"/>
              </w:rPr>
              <w:t>-1,1795</w:t>
            </w:r>
          </w:p>
        </w:tc>
        <w:tc>
          <w:tcPr>
            <w:tcW w:w="1363" w:type="dxa"/>
          </w:tcPr>
          <w:p w:rsidR="003E7CF5" w:rsidRDefault="00024B00">
            <w:pPr>
              <w:pStyle w:val="TableParagraph"/>
              <w:spacing w:before="61"/>
              <w:ind w:left="290" w:right="290"/>
              <w:jc w:val="center"/>
              <w:rPr>
                <w:i/>
                <w:sz w:val="20"/>
              </w:rPr>
            </w:pPr>
            <w:r>
              <w:rPr>
                <w:i/>
                <w:sz w:val="20"/>
              </w:rPr>
              <w:t>0,5786</w:t>
            </w:r>
          </w:p>
        </w:tc>
      </w:tr>
      <w:tr w:rsidR="003E7CF5">
        <w:trPr>
          <w:trHeight w:val="469"/>
        </w:trPr>
        <w:tc>
          <w:tcPr>
            <w:tcW w:w="1345" w:type="dxa"/>
          </w:tcPr>
          <w:p w:rsidR="003E7CF5" w:rsidRDefault="00024B00">
            <w:pPr>
              <w:pStyle w:val="TableParagraph"/>
              <w:spacing w:before="124"/>
              <w:ind w:left="117"/>
              <w:rPr>
                <w:b/>
                <w:sz w:val="24"/>
              </w:rPr>
            </w:pPr>
            <w:r>
              <w:rPr>
                <w:b/>
                <w:sz w:val="24"/>
              </w:rPr>
              <w:t>[-1;1]</w:t>
            </w:r>
          </w:p>
        </w:tc>
        <w:tc>
          <w:tcPr>
            <w:tcW w:w="1299" w:type="dxa"/>
          </w:tcPr>
          <w:p w:rsidR="003E7CF5" w:rsidRDefault="00024B00">
            <w:pPr>
              <w:pStyle w:val="TableParagraph"/>
              <w:spacing w:before="124"/>
              <w:ind w:left="248"/>
              <w:rPr>
                <w:sz w:val="24"/>
              </w:rPr>
            </w:pPr>
            <w:r>
              <w:rPr>
                <w:sz w:val="24"/>
              </w:rPr>
              <w:t>-0,0056</w:t>
            </w:r>
          </w:p>
        </w:tc>
        <w:tc>
          <w:tcPr>
            <w:tcW w:w="1363" w:type="dxa"/>
          </w:tcPr>
          <w:p w:rsidR="003E7CF5" w:rsidRDefault="00024B00">
            <w:pPr>
              <w:pStyle w:val="TableParagraph"/>
              <w:spacing w:before="124"/>
              <w:ind w:left="289" w:right="291"/>
              <w:jc w:val="center"/>
              <w:rPr>
                <w:sz w:val="24"/>
              </w:rPr>
            </w:pPr>
            <w:r>
              <w:rPr>
                <w:sz w:val="24"/>
              </w:rPr>
              <w:t>0,0380</w:t>
            </w:r>
          </w:p>
        </w:tc>
        <w:tc>
          <w:tcPr>
            <w:tcW w:w="1383" w:type="dxa"/>
          </w:tcPr>
          <w:p w:rsidR="003E7CF5" w:rsidRDefault="00024B00">
            <w:pPr>
              <w:pStyle w:val="TableParagraph"/>
              <w:spacing w:before="124"/>
              <w:ind w:left="294" w:right="309"/>
              <w:jc w:val="center"/>
              <w:rPr>
                <w:sz w:val="24"/>
              </w:rPr>
            </w:pPr>
            <w:r>
              <w:rPr>
                <w:sz w:val="24"/>
              </w:rPr>
              <w:t>-0,0145</w:t>
            </w:r>
          </w:p>
        </w:tc>
        <w:tc>
          <w:tcPr>
            <w:tcW w:w="1320" w:type="dxa"/>
          </w:tcPr>
          <w:p w:rsidR="003E7CF5" w:rsidRDefault="00024B00">
            <w:pPr>
              <w:pStyle w:val="TableParagraph"/>
              <w:spacing w:before="124"/>
              <w:ind w:left="310" w:right="310"/>
              <w:jc w:val="center"/>
              <w:rPr>
                <w:sz w:val="24"/>
              </w:rPr>
            </w:pPr>
            <w:r>
              <w:rPr>
                <w:sz w:val="24"/>
              </w:rPr>
              <w:t>0,0110</w:t>
            </w:r>
          </w:p>
        </w:tc>
        <w:tc>
          <w:tcPr>
            <w:tcW w:w="1380" w:type="dxa"/>
          </w:tcPr>
          <w:p w:rsidR="003E7CF5" w:rsidRDefault="00024B00">
            <w:pPr>
              <w:pStyle w:val="TableParagraph"/>
              <w:spacing w:before="124"/>
              <w:ind w:left="310" w:right="290"/>
              <w:jc w:val="center"/>
              <w:rPr>
                <w:sz w:val="24"/>
              </w:rPr>
            </w:pPr>
            <w:r>
              <w:rPr>
                <w:sz w:val="24"/>
              </w:rPr>
              <w:t>0,0007</w:t>
            </w:r>
          </w:p>
        </w:tc>
        <w:tc>
          <w:tcPr>
            <w:tcW w:w="1363" w:type="dxa"/>
          </w:tcPr>
          <w:p w:rsidR="003E7CF5" w:rsidRDefault="00024B00">
            <w:pPr>
              <w:pStyle w:val="TableParagraph"/>
              <w:spacing w:before="124"/>
              <w:ind w:left="290" w:right="290"/>
              <w:jc w:val="center"/>
              <w:rPr>
                <w:sz w:val="24"/>
              </w:rPr>
            </w:pPr>
            <w:r>
              <w:rPr>
                <w:sz w:val="24"/>
              </w:rPr>
              <w:t>0,0005</w:t>
            </w:r>
          </w:p>
        </w:tc>
      </w:tr>
      <w:tr w:rsidR="003E7CF5">
        <w:trPr>
          <w:trHeight w:val="450"/>
        </w:trPr>
        <w:tc>
          <w:tcPr>
            <w:tcW w:w="1345" w:type="dxa"/>
          </w:tcPr>
          <w:p w:rsidR="003E7CF5" w:rsidRDefault="00024B00">
            <w:pPr>
              <w:pStyle w:val="TableParagraph"/>
              <w:spacing w:before="62"/>
              <w:ind w:left="117"/>
              <w:rPr>
                <w:i/>
              </w:rPr>
            </w:pPr>
            <w:r>
              <w:rPr>
                <w:i/>
              </w:rPr>
              <w:t>t-value</w:t>
            </w:r>
          </w:p>
        </w:tc>
        <w:tc>
          <w:tcPr>
            <w:tcW w:w="1299" w:type="dxa"/>
          </w:tcPr>
          <w:p w:rsidR="003E7CF5" w:rsidRDefault="00024B00">
            <w:pPr>
              <w:pStyle w:val="TableParagraph"/>
              <w:spacing w:before="61"/>
              <w:ind w:left="363"/>
              <w:rPr>
                <w:i/>
                <w:sz w:val="20"/>
              </w:rPr>
            </w:pPr>
            <w:r>
              <w:rPr>
                <w:i/>
                <w:sz w:val="20"/>
              </w:rPr>
              <w:t>-1,185</w:t>
            </w:r>
          </w:p>
        </w:tc>
        <w:tc>
          <w:tcPr>
            <w:tcW w:w="1363" w:type="dxa"/>
          </w:tcPr>
          <w:p w:rsidR="003E7CF5" w:rsidRDefault="00024B00">
            <w:pPr>
              <w:pStyle w:val="TableParagraph"/>
              <w:spacing w:before="61"/>
              <w:ind w:left="289" w:right="291"/>
              <w:jc w:val="center"/>
              <w:rPr>
                <w:i/>
                <w:sz w:val="20"/>
              </w:rPr>
            </w:pPr>
            <w:r>
              <w:rPr>
                <w:i/>
                <w:sz w:val="20"/>
              </w:rPr>
              <w:t>8,079</w:t>
            </w:r>
          </w:p>
        </w:tc>
        <w:tc>
          <w:tcPr>
            <w:tcW w:w="1383" w:type="dxa"/>
          </w:tcPr>
          <w:p w:rsidR="003E7CF5" w:rsidRDefault="00024B00">
            <w:pPr>
              <w:pStyle w:val="TableParagraph"/>
              <w:spacing w:before="61"/>
              <w:ind w:left="294" w:right="304"/>
              <w:jc w:val="center"/>
              <w:rPr>
                <w:i/>
                <w:sz w:val="20"/>
              </w:rPr>
            </w:pPr>
            <w:r>
              <w:rPr>
                <w:i/>
                <w:sz w:val="20"/>
              </w:rPr>
              <w:t>-3,080</w:t>
            </w:r>
          </w:p>
        </w:tc>
        <w:tc>
          <w:tcPr>
            <w:tcW w:w="1320" w:type="dxa"/>
          </w:tcPr>
          <w:p w:rsidR="003E7CF5" w:rsidRDefault="00024B00">
            <w:pPr>
              <w:pStyle w:val="TableParagraph"/>
              <w:spacing w:before="61"/>
              <w:ind w:left="310" w:right="310"/>
              <w:jc w:val="center"/>
              <w:rPr>
                <w:i/>
                <w:sz w:val="20"/>
              </w:rPr>
            </w:pPr>
            <w:r>
              <w:rPr>
                <w:i/>
                <w:sz w:val="20"/>
              </w:rPr>
              <w:t>2,346</w:t>
            </w:r>
          </w:p>
        </w:tc>
        <w:tc>
          <w:tcPr>
            <w:tcW w:w="1380" w:type="dxa"/>
          </w:tcPr>
          <w:p w:rsidR="003E7CF5" w:rsidRDefault="00024B00">
            <w:pPr>
              <w:pStyle w:val="TableParagraph"/>
              <w:spacing w:before="61"/>
              <w:ind w:left="310" w:right="290"/>
              <w:jc w:val="center"/>
              <w:rPr>
                <w:i/>
                <w:sz w:val="20"/>
              </w:rPr>
            </w:pPr>
            <w:r>
              <w:rPr>
                <w:i/>
                <w:sz w:val="20"/>
              </w:rPr>
              <w:t>0,148</w:t>
            </w:r>
          </w:p>
        </w:tc>
        <w:tc>
          <w:tcPr>
            <w:tcW w:w="1363" w:type="dxa"/>
          </w:tcPr>
          <w:p w:rsidR="003E7CF5" w:rsidRDefault="00024B00">
            <w:pPr>
              <w:pStyle w:val="TableParagraph"/>
              <w:spacing w:before="61"/>
              <w:ind w:left="290" w:right="290"/>
              <w:jc w:val="center"/>
              <w:rPr>
                <w:i/>
                <w:sz w:val="20"/>
              </w:rPr>
            </w:pPr>
            <w:r>
              <w:rPr>
                <w:i/>
                <w:sz w:val="20"/>
              </w:rPr>
              <w:t>0,098</w:t>
            </w:r>
          </w:p>
        </w:tc>
      </w:tr>
      <w:tr w:rsidR="003E7CF5">
        <w:trPr>
          <w:trHeight w:val="470"/>
        </w:trPr>
        <w:tc>
          <w:tcPr>
            <w:tcW w:w="1345" w:type="dxa"/>
          </w:tcPr>
          <w:p w:rsidR="003E7CF5" w:rsidRDefault="00024B00">
            <w:pPr>
              <w:pStyle w:val="TableParagraph"/>
              <w:spacing w:before="124"/>
              <w:ind w:left="117"/>
              <w:rPr>
                <w:b/>
                <w:sz w:val="24"/>
              </w:rPr>
            </w:pPr>
            <w:r>
              <w:rPr>
                <w:b/>
                <w:sz w:val="24"/>
              </w:rPr>
              <w:t>[0;3]</w:t>
            </w:r>
          </w:p>
        </w:tc>
        <w:tc>
          <w:tcPr>
            <w:tcW w:w="1299" w:type="dxa"/>
          </w:tcPr>
          <w:p w:rsidR="003E7CF5" w:rsidRDefault="00024B00">
            <w:pPr>
              <w:pStyle w:val="TableParagraph"/>
              <w:spacing w:before="124"/>
              <w:ind w:left="248"/>
              <w:rPr>
                <w:sz w:val="24"/>
              </w:rPr>
            </w:pPr>
            <w:r>
              <w:rPr>
                <w:sz w:val="24"/>
              </w:rPr>
              <w:t>-0,0033</w:t>
            </w:r>
          </w:p>
        </w:tc>
        <w:tc>
          <w:tcPr>
            <w:tcW w:w="1363" w:type="dxa"/>
          </w:tcPr>
          <w:p w:rsidR="003E7CF5" w:rsidRDefault="00024B00">
            <w:pPr>
              <w:pStyle w:val="TableParagraph"/>
              <w:spacing w:before="124"/>
              <w:ind w:left="289" w:right="291"/>
              <w:jc w:val="center"/>
              <w:rPr>
                <w:sz w:val="24"/>
              </w:rPr>
            </w:pPr>
            <w:r>
              <w:rPr>
                <w:sz w:val="24"/>
              </w:rPr>
              <w:t>-0,0101</w:t>
            </w:r>
          </w:p>
        </w:tc>
        <w:tc>
          <w:tcPr>
            <w:tcW w:w="1383" w:type="dxa"/>
          </w:tcPr>
          <w:p w:rsidR="003E7CF5" w:rsidRDefault="00024B00">
            <w:pPr>
              <w:pStyle w:val="TableParagraph"/>
              <w:spacing w:before="124"/>
              <w:ind w:left="294" w:right="309"/>
              <w:jc w:val="center"/>
              <w:rPr>
                <w:sz w:val="24"/>
              </w:rPr>
            </w:pPr>
            <w:r>
              <w:rPr>
                <w:sz w:val="24"/>
              </w:rPr>
              <w:t>-0,0151</w:t>
            </w:r>
          </w:p>
        </w:tc>
        <w:tc>
          <w:tcPr>
            <w:tcW w:w="1320" w:type="dxa"/>
          </w:tcPr>
          <w:p w:rsidR="003E7CF5" w:rsidRDefault="00024B00">
            <w:pPr>
              <w:pStyle w:val="TableParagraph"/>
              <w:spacing w:before="124"/>
              <w:ind w:left="310" w:right="310"/>
              <w:jc w:val="center"/>
              <w:rPr>
                <w:sz w:val="24"/>
              </w:rPr>
            </w:pPr>
            <w:r>
              <w:rPr>
                <w:sz w:val="24"/>
              </w:rPr>
              <w:t>0,0101</w:t>
            </w:r>
          </w:p>
        </w:tc>
        <w:tc>
          <w:tcPr>
            <w:tcW w:w="1380" w:type="dxa"/>
          </w:tcPr>
          <w:p w:rsidR="003E7CF5" w:rsidRDefault="00024B00">
            <w:pPr>
              <w:pStyle w:val="TableParagraph"/>
              <w:spacing w:before="124"/>
              <w:ind w:left="310" w:right="290"/>
              <w:jc w:val="center"/>
              <w:rPr>
                <w:sz w:val="24"/>
              </w:rPr>
            </w:pPr>
            <w:r>
              <w:rPr>
                <w:sz w:val="24"/>
              </w:rPr>
              <w:t>-0,0195</w:t>
            </w:r>
          </w:p>
        </w:tc>
        <w:tc>
          <w:tcPr>
            <w:tcW w:w="1363" w:type="dxa"/>
          </w:tcPr>
          <w:p w:rsidR="003E7CF5" w:rsidRDefault="00024B00">
            <w:pPr>
              <w:pStyle w:val="TableParagraph"/>
              <w:spacing w:before="124"/>
              <w:ind w:left="290" w:right="290"/>
              <w:jc w:val="center"/>
              <w:rPr>
                <w:sz w:val="24"/>
              </w:rPr>
            </w:pPr>
            <w:r>
              <w:rPr>
                <w:sz w:val="24"/>
              </w:rPr>
              <w:t>0,0006</w:t>
            </w:r>
          </w:p>
        </w:tc>
      </w:tr>
      <w:tr w:rsidR="003E7CF5">
        <w:trPr>
          <w:trHeight w:val="450"/>
        </w:trPr>
        <w:tc>
          <w:tcPr>
            <w:tcW w:w="1345" w:type="dxa"/>
          </w:tcPr>
          <w:p w:rsidR="003E7CF5" w:rsidRDefault="00024B00">
            <w:pPr>
              <w:pStyle w:val="TableParagraph"/>
              <w:spacing w:before="63"/>
              <w:ind w:left="117"/>
              <w:rPr>
                <w:i/>
              </w:rPr>
            </w:pPr>
            <w:r>
              <w:rPr>
                <w:i/>
              </w:rPr>
              <w:t>t-value</w:t>
            </w:r>
          </w:p>
        </w:tc>
        <w:tc>
          <w:tcPr>
            <w:tcW w:w="1299" w:type="dxa"/>
          </w:tcPr>
          <w:p w:rsidR="003E7CF5" w:rsidRDefault="00024B00">
            <w:pPr>
              <w:pStyle w:val="TableParagraph"/>
              <w:spacing w:before="61"/>
              <w:ind w:left="313"/>
              <w:rPr>
                <w:i/>
                <w:sz w:val="20"/>
              </w:rPr>
            </w:pPr>
            <w:r>
              <w:rPr>
                <w:i/>
                <w:sz w:val="20"/>
              </w:rPr>
              <w:t>-0,6990</w:t>
            </w:r>
          </w:p>
        </w:tc>
        <w:tc>
          <w:tcPr>
            <w:tcW w:w="1363" w:type="dxa"/>
          </w:tcPr>
          <w:p w:rsidR="003E7CF5" w:rsidRDefault="00024B00">
            <w:pPr>
              <w:pStyle w:val="TableParagraph"/>
              <w:spacing w:before="61"/>
              <w:ind w:left="290" w:right="288"/>
              <w:jc w:val="center"/>
              <w:rPr>
                <w:i/>
                <w:sz w:val="20"/>
              </w:rPr>
            </w:pPr>
            <w:r>
              <w:rPr>
                <w:i/>
                <w:sz w:val="20"/>
              </w:rPr>
              <w:t>-2,1355</w:t>
            </w:r>
          </w:p>
        </w:tc>
        <w:tc>
          <w:tcPr>
            <w:tcW w:w="1383" w:type="dxa"/>
          </w:tcPr>
          <w:p w:rsidR="003E7CF5" w:rsidRDefault="00024B00">
            <w:pPr>
              <w:pStyle w:val="TableParagraph"/>
              <w:spacing w:before="61"/>
              <w:ind w:left="294" w:right="304"/>
              <w:jc w:val="center"/>
              <w:rPr>
                <w:i/>
                <w:sz w:val="20"/>
              </w:rPr>
            </w:pPr>
            <w:r>
              <w:rPr>
                <w:i/>
                <w:sz w:val="20"/>
              </w:rPr>
              <w:t>-3,2147</w:t>
            </w:r>
          </w:p>
        </w:tc>
        <w:tc>
          <w:tcPr>
            <w:tcW w:w="1320" w:type="dxa"/>
          </w:tcPr>
          <w:p w:rsidR="003E7CF5" w:rsidRDefault="00024B00">
            <w:pPr>
              <w:pStyle w:val="TableParagraph"/>
              <w:spacing w:before="61"/>
              <w:ind w:left="310" w:right="310"/>
              <w:jc w:val="center"/>
              <w:rPr>
                <w:i/>
                <w:sz w:val="20"/>
              </w:rPr>
            </w:pPr>
            <w:r>
              <w:rPr>
                <w:i/>
                <w:sz w:val="20"/>
              </w:rPr>
              <w:t>2,1445</w:t>
            </w:r>
          </w:p>
        </w:tc>
        <w:tc>
          <w:tcPr>
            <w:tcW w:w="1380" w:type="dxa"/>
          </w:tcPr>
          <w:p w:rsidR="003E7CF5" w:rsidRDefault="00024B00">
            <w:pPr>
              <w:pStyle w:val="TableParagraph"/>
              <w:spacing w:before="61"/>
              <w:ind w:left="310" w:right="285"/>
              <w:jc w:val="center"/>
              <w:rPr>
                <w:i/>
                <w:sz w:val="20"/>
              </w:rPr>
            </w:pPr>
            <w:r>
              <w:rPr>
                <w:i/>
                <w:sz w:val="20"/>
              </w:rPr>
              <w:t>-4,1418</w:t>
            </w:r>
          </w:p>
        </w:tc>
        <w:tc>
          <w:tcPr>
            <w:tcW w:w="1363" w:type="dxa"/>
          </w:tcPr>
          <w:p w:rsidR="003E7CF5" w:rsidRDefault="00024B00">
            <w:pPr>
              <w:pStyle w:val="TableParagraph"/>
              <w:spacing w:before="61"/>
              <w:ind w:left="290" w:right="290"/>
              <w:jc w:val="center"/>
              <w:rPr>
                <w:i/>
                <w:sz w:val="20"/>
              </w:rPr>
            </w:pPr>
            <w:r>
              <w:rPr>
                <w:i/>
                <w:sz w:val="20"/>
              </w:rPr>
              <w:t>0,1292</w:t>
            </w:r>
          </w:p>
        </w:tc>
      </w:tr>
      <w:tr w:rsidR="003E7CF5">
        <w:trPr>
          <w:trHeight w:val="469"/>
        </w:trPr>
        <w:tc>
          <w:tcPr>
            <w:tcW w:w="1345" w:type="dxa"/>
          </w:tcPr>
          <w:p w:rsidR="003E7CF5" w:rsidRDefault="00024B00">
            <w:pPr>
              <w:pStyle w:val="TableParagraph"/>
              <w:spacing w:before="124"/>
              <w:ind w:left="117"/>
              <w:rPr>
                <w:b/>
                <w:sz w:val="24"/>
              </w:rPr>
            </w:pPr>
            <w:r>
              <w:rPr>
                <w:b/>
                <w:sz w:val="24"/>
              </w:rPr>
              <w:t>[-1;5]</w:t>
            </w:r>
          </w:p>
        </w:tc>
        <w:tc>
          <w:tcPr>
            <w:tcW w:w="1299" w:type="dxa"/>
          </w:tcPr>
          <w:p w:rsidR="003E7CF5" w:rsidRDefault="00024B00">
            <w:pPr>
              <w:pStyle w:val="TableParagraph"/>
              <w:spacing w:before="124"/>
              <w:ind w:left="248"/>
              <w:rPr>
                <w:sz w:val="24"/>
              </w:rPr>
            </w:pPr>
            <w:r>
              <w:rPr>
                <w:sz w:val="24"/>
              </w:rPr>
              <w:t>-0,0204</w:t>
            </w:r>
          </w:p>
        </w:tc>
        <w:tc>
          <w:tcPr>
            <w:tcW w:w="1363" w:type="dxa"/>
          </w:tcPr>
          <w:p w:rsidR="003E7CF5" w:rsidRDefault="00024B00">
            <w:pPr>
              <w:pStyle w:val="TableParagraph"/>
              <w:spacing w:before="124"/>
              <w:ind w:left="289" w:right="291"/>
              <w:jc w:val="center"/>
              <w:rPr>
                <w:sz w:val="24"/>
              </w:rPr>
            </w:pPr>
            <w:r>
              <w:rPr>
                <w:sz w:val="24"/>
              </w:rPr>
              <w:t>0,0487</w:t>
            </w:r>
          </w:p>
        </w:tc>
        <w:tc>
          <w:tcPr>
            <w:tcW w:w="1383" w:type="dxa"/>
          </w:tcPr>
          <w:p w:rsidR="003E7CF5" w:rsidRDefault="00024B00">
            <w:pPr>
              <w:pStyle w:val="TableParagraph"/>
              <w:spacing w:before="124"/>
              <w:ind w:left="294" w:right="309"/>
              <w:jc w:val="center"/>
              <w:rPr>
                <w:sz w:val="24"/>
              </w:rPr>
            </w:pPr>
            <w:r>
              <w:rPr>
                <w:sz w:val="24"/>
              </w:rPr>
              <w:t>-0,0144</w:t>
            </w:r>
          </w:p>
        </w:tc>
        <w:tc>
          <w:tcPr>
            <w:tcW w:w="1320" w:type="dxa"/>
          </w:tcPr>
          <w:p w:rsidR="003E7CF5" w:rsidRDefault="00024B00">
            <w:pPr>
              <w:pStyle w:val="TableParagraph"/>
              <w:spacing w:before="124"/>
              <w:ind w:left="310" w:right="310"/>
              <w:jc w:val="center"/>
              <w:rPr>
                <w:sz w:val="24"/>
              </w:rPr>
            </w:pPr>
            <w:r>
              <w:rPr>
                <w:sz w:val="24"/>
              </w:rPr>
              <w:t>0,0325</w:t>
            </w:r>
          </w:p>
        </w:tc>
        <w:tc>
          <w:tcPr>
            <w:tcW w:w="1380" w:type="dxa"/>
          </w:tcPr>
          <w:p w:rsidR="003E7CF5" w:rsidRDefault="00024B00">
            <w:pPr>
              <w:pStyle w:val="TableParagraph"/>
              <w:spacing w:before="124"/>
              <w:ind w:left="310" w:right="290"/>
              <w:jc w:val="center"/>
              <w:rPr>
                <w:sz w:val="24"/>
              </w:rPr>
            </w:pPr>
            <w:r>
              <w:rPr>
                <w:sz w:val="24"/>
              </w:rPr>
              <w:t>-0,0087</w:t>
            </w:r>
          </w:p>
        </w:tc>
        <w:tc>
          <w:tcPr>
            <w:tcW w:w="1363" w:type="dxa"/>
          </w:tcPr>
          <w:p w:rsidR="003E7CF5" w:rsidRDefault="00024B00">
            <w:pPr>
              <w:pStyle w:val="TableParagraph"/>
              <w:spacing w:before="124"/>
              <w:ind w:left="290" w:right="290"/>
              <w:jc w:val="center"/>
              <w:rPr>
                <w:sz w:val="24"/>
              </w:rPr>
            </w:pPr>
            <w:r>
              <w:rPr>
                <w:sz w:val="24"/>
              </w:rPr>
              <w:t>-0,0009</w:t>
            </w:r>
          </w:p>
        </w:tc>
      </w:tr>
      <w:tr w:rsidR="003E7CF5">
        <w:trPr>
          <w:trHeight w:val="573"/>
        </w:trPr>
        <w:tc>
          <w:tcPr>
            <w:tcW w:w="1345" w:type="dxa"/>
            <w:tcBorders>
              <w:bottom w:val="single" w:sz="12" w:space="0" w:color="000000"/>
            </w:tcBorders>
          </w:tcPr>
          <w:p w:rsidR="003E7CF5" w:rsidRDefault="00024B00">
            <w:pPr>
              <w:pStyle w:val="TableParagraph"/>
              <w:spacing w:before="62"/>
              <w:ind w:left="117"/>
              <w:rPr>
                <w:i/>
              </w:rPr>
            </w:pPr>
            <w:r>
              <w:rPr>
                <w:i/>
              </w:rPr>
              <w:t>t-value</w:t>
            </w:r>
          </w:p>
        </w:tc>
        <w:tc>
          <w:tcPr>
            <w:tcW w:w="1299" w:type="dxa"/>
            <w:tcBorders>
              <w:bottom w:val="single" w:sz="12" w:space="0" w:color="000000"/>
            </w:tcBorders>
          </w:tcPr>
          <w:p w:rsidR="003E7CF5" w:rsidRDefault="00024B00">
            <w:pPr>
              <w:pStyle w:val="TableParagraph"/>
              <w:spacing w:before="61"/>
              <w:ind w:left="313"/>
              <w:rPr>
                <w:i/>
                <w:sz w:val="20"/>
              </w:rPr>
            </w:pPr>
            <w:r>
              <w:rPr>
                <w:i/>
                <w:sz w:val="20"/>
              </w:rPr>
              <w:t>-4,3421</w:t>
            </w:r>
          </w:p>
        </w:tc>
        <w:tc>
          <w:tcPr>
            <w:tcW w:w="1363" w:type="dxa"/>
            <w:tcBorders>
              <w:bottom w:val="single" w:sz="12" w:space="0" w:color="000000"/>
            </w:tcBorders>
          </w:tcPr>
          <w:p w:rsidR="003E7CF5" w:rsidRDefault="00024B00">
            <w:pPr>
              <w:pStyle w:val="TableParagraph"/>
              <w:spacing w:before="61"/>
              <w:ind w:left="289" w:right="291"/>
              <w:jc w:val="center"/>
              <w:rPr>
                <w:i/>
                <w:sz w:val="20"/>
              </w:rPr>
            </w:pPr>
            <w:r>
              <w:rPr>
                <w:i/>
                <w:sz w:val="20"/>
              </w:rPr>
              <w:t>10,3520</w:t>
            </w:r>
          </w:p>
        </w:tc>
        <w:tc>
          <w:tcPr>
            <w:tcW w:w="1383" w:type="dxa"/>
            <w:tcBorders>
              <w:bottom w:val="single" w:sz="12" w:space="0" w:color="000000"/>
            </w:tcBorders>
          </w:tcPr>
          <w:p w:rsidR="003E7CF5" w:rsidRDefault="00024B00">
            <w:pPr>
              <w:pStyle w:val="TableParagraph"/>
              <w:spacing w:before="61"/>
              <w:ind w:left="294" w:right="304"/>
              <w:jc w:val="center"/>
              <w:rPr>
                <w:i/>
                <w:sz w:val="20"/>
              </w:rPr>
            </w:pPr>
            <w:r>
              <w:rPr>
                <w:i/>
                <w:sz w:val="20"/>
              </w:rPr>
              <w:t>-3,0527</w:t>
            </w:r>
          </w:p>
        </w:tc>
        <w:tc>
          <w:tcPr>
            <w:tcW w:w="1320" w:type="dxa"/>
            <w:tcBorders>
              <w:bottom w:val="single" w:sz="12" w:space="0" w:color="000000"/>
            </w:tcBorders>
          </w:tcPr>
          <w:p w:rsidR="003E7CF5" w:rsidRDefault="00024B00">
            <w:pPr>
              <w:pStyle w:val="TableParagraph"/>
              <w:spacing w:before="61"/>
              <w:ind w:left="310" w:right="310"/>
              <w:jc w:val="center"/>
              <w:rPr>
                <w:i/>
                <w:sz w:val="20"/>
              </w:rPr>
            </w:pPr>
            <w:r>
              <w:rPr>
                <w:i/>
                <w:sz w:val="20"/>
              </w:rPr>
              <w:t>6,8971</w:t>
            </w:r>
          </w:p>
        </w:tc>
        <w:tc>
          <w:tcPr>
            <w:tcW w:w="1380" w:type="dxa"/>
            <w:tcBorders>
              <w:bottom w:val="single" w:sz="12" w:space="0" w:color="000000"/>
            </w:tcBorders>
          </w:tcPr>
          <w:p w:rsidR="003E7CF5" w:rsidRDefault="00024B00">
            <w:pPr>
              <w:pStyle w:val="TableParagraph"/>
              <w:spacing w:before="61"/>
              <w:ind w:left="310" w:right="285"/>
              <w:jc w:val="center"/>
              <w:rPr>
                <w:i/>
                <w:sz w:val="20"/>
              </w:rPr>
            </w:pPr>
            <w:r>
              <w:rPr>
                <w:i/>
                <w:sz w:val="20"/>
              </w:rPr>
              <w:t>-1,8512</w:t>
            </w:r>
          </w:p>
        </w:tc>
        <w:tc>
          <w:tcPr>
            <w:tcW w:w="1363" w:type="dxa"/>
            <w:tcBorders>
              <w:bottom w:val="single" w:sz="12" w:space="0" w:color="000000"/>
            </w:tcBorders>
          </w:tcPr>
          <w:p w:rsidR="003E7CF5" w:rsidRDefault="00024B00">
            <w:pPr>
              <w:pStyle w:val="TableParagraph"/>
              <w:spacing w:before="61"/>
              <w:ind w:left="290" w:right="286"/>
              <w:jc w:val="center"/>
              <w:rPr>
                <w:i/>
                <w:sz w:val="20"/>
              </w:rPr>
            </w:pPr>
            <w:r>
              <w:rPr>
                <w:i/>
                <w:sz w:val="20"/>
              </w:rPr>
              <w:t>-0,2011</w:t>
            </w:r>
          </w:p>
        </w:tc>
      </w:tr>
    </w:tbl>
    <w:p w:rsidR="00481040" w:rsidRDefault="00481040">
      <w:pPr>
        <w:jc w:val="center"/>
        <w:rPr>
          <w:sz w:val="20"/>
        </w:rPr>
      </w:pPr>
    </w:p>
    <w:p w:rsidR="003E7CF5" w:rsidRPr="00481040" w:rsidRDefault="00024B00" w:rsidP="008C59C3">
      <w:pPr>
        <w:tabs>
          <w:tab w:val="left" w:pos="3720"/>
        </w:tabs>
        <w:spacing w:before="240" w:after="240" w:line="360" w:lineRule="auto"/>
        <w:ind w:right="50"/>
        <w:jc w:val="both"/>
        <w:rPr>
          <w:sz w:val="24"/>
          <w:szCs w:val="24"/>
        </w:rPr>
      </w:pPr>
      <w:r w:rsidRPr="00481040">
        <w:rPr>
          <w:sz w:val="24"/>
          <w:szCs w:val="24"/>
        </w:rPr>
        <w:t>Au travers les résultats d’analyse de la RAMC par secteur d’activité on observe que certains domaines</w:t>
      </w:r>
      <w:r w:rsidRPr="00481040">
        <w:rPr>
          <w:spacing w:val="-11"/>
          <w:sz w:val="24"/>
          <w:szCs w:val="24"/>
        </w:rPr>
        <w:t xml:space="preserve"> </w:t>
      </w:r>
      <w:r w:rsidRPr="00481040">
        <w:rPr>
          <w:sz w:val="24"/>
          <w:szCs w:val="24"/>
        </w:rPr>
        <w:t>ne</w:t>
      </w:r>
      <w:r w:rsidRPr="00481040">
        <w:rPr>
          <w:spacing w:val="-14"/>
          <w:sz w:val="24"/>
          <w:szCs w:val="24"/>
        </w:rPr>
        <w:t xml:space="preserve"> </w:t>
      </w:r>
      <w:r w:rsidRPr="00481040">
        <w:rPr>
          <w:sz w:val="24"/>
          <w:szCs w:val="24"/>
        </w:rPr>
        <w:t>semblent</w:t>
      </w:r>
      <w:r w:rsidRPr="00481040">
        <w:rPr>
          <w:spacing w:val="-14"/>
          <w:sz w:val="24"/>
          <w:szCs w:val="24"/>
        </w:rPr>
        <w:t xml:space="preserve"> </w:t>
      </w:r>
      <w:r w:rsidRPr="00481040">
        <w:rPr>
          <w:sz w:val="24"/>
          <w:szCs w:val="24"/>
        </w:rPr>
        <w:t>pas</w:t>
      </w:r>
      <w:r w:rsidRPr="00481040">
        <w:rPr>
          <w:spacing w:val="-11"/>
          <w:sz w:val="24"/>
          <w:szCs w:val="24"/>
        </w:rPr>
        <w:t xml:space="preserve"> </w:t>
      </w:r>
      <w:r w:rsidRPr="00481040">
        <w:rPr>
          <w:sz w:val="24"/>
          <w:szCs w:val="24"/>
        </w:rPr>
        <w:t>être</w:t>
      </w:r>
      <w:r w:rsidRPr="00481040">
        <w:rPr>
          <w:spacing w:val="-13"/>
          <w:sz w:val="24"/>
          <w:szCs w:val="24"/>
        </w:rPr>
        <w:t xml:space="preserve"> </w:t>
      </w:r>
      <w:r w:rsidRPr="00481040">
        <w:rPr>
          <w:sz w:val="24"/>
          <w:szCs w:val="24"/>
        </w:rPr>
        <w:t>sensibles</w:t>
      </w:r>
      <w:r w:rsidRPr="00481040">
        <w:rPr>
          <w:spacing w:val="-11"/>
          <w:sz w:val="24"/>
          <w:szCs w:val="24"/>
        </w:rPr>
        <w:t xml:space="preserve"> </w:t>
      </w:r>
      <w:r w:rsidRPr="00481040">
        <w:rPr>
          <w:sz w:val="24"/>
          <w:szCs w:val="24"/>
        </w:rPr>
        <w:t>aux</w:t>
      </w:r>
      <w:r w:rsidRPr="00481040">
        <w:rPr>
          <w:spacing w:val="-10"/>
          <w:sz w:val="24"/>
          <w:szCs w:val="24"/>
        </w:rPr>
        <w:t xml:space="preserve"> </w:t>
      </w:r>
      <w:r w:rsidRPr="00481040">
        <w:rPr>
          <w:sz w:val="24"/>
          <w:szCs w:val="24"/>
        </w:rPr>
        <w:t>annonces</w:t>
      </w:r>
      <w:r w:rsidRPr="00481040">
        <w:rPr>
          <w:spacing w:val="-11"/>
          <w:sz w:val="24"/>
          <w:szCs w:val="24"/>
        </w:rPr>
        <w:t xml:space="preserve"> </w:t>
      </w:r>
      <w:r w:rsidRPr="00481040">
        <w:rPr>
          <w:sz w:val="24"/>
          <w:szCs w:val="24"/>
        </w:rPr>
        <w:t>de</w:t>
      </w:r>
      <w:r w:rsidRPr="00481040">
        <w:rPr>
          <w:spacing w:val="-14"/>
          <w:sz w:val="24"/>
          <w:szCs w:val="24"/>
        </w:rPr>
        <w:t xml:space="preserve"> </w:t>
      </w:r>
      <w:r w:rsidRPr="00481040">
        <w:rPr>
          <w:sz w:val="24"/>
          <w:szCs w:val="24"/>
        </w:rPr>
        <w:t>faille</w:t>
      </w:r>
      <w:r w:rsidRPr="00481040">
        <w:rPr>
          <w:spacing w:val="-13"/>
          <w:sz w:val="24"/>
          <w:szCs w:val="24"/>
        </w:rPr>
        <w:t xml:space="preserve"> </w:t>
      </w:r>
      <w:r w:rsidRPr="00481040">
        <w:rPr>
          <w:sz w:val="24"/>
          <w:szCs w:val="24"/>
        </w:rPr>
        <w:t>de</w:t>
      </w:r>
      <w:r w:rsidRPr="00481040">
        <w:rPr>
          <w:spacing w:val="-14"/>
          <w:sz w:val="24"/>
          <w:szCs w:val="24"/>
        </w:rPr>
        <w:t xml:space="preserve"> </w:t>
      </w:r>
      <w:r w:rsidRPr="00481040">
        <w:rPr>
          <w:sz w:val="24"/>
          <w:szCs w:val="24"/>
        </w:rPr>
        <w:t>sécurité.</w:t>
      </w:r>
      <w:r w:rsidRPr="00481040">
        <w:rPr>
          <w:spacing w:val="-13"/>
          <w:sz w:val="24"/>
          <w:szCs w:val="24"/>
        </w:rPr>
        <w:t xml:space="preserve"> </w:t>
      </w:r>
      <w:r w:rsidRPr="00481040">
        <w:rPr>
          <w:sz w:val="24"/>
          <w:szCs w:val="24"/>
        </w:rPr>
        <w:t>C’est</w:t>
      </w:r>
      <w:r w:rsidRPr="00481040">
        <w:rPr>
          <w:spacing w:val="-13"/>
          <w:sz w:val="24"/>
          <w:szCs w:val="24"/>
        </w:rPr>
        <w:t xml:space="preserve"> </w:t>
      </w:r>
      <w:r w:rsidRPr="00481040">
        <w:rPr>
          <w:sz w:val="24"/>
          <w:szCs w:val="24"/>
        </w:rPr>
        <w:t>le</w:t>
      </w:r>
      <w:r w:rsidRPr="00481040">
        <w:rPr>
          <w:spacing w:val="-14"/>
          <w:sz w:val="24"/>
          <w:szCs w:val="24"/>
        </w:rPr>
        <w:t xml:space="preserve"> </w:t>
      </w:r>
      <w:r w:rsidRPr="00481040">
        <w:rPr>
          <w:sz w:val="24"/>
          <w:szCs w:val="24"/>
        </w:rPr>
        <w:t>cas</w:t>
      </w:r>
      <w:r w:rsidRPr="00481040">
        <w:rPr>
          <w:spacing w:val="-11"/>
          <w:sz w:val="24"/>
          <w:szCs w:val="24"/>
        </w:rPr>
        <w:t xml:space="preserve"> </w:t>
      </w:r>
      <w:r w:rsidRPr="00481040">
        <w:rPr>
          <w:sz w:val="24"/>
          <w:szCs w:val="24"/>
        </w:rPr>
        <w:t>des</w:t>
      </w:r>
      <w:r w:rsidRPr="00481040">
        <w:rPr>
          <w:spacing w:val="-11"/>
          <w:sz w:val="24"/>
          <w:szCs w:val="24"/>
        </w:rPr>
        <w:t xml:space="preserve"> </w:t>
      </w:r>
      <w:r w:rsidRPr="00481040">
        <w:rPr>
          <w:sz w:val="24"/>
          <w:szCs w:val="24"/>
        </w:rPr>
        <w:t>sociétés de services qui n’observent en moyenne sur les quatre fenêtres d’évènements sélectionnées,</w:t>
      </w:r>
      <w:r w:rsidRPr="00481040">
        <w:rPr>
          <w:spacing w:val="-41"/>
          <w:sz w:val="24"/>
          <w:szCs w:val="24"/>
        </w:rPr>
        <w:t xml:space="preserve"> </w:t>
      </w:r>
      <w:r w:rsidRPr="00481040">
        <w:rPr>
          <w:sz w:val="24"/>
          <w:szCs w:val="24"/>
        </w:rPr>
        <w:t>aucun rendement négatif moyen. Les secteurs de la télécom et de l’audiovisuel semblent également très peu</w:t>
      </w:r>
      <w:r w:rsidRPr="00481040">
        <w:rPr>
          <w:spacing w:val="-10"/>
          <w:sz w:val="24"/>
          <w:szCs w:val="24"/>
        </w:rPr>
        <w:t xml:space="preserve"> </w:t>
      </w:r>
      <w:r w:rsidRPr="00481040">
        <w:rPr>
          <w:sz w:val="24"/>
          <w:szCs w:val="24"/>
        </w:rPr>
        <w:t>sensibles</w:t>
      </w:r>
      <w:r w:rsidRPr="00481040">
        <w:rPr>
          <w:spacing w:val="-7"/>
          <w:sz w:val="24"/>
          <w:szCs w:val="24"/>
        </w:rPr>
        <w:t xml:space="preserve"> </w:t>
      </w:r>
      <w:r w:rsidRPr="00481040">
        <w:rPr>
          <w:sz w:val="24"/>
          <w:szCs w:val="24"/>
        </w:rPr>
        <w:t>aux</w:t>
      </w:r>
      <w:r w:rsidRPr="00481040">
        <w:rPr>
          <w:spacing w:val="-5"/>
          <w:sz w:val="24"/>
          <w:szCs w:val="24"/>
        </w:rPr>
        <w:t xml:space="preserve"> </w:t>
      </w:r>
      <w:r w:rsidRPr="00481040">
        <w:rPr>
          <w:sz w:val="24"/>
          <w:szCs w:val="24"/>
        </w:rPr>
        <w:t>annonces.</w:t>
      </w:r>
      <w:r w:rsidRPr="00481040">
        <w:rPr>
          <w:spacing w:val="-5"/>
          <w:sz w:val="24"/>
          <w:szCs w:val="24"/>
        </w:rPr>
        <w:t xml:space="preserve"> </w:t>
      </w:r>
      <w:r w:rsidRPr="00481040">
        <w:rPr>
          <w:sz w:val="24"/>
          <w:szCs w:val="24"/>
        </w:rPr>
        <w:t>En</w:t>
      </w:r>
      <w:r w:rsidRPr="00481040">
        <w:rPr>
          <w:spacing w:val="-9"/>
          <w:sz w:val="24"/>
          <w:szCs w:val="24"/>
        </w:rPr>
        <w:t xml:space="preserve"> </w:t>
      </w:r>
      <w:r w:rsidRPr="00481040">
        <w:rPr>
          <w:sz w:val="24"/>
          <w:szCs w:val="24"/>
        </w:rPr>
        <w:t>revanche,</w:t>
      </w:r>
      <w:r w:rsidRPr="00481040">
        <w:rPr>
          <w:spacing w:val="-5"/>
          <w:sz w:val="24"/>
          <w:szCs w:val="24"/>
        </w:rPr>
        <w:t xml:space="preserve"> </w:t>
      </w:r>
      <w:r w:rsidRPr="00481040">
        <w:rPr>
          <w:sz w:val="24"/>
          <w:szCs w:val="24"/>
        </w:rPr>
        <w:t>les</w:t>
      </w:r>
      <w:r w:rsidRPr="00481040">
        <w:rPr>
          <w:spacing w:val="-3"/>
          <w:sz w:val="24"/>
          <w:szCs w:val="24"/>
        </w:rPr>
        <w:t xml:space="preserve"> </w:t>
      </w:r>
      <w:r w:rsidRPr="00481040">
        <w:rPr>
          <w:sz w:val="24"/>
          <w:szCs w:val="24"/>
        </w:rPr>
        <w:t>établissements</w:t>
      </w:r>
      <w:r w:rsidRPr="00481040">
        <w:rPr>
          <w:spacing w:val="-3"/>
          <w:sz w:val="24"/>
          <w:szCs w:val="24"/>
        </w:rPr>
        <w:t xml:space="preserve"> </w:t>
      </w:r>
      <w:r w:rsidRPr="00481040">
        <w:rPr>
          <w:sz w:val="24"/>
          <w:szCs w:val="24"/>
        </w:rPr>
        <w:t>bancaires</w:t>
      </w:r>
      <w:r w:rsidRPr="00481040">
        <w:rPr>
          <w:spacing w:val="-6"/>
          <w:sz w:val="24"/>
          <w:szCs w:val="24"/>
        </w:rPr>
        <w:t xml:space="preserve"> </w:t>
      </w:r>
      <w:r w:rsidRPr="00481040">
        <w:rPr>
          <w:sz w:val="24"/>
          <w:szCs w:val="24"/>
        </w:rPr>
        <w:t>et</w:t>
      </w:r>
      <w:r w:rsidRPr="00481040">
        <w:rPr>
          <w:spacing w:val="-5"/>
          <w:sz w:val="24"/>
          <w:szCs w:val="24"/>
        </w:rPr>
        <w:t xml:space="preserve"> </w:t>
      </w:r>
      <w:r w:rsidRPr="00481040">
        <w:rPr>
          <w:sz w:val="24"/>
          <w:szCs w:val="24"/>
        </w:rPr>
        <w:t>assurances</w:t>
      </w:r>
      <w:r w:rsidRPr="00481040">
        <w:rPr>
          <w:spacing w:val="-8"/>
          <w:sz w:val="24"/>
          <w:szCs w:val="24"/>
        </w:rPr>
        <w:t xml:space="preserve"> </w:t>
      </w:r>
      <w:r w:rsidRPr="00481040">
        <w:rPr>
          <w:sz w:val="24"/>
          <w:szCs w:val="24"/>
        </w:rPr>
        <w:t>observent</w:t>
      </w:r>
      <w:r w:rsidRPr="00481040">
        <w:rPr>
          <w:spacing w:val="-10"/>
          <w:sz w:val="24"/>
          <w:szCs w:val="24"/>
        </w:rPr>
        <w:t xml:space="preserve"> </w:t>
      </w:r>
      <w:r w:rsidRPr="00481040">
        <w:rPr>
          <w:sz w:val="24"/>
          <w:szCs w:val="24"/>
        </w:rPr>
        <w:t>des RAMC sur l’ensemble des périodes observées. Sur la fenêtre [-1 ;5] ce secteur observe</w:t>
      </w:r>
      <w:r w:rsidRPr="00481040">
        <w:rPr>
          <w:spacing w:val="34"/>
          <w:sz w:val="24"/>
          <w:szCs w:val="24"/>
        </w:rPr>
        <w:t xml:space="preserve"> </w:t>
      </w:r>
      <w:r w:rsidRPr="00481040">
        <w:rPr>
          <w:sz w:val="24"/>
          <w:szCs w:val="24"/>
        </w:rPr>
        <w:t>un rendement négatif de 2,04% avec un niveau de significativité important. Il est donc très probable qu’une entreprise de ce secteur, si elle subit une attaque portant atteinte à ses systèmes d’information, observe des rendements négatifs anormaux du même ordre. Le secteur de</w:t>
      </w:r>
      <w:r w:rsidRPr="00481040">
        <w:rPr>
          <w:spacing w:val="-24"/>
          <w:sz w:val="24"/>
          <w:szCs w:val="24"/>
        </w:rPr>
        <w:t xml:space="preserve"> </w:t>
      </w:r>
      <w:r w:rsidRPr="00481040">
        <w:rPr>
          <w:sz w:val="24"/>
          <w:szCs w:val="24"/>
        </w:rPr>
        <w:t xml:space="preserve">l’énergie </w:t>
      </w:r>
      <w:r w:rsidRPr="00481040">
        <w:rPr>
          <w:sz w:val="24"/>
          <w:szCs w:val="24"/>
        </w:rPr>
        <w:lastRenderedPageBreak/>
        <w:t xml:space="preserve">semble également subir des rendements anormalement négatifs dans les jours qui entourent et suivent l’annonce d’une faille de sécurité informatique. Sur l’ensemble </w:t>
      </w:r>
      <w:r w:rsidRPr="00481040">
        <w:rPr>
          <w:spacing w:val="2"/>
          <w:sz w:val="24"/>
          <w:szCs w:val="24"/>
        </w:rPr>
        <w:t xml:space="preserve">des </w:t>
      </w:r>
      <w:r w:rsidRPr="00481040">
        <w:rPr>
          <w:sz w:val="24"/>
          <w:szCs w:val="24"/>
        </w:rPr>
        <w:t>fenêtres observées, le RAMC varie de -0,9% à -1,51% avec des niveaux de significativités tous satisfaisant au moins au seuil de</w:t>
      </w:r>
      <w:r w:rsidRPr="00481040">
        <w:rPr>
          <w:spacing w:val="-5"/>
          <w:sz w:val="24"/>
          <w:szCs w:val="24"/>
        </w:rPr>
        <w:t xml:space="preserve"> </w:t>
      </w:r>
      <w:r w:rsidRPr="00481040">
        <w:rPr>
          <w:sz w:val="24"/>
          <w:szCs w:val="24"/>
        </w:rPr>
        <w:t>5%.</w:t>
      </w:r>
    </w:p>
    <w:p w:rsidR="003E7CF5" w:rsidRPr="00481040" w:rsidRDefault="00024B00" w:rsidP="008C59C3">
      <w:pPr>
        <w:pStyle w:val="Corpsdetexte"/>
        <w:spacing w:before="240" w:after="240" w:line="360" w:lineRule="auto"/>
        <w:ind w:right="50"/>
        <w:jc w:val="both"/>
      </w:pPr>
      <w:r w:rsidRPr="00481040">
        <w:t>Ces</w:t>
      </w:r>
      <w:r w:rsidRPr="00481040">
        <w:rPr>
          <w:spacing w:val="-7"/>
        </w:rPr>
        <w:t xml:space="preserve"> </w:t>
      </w:r>
      <w:r w:rsidRPr="00481040">
        <w:t>deux</w:t>
      </w:r>
      <w:r w:rsidRPr="00481040">
        <w:rPr>
          <w:spacing w:val="-9"/>
        </w:rPr>
        <w:t xml:space="preserve"> </w:t>
      </w:r>
      <w:r w:rsidRPr="00481040">
        <w:t>secteurs</w:t>
      </w:r>
      <w:r w:rsidRPr="00481040">
        <w:rPr>
          <w:spacing w:val="-6"/>
        </w:rPr>
        <w:t xml:space="preserve"> </w:t>
      </w:r>
      <w:r w:rsidRPr="00481040">
        <w:t>ont</w:t>
      </w:r>
      <w:r w:rsidRPr="00481040">
        <w:rPr>
          <w:spacing w:val="-10"/>
        </w:rPr>
        <w:t xml:space="preserve"> </w:t>
      </w:r>
      <w:r w:rsidRPr="00481040">
        <w:t>donc</w:t>
      </w:r>
      <w:r w:rsidRPr="00481040">
        <w:rPr>
          <w:spacing w:val="-9"/>
        </w:rPr>
        <w:t xml:space="preserve"> </w:t>
      </w:r>
      <w:r w:rsidRPr="00481040">
        <w:t>l’air</w:t>
      </w:r>
      <w:r w:rsidRPr="00481040">
        <w:rPr>
          <w:spacing w:val="-8"/>
        </w:rPr>
        <w:t xml:space="preserve"> </w:t>
      </w:r>
      <w:r w:rsidRPr="00481040">
        <w:t>de</w:t>
      </w:r>
      <w:r w:rsidRPr="00481040">
        <w:rPr>
          <w:spacing w:val="-10"/>
        </w:rPr>
        <w:t xml:space="preserve"> </w:t>
      </w:r>
      <w:r w:rsidRPr="00481040">
        <w:t>subir</w:t>
      </w:r>
      <w:r w:rsidRPr="00481040">
        <w:rPr>
          <w:spacing w:val="-8"/>
        </w:rPr>
        <w:t xml:space="preserve"> </w:t>
      </w:r>
      <w:r w:rsidRPr="00481040">
        <w:t>des</w:t>
      </w:r>
      <w:r w:rsidRPr="00481040">
        <w:rPr>
          <w:spacing w:val="-7"/>
        </w:rPr>
        <w:t xml:space="preserve"> </w:t>
      </w:r>
      <w:r w:rsidRPr="00481040">
        <w:t>pertes</w:t>
      </w:r>
      <w:r w:rsidRPr="00481040">
        <w:rPr>
          <w:spacing w:val="-6"/>
        </w:rPr>
        <w:t xml:space="preserve"> </w:t>
      </w:r>
      <w:r w:rsidRPr="00481040">
        <w:t>plus</w:t>
      </w:r>
      <w:r w:rsidRPr="00481040">
        <w:rPr>
          <w:spacing w:val="-7"/>
        </w:rPr>
        <w:t xml:space="preserve"> </w:t>
      </w:r>
      <w:r w:rsidRPr="00481040">
        <w:t>importantes</w:t>
      </w:r>
      <w:r w:rsidRPr="00481040">
        <w:rPr>
          <w:spacing w:val="-7"/>
        </w:rPr>
        <w:t xml:space="preserve"> </w:t>
      </w:r>
      <w:r w:rsidRPr="00481040">
        <w:t>sur</w:t>
      </w:r>
      <w:r w:rsidRPr="00481040">
        <w:rPr>
          <w:spacing w:val="-7"/>
        </w:rPr>
        <w:t xml:space="preserve"> </w:t>
      </w:r>
      <w:r w:rsidRPr="00481040">
        <w:t>leur</w:t>
      </w:r>
      <w:r w:rsidRPr="00481040">
        <w:rPr>
          <w:spacing w:val="-1"/>
        </w:rPr>
        <w:t xml:space="preserve"> </w:t>
      </w:r>
      <w:r w:rsidRPr="00481040">
        <w:t>valorisation</w:t>
      </w:r>
      <w:r w:rsidRPr="00481040">
        <w:rPr>
          <w:spacing w:val="-8"/>
        </w:rPr>
        <w:t xml:space="preserve"> </w:t>
      </w:r>
      <w:r w:rsidRPr="00481040">
        <w:t>boursière que d’autres. Ce sont deux secteurs essentiels dans le bon fonctionnement de la vie de français. Nombre des entreprises de ces secteurs sont notamment qualifiées d’OIV et doivent ainsi démontrer un niveau de sécurité sur leurs systèmes d’information plus importants. Une atteinte à ces systèmes peut donc être perçue beaucoup plus négativement par les investisseurs et actionnaires. Les coûts directs et indirects engendrés par ces attaques peuvent avoir des impacts bien plus significatifs. Enfin, ces deux secteurs manipulent des données à forte valeur ajoutée. Ils disposent d’immenses bases de données clients avec des informations importantes comme des coordonnées bancaires, des numéros de téléphone, d’adresse mails... Ce sont des données particulièrement recherchées par des hackers puisqu’ils pourront par la suite détourner l’usage initial de ces données et notamment passer des ordres de virement et les valider.</w:t>
      </w:r>
    </w:p>
    <w:p w:rsidR="00481040" w:rsidRPr="00481040" w:rsidRDefault="00024B00" w:rsidP="008C59C3">
      <w:pPr>
        <w:pStyle w:val="Corpsdetexte"/>
        <w:spacing w:before="240" w:after="240" w:line="360" w:lineRule="auto"/>
        <w:ind w:right="50"/>
        <w:jc w:val="both"/>
      </w:pPr>
      <w:r w:rsidRPr="00481040">
        <w:t>L’hypothèse</w:t>
      </w:r>
      <w:r w:rsidRPr="00481040">
        <w:rPr>
          <w:spacing w:val="-9"/>
        </w:rPr>
        <w:t xml:space="preserve"> </w:t>
      </w:r>
      <w:r w:rsidRPr="00481040">
        <w:t>2</w:t>
      </w:r>
      <w:r w:rsidRPr="00481040">
        <w:rPr>
          <w:spacing w:val="-7"/>
        </w:rPr>
        <w:t xml:space="preserve"> </w:t>
      </w:r>
      <w:r w:rsidRPr="00481040">
        <w:t>selon</w:t>
      </w:r>
      <w:r w:rsidRPr="00481040">
        <w:rPr>
          <w:spacing w:val="-4"/>
        </w:rPr>
        <w:t xml:space="preserve"> </w:t>
      </w:r>
      <w:r w:rsidRPr="00481040">
        <w:t>laquelle</w:t>
      </w:r>
      <w:r w:rsidRPr="00481040">
        <w:rPr>
          <w:spacing w:val="-7"/>
        </w:rPr>
        <w:t xml:space="preserve"> </w:t>
      </w:r>
      <w:r w:rsidRPr="00481040">
        <w:t>une</w:t>
      </w:r>
      <w:r w:rsidRPr="00481040">
        <w:rPr>
          <w:spacing w:val="-3"/>
        </w:rPr>
        <w:t xml:space="preserve"> </w:t>
      </w:r>
      <w:r w:rsidRPr="00481040">
        <w:t>atteinte</w:t>
      </w:r>
      <w:r w:rsidRPr="00481040">
        <w:rPr>
          <w:spacing w:val="-8"/>
        </w:rPr>
        <w:t xml:space="preserve"> </w:t>
      </w:r>
      <w:r w:rsidRPr="00481040">
        <w:t>à</w:t>
      </w:r>
      <w:r w:rsidRPr="00481040">
        <w:rPr>
          <w:spacing w:val="-2"/>
        </w:rPr>
        <w:t xml:space="preserve"> </w:t>
      </w:r>
      <w:r w:rsidRPr="00481040">
        <w:t>la</w:t>
      </w:r>
      <w:r w:rsidRPr="00481040">
        <w:rPr>
          <w:spacing w:val="-8"/>
        </w:rPr>
        <w:t xml:space="preserve"> </w:t>
      </w:r>
      <w:r w:rsidRPr="00481040">
        <w:t>sécurité</w:t>
      </w:r>
      <w:r w:rsidRPr="00481040">
        <w:rPr>
          <w:spacing w:val="-3"/>
        </w:rPr>
        <w:t xml:space="preserve"> </w:t>
      </w:r>
      <w:r w:rsidRPr="00481040">
        <w:t>des</w:t>
      </w:r>
      <w:r w:rsidRPr="00481040">
        <w:rPr>
          <w:spacing w:val="-5"/>
        </w:rPr>
        <w:t xml:space="preserve"> </w:t>
      </w:r>
      <w:r w:rsidRPr="00481040">
        <w:t>systèmes</w:t>
      </w:r>
      <w:r w:rsidRPr="00481040">
        <w:rPr>
          <w:spacing w:val="-6"/>
        </w:rPr>
        <w:t xml:space="preserve"> </w:t>
      </w:r>
      <w:r w:rsidRPr="00481040">
        <w:t>d’information</w:t>
      </w:r>
      <w:r w:rsidRPr="00481040">
        <w:rPr>
          <w:spacing w:val="-7"/>
        </w:rPr>
        <w:t xml:space="preserve"> </w:t>
      </w:r>
      <w:r w:rsidRPr="00481040">
        <w:t>d’une</w:t>
      </w:r>
      <w:r w:rsidRPr="00481040">
        <w:rPr>
          <w:spacing w:val="-3"/>
        </w:rPr>
        <w:t xml:space="preserve"> </w:t>
      </w:r>
      <w:r w:rsidRPr="00481040">
        <w:t>entreprise entraîne une rentabilité anormalement négative sur le rendement de ses actions lorsqu’elle est rendue publique en fonction de son secteur d’activité semble être validée. Bien que certains secteurs semblent accuser des rendements plus négatifs que d’autres, on peut se demander si cet écart n’est pas plutôt lié au type de cyberattaque ayant porté atteinte à l’entreprise</w:t>
      </w:r>
      <w:r w:rsidRPr="00481040">
        <w:rPr>
          <w:spacing w:val="-23"/>
        </w:rPr>
        <w:t xml:space="preserve"> </w:t>
      </w:r>
      <w:r w:rsidRPr="00481040">
        <w:t>concernée.</w:t>
      </w:r>
    </w:p>
    <w:p w:rsidR="003E7CF5" w:rsidRPr="002E2D4C" w:rsidRDefault="00024B00" w:rsidP="008C59C3">
      <w:pPr>
        <w:tabs>
          <w:tab w:val="left" w:pos="3800"/>
        </w:tabs>
        <w:spacing w:before="240" w:after="240" w:line="360" w:lineRule="auto"/>
        <w:ind w:right="50"/>
        <w:rPr>
          <w:b/>
          <w:sz w:val="24"/>
          <w:szCs w:val="24"/>
        </w:rPr>
      </w:pPr>
      <w:bookmarkStart w:id="33" w:name="Analyse_par_type_de_cyberattaque"/>
      <w:bookmarkEnd w:id="33"/>
      <w:r w:rsidRPr="00481040">
        <w:rPr>
          <w:b/>
          <w:sz w:val="24"/>
          <w:szCs w:val="24"/>
        </w:rPr>
        <w:t>Analyse par type de cyberattaque</w:t>
      </w:r>
    </w:p>
    <w:p w:rsidR="003E7CF5" w:rsidRPr="00481040" w:rsidRDefault="00024B00" w:rsidP="008C59C3">
      <w:pPr>
        <w:pStyle w:val="Corpsdetexte"/>
        <w:spacing w:before="240" w:after="240" w:line="360" w:lineRule="auto"/>
        <w:ind w:right="50"/>
        <w:jc w:val="both"/>
      </w:pPr>
      <w:r w:rsidRPr="00481040">
        <w:t>Aujourd’hui, l’ingénierie sociale, théorisée en 2002 par Kevin Mitnick est l’attaque la plus courante.</w:t>
      </w:r>
      <w:r w:rsidRPr="00481040">
        <w:rPr>
          <w:spacing w:val="-14"/>
        </w:rPr>
        <w:t xml:space="preserve"> </w:t>
      </w:r>
      <w:r w:rsidRPr="00481040">
        <w:t>Cette</w:t>
      </w:r>
      <w:r w:rsidRPr="00481040">
        <w:rPr>
          <w:spacing w:val="-13"/>
        </w:rPr>
        <w:t xml:space="preserve"> </w:t>
      </w:r>
      <w:r w:rsidRPr="00481040">
        <w:t>pratique</w:t>
      </w:r>
      <w:r w:rsidRPr="00481040">
        <w:rPr>
          <w:spacing w:val="-9"/>
        </w:rPr>
        <w:t xml:space="preserve"> </w:t>
      </w:r>
      <w:r w:rsidRPr="00481040">
        <w:t>consiste</w:t>
      </w:r>
      <w:r w:rsidRPr="00481040">
        <w:rPr>
          <w:spacing w:val="-12"/>
        </w:rPr>
        <w:t xml:space="preserve"> </w:t>
      </w:r>
      <w:r w:rsidRPr="00481040">
        <w:t>à</w:t>
      </w:r>
      <w:r w:rsidRPr="00481040">
        <w:rPr>
          <w:spacing w:val="-14"/>
        </w:rPr>
        <w:t xml:space="preserve"> </w:t>
      </w:r>
      <w:r w:rsidRPr="00481040">
        <w:t>utiliser</w:t>
      </w:r>
      <w:r w:rsidRPr="00481040">
        <w:rPr>
          <w:spacing w:val="-12"/>
        </w:rPr>
        <w:t xml:space="preserve"> </w:t>
      </w:r>
      <w:r w:rsidRPr="00481040">
        <w:t>les</w:t>
      </w:r>
      <w:r w:rsidRPr="00481040">
        <w:rPr>
          <w:spacing w:val="-12"/>
        </w:rPr>
        <w:t xml:space="preserve"> </w:t>
      </w:r>
      <w:r w:rsidRPr="00481040">
        <w:t>failles</w:t>
      </w:r>
      <w:r w:rsidRPr="00481040">
        <w:rPr>
          <w:spacing w:val="-11"/>
        </w:rPr>
        <w:t xml:space="preserve"> </w:t>
      </w:r>
      <w:r w:rsidRPr="00481040">
        <w:t>humaines</w:t>
      </w:r>
      <w:r w:rsidRPr="00481040">
        <w:rPr>
          <w:spacing w:val="-11"/>
        </w:rPr>
        <w:t xml:space="preserve"> </w:t>
      </w:r>
      <w:r w:rsidRPr="00481040">
        <w:t>comme</w:t>
      </w:r>
      <w:r w:rsidRPr="00481040">
        <w:rPr>
          <w:spacing w:val="-9"/>
        </w:rPr>
        <w:t xml:space="preserve"> </w:t>
      </w:r>
      <w:r w:rsidRPr="00481040">
        <w:t>effet</w:t>
      </w:r>
      <w:r w:rsidRPr="00481040">
        <w:rPr>
          <w:spacing w:val="-10"/>
        </w:rPr>
        <w:t xml:space="preserve"> </w:t>
      </w:r>
      <w:r w:rsidRPr="00481040">
        <w:t>de</w:t>
      </w:r>
      <w:r w:rsidRPr="00481040">
        <w:rPr>
          <w:spacing w:val="-14"/>
        </w:rPr>
        <w:t xml:space="preserve"> </w:t>
      </w:r>
      <w:r w:rsidRPr="00481040">
        <w:t>levier</w:t>
      </w:r>
      <w:r w:rsidRPr="00481040">
        <w:rPr>
          <w:spacing w:val="-12"/>
        </w:rPr>
        <w:t xml:space="preserve"> </w:t>
      </w:r>
      <w:r w:rsidRPr="00481040">
        <w:t>pour</w:t>
      </w:r>
      <w:r w:rsidRPr="00481040">
        <w:rPr>
          <w:spacing w:val="-8"/>
        </w:rPr>
        <w:t xml:space="preserve"> </w:t>
      </w:r>
      <w:r w:rsidRPr="00481040">
        <w:t>atteindre les systèmes d’information des entreprises. C’est notamment ce sur quoi repose le phishing ou hameçonnage</w:t>
      </w:r>
      <w:r w:rsidRPr="00481040">
        <w:rPr>
          <w:spacing w:val="-14"/>
        </w:rPr>
        <w:t xml:space="preserve"> </w:t>
      </w:r>
      <w:r w:rsidRPr="00481040">
        <w:t>en</w:t>
      </w:r>
      <w:r w:rsidRPr="00481040">
        <w:rPr>
          <w:spacing w:val="-12"/>
        </w:rPr>
        <w:t xml:space="preserve"> </w:t>
      </w:r>
      <w:r w:rsidRPr="00481040">
        <w:t>français,</w:t>
      </w:r>
      <w:r w:rsidRPr="00481040">
        <w:rPr>
          <w:spacing w:val="-13"/>
        </w:rPr>
        <w:t xml:space="preserve"> </w:t>
      </w:r>
      <w:r w:rsidRPr="00481040">
        <w:t>représentant</w:t>
      </w:r>
      <w:r w:rsidRPr="00481040">
        <w:rPr>
          <w:spacing w:val="-12"/>
        </w:rPr>
        <w:t xml:space="preserve"> </w:t>
      </w:r>
      <w:r w:rsidRPr="00481040">
        <w:t>le</w:t>
      </w:r>
      <w:r w:rsidRPr="00481040">
        <w:rPr>
          <w:spacing w:val="-9"/>
        </w:rPr>
        <w:t xml:space="preserve"> </w:t>
      </w:r>
      <w:r w:rsidRPr="00481040">
        <w:t>premier</w:t>
      </w:r>
      <w:r w:rsidRPr="00481040">
        <w:rPr>
          <w:spacing w:val="-12"/>
        </w:rPr>
        <w:t xml:space="preserve"> </w:t>
      </w:r>
      <w:r w:rsidRPr="00481040">
        <w:t>type</w:t>
      </w:r>
      <w:r w:rsidRPr="00481040">
        <w:rPr>
          <w:spacing w:val="-13"/>
        </w:rPr>
        <w:t xml:space="preserve"> </w:t>
      </w:r>
      <w:r w:rsidRPr="00481040">
        <w:t>de</w:t>
      </w:r>
      <w:r w:rsidRPr="00481040">
        <w:rPr>
          <w:spacing w:val="-13"/>
        </w:rPr>
        <w:t xml:space="preserve"> </w:t>
      </w:r>
      <w:r w:rsidRPr="00481040">
        <w:t>cyberattaque</w:t>
      </w:r>
      <w:r w:rsidRPr="00481040">
        <w:rPr>
          <w:spacing w:val="-14"/>
        </w:rPr>
        <w:t xml:space="preserve"> </w:t>
      </w:r>
      <w:r w:rsidRPr="00481040">
        <w:t>en</w:t>
      </w:r>
      <w:r w:rsidRPr="00481040">
        <w:rPr>
          <w:spacing w:val="-8"/>
        </w:rPr>
        <w:t xml:space="preserve"> </w:t>
      </w:r>
      <w:r w:rsidRPr="00481040">
        <w:t>France</w:t>
      </w:r>
      <w:r w:rsidRPr="00481040">
        <w:rPr>
          <w:spacing w:val="-13"/>
        </w:rPr>
        <w:t xml:space="preserve"> </w:t>
      </w:r>
      <w:r w:rsidRPr="00481040">
        <w:t>et</w:t>
      </w:r>
      <w:r w:rsidRPr="00481040">
        <w:rPr>
          <w:spacing w:val="-13"/>
        </w:rPr>
        <w:t xml:space="preserve"> </w:t>
      </w:r>
      <w:r w:rsidRPr="00481040">
        <w:t>dans</w:t>
      </w:r>
      <w:r w:rsidRPr="00481040">
        <w:rPr>
          <w:spacing w:val="-11"/>
        </w:rPr>
        <w:t xml:space="preserve"> </w:t>
      </w:r>
      <w:r w:rsidRPr="00481040">
        <w:t>le</w:t>
      </w:r>
      <w:r w:rsidRPr="00481040">
        <w:rPr>
          <w:spacing w:val="-9"/>
        </w:rPr>
        <w:t xml:space="preserve"> </w:t>
      </w:r>
      <w:r w:rsidRPr="00481040">
        <w:t>monde. (Accenture, 2019) Les malwares et ransomwares font également partie des attaques les plus rependues</w:t>
      </w:r>
      <w:r w:rsidRPr="00481040">
        <w:rPr>
          <w:spacing w:val="-5"/>
        </w:rPr>
        <w:t xml:space="preserve"> </w:t>
      </w:r>
      <w:r w:rsidRPr="00481040">
        <w:t>suivies</w:t>
      </w:r>
      <w:r w:rsidRPr="00481040">
        <w:rPr>
          <w:spacing w:val="-6"/>
        </w:rPr>
        <w:t xml:space="preserve"> </w:t>
      </w:r>
      <w:r w:rsidRPr="00481040">
        <w:t>par</w:t>
      </w:r>
      <w:r w:rsidRPr="00481040">
        <w:rPr>
          <w:spacing w:val="-1"/>
        </w:rPr>
        <w:t xml:space="preserve"> </w:t>
      </w:r>
      <w:r w:rsidRPr="00481040">
        <w:t>les</w:t>
      </w:r>
      <w:r w:rsidRPr="00481040">
        <w:rPr>
          <w:spacing w:val="-6"/>
        </w:rPr>
        <w:t xml:space="preserve"> </w:t>
      </w:r>
      <w:r w:rsidRPr="00481040">
        <w:t>DDOS</w:t>
      </w:r>
      <w:r w:rsidRPr="00481040">
        <w:rPr>
          <w:spacing w:val="-5"/>
        </w:rPr>
        <w:t xml:space="preserve"> </w:t>
      </w:r>
      <w:r w:rsidRPr="00481040">
        <w:t>et</w:t>
      </w:r>
      <w:r w:rsidRPr="00481040">
        <w:rPr>
          <w:spacing w:val="-9"/>
        </w:rPr>
        <w:t xml:space="preserve"> </w:t>
      </w:r>
      <w:r w:rsidRPr="00481040">
        <w:t>attaques</w:t>
      </w:r>
      <w:r w:rsidRPr="00481040">
        <w:rPr>
          <w:spacing w:val="-6"/>
        </w:rPr>
        <w:t xml:space="preserve"> </w:t>
      </w:r>
      <w:r w:rsidRPr="00481040">
        <w:t>de</w:t>
      </w:r>
      <w:r w:rsidRPr="00481040">
        <w:rPr>
          <w:spacing w:val="-8"/>
        </w:rPr>
        <w:t xml:space="preserve"> </w:t>
      </w:r>
      <w:r w:rsidRPr="00481040">
        <w:t>type</w:t>
      </w:r>
      <w:r w:rsidRPr="00481040">
        <w:rPr>
          <w:spacing w:val="-1"/>
        </w:rPr>
        <w:t xml:space="preserve"> </w:t>
      </w:r>
      <w:r w:rsidRPr="00481040">
        <w:t>injection</w:t>
      </w:r>
      <w:r w:rsidRPr="00481040">
        <w:rPr>
          <w:spacing w:val="-8"/>
        </w:rPr>
        <w:t xml:space="preserve"> </w:t>
      </w:r>
      <w:r w:rsidRPr="00481040">
        <w:t>SQL</w:t>
      </w:r>
      <w:r w:rsidRPr="00481040">
        <w:rPr>
          <w:spacing w:val="-9"/>
        </w:rPr>
        <w:t xml:space="preserve"> </w:t>
      </w:r>
      <w:r w:rsidRPr="00481040">
        <w:t>et</w:t>
      </w:r>
      <w:r w:rsidRPr="00481040">
        <w:rPr>
          <w:spacing w:val="-8"/>
        </w:rPr>
        <w:t xml:space="preserve"> </w:t>
      </w:r>
      <w:r w:rsidRPr="00481040">
        <w:t>celles</w:t>
      </w:r>
      <w:r w:rsidRPr="00481040">
        <w:rPr>
          <w:spacing w:val="-6"/>
        </w:rPr>
        <w:t xml:space="preserve"> </w:t>
      </w:r>
      <w:r w:rsidRPr="00481040">
        <w:t>de</w:t>
      </w:r>
      <w:r w:rsidRPr="00481040">
        <w:rPr>
          <w:spacing w:val="-9"/>
        </w:rPr>
        <w:t xml:space="preserve"> </w:t>
      </w:r>
      <w:r w:rsidRPr="00481040">
        <w:t>l’Homme</w:t>
      </w:r>
      <w:r w:rsidRPr="00481040">
        <w:rPr>
          <w:spacing w:val="-8"/>
        </w:rPr>
        <w:t xml:space="preserve"> </w:t>
      </w:r>
      <w:r w:rsidRPr="00481040">
        <w:t>au</w:t>
      </w:r>
      <w:r w:rsidRPr="00481040">
        <w:rPr>
          <w:spacing w:val="-8"/>
        </w:rPr>
        <w:t xml:space="preserve"> </w:t>
      </w:r>
      <w:r w:rsidRPr="00481040">
        <w:t>milieu. Cependant,</w:t>
      </w:r>
      <w:r w:rsidRPr="00481040">
        <w:rPr>
          <w:spacing w:val="-4"/>
        </w:rPr>
        <w:t xml:space="preserve"> </w:t>
      </w:r>
      <w:r w:rsidRPr="00481040">
        <w:t>les</w:t>
      </w:r>
      <w:r w:rsidRPr="00481040">
        <w:rPr>
          <w:spacing w:val="-6"/>
        </w:rPr>
        <w:t xml:space="preserve"> </w:t>
      </w:r>
      <w:r w:rsidRPr="00481040">
        <w:t>attaques</w:t>
      </w:r>
      <w:r w:rsidRPr="00481040">
        <w:rPr>
          <w:spacing w:val="-7"/>
        </w:rPr>
        <w:t xml:space="preserve"> </w:t>
      </w:r>
      <w:r w:rsidRPr="00481040">
        <w:t>les</w:t>
      </w:r>
      <w:r w:rsidRPr="00481040">
        <w:rPr>
          <w:spacing w:val="-6"/>
        </w:rPr>
        <w:t xml:space="preserve"> </w:t>
      </w:r>
      <w:r w:rsidRPr="00481040">
        <w:t>plus</w:t>
      </w:r>
      <w:r w:rsidRPr="00481040">
        <w:rPr>
          <w:spacing w:val="-6"/>
        </w:rPr>
        <w:t xml:space="preserve"> </w:t>
      </w:r>
      <w:r w:rsidRPr="00481040">
        <w:t>coûteuses</w:t>
      </w:r>
      <w:r w:rsidRPr="00481040">
        <w:rPr>
          <w:spacing w:val="-7"/>
        </w:rPr>
        <w:t xml:space="preserve"> </w:t>
      </w:r>
      <w:r w:rsidRPr="00481040">
        <w:t>sont</w:t>
      </w:r>
      <w:r w:rsidRPr="00481040">
        <w:rPr>
          <w:spacing w:val="-4"/>
        </w:rPr>
        <w:t xml:space="preserve"> </w:t>
      </w:r>
      <w:r w:rsidRPr="00481040">
        <w:t>celles</w:t>
      </w:r>
      <w:r w:rsidRPr="00481040">
        <w:rPr>
          <w:spacing w:val="5"/>
        </w:rPr>
        <w:t xml:space="preserve"> </w:t>
      </w:r>
      <w:r w:rsidRPr="00481040">
        <w:t>qui</w:t>
      </w:r>
      <w:r w:rsidRPr="00481040">
        <w:rPr>
          <w:spacing w:val="-9"/>
        </w:rPr>
        <w:t xml:space="preserve"> </w:t>
      </w:r>
      <w:r w:rsidRPr="00481040">
        <w:t>concernent</w:t>
      </w:r>
      <w:r w:rsidRPr="00481040">
        <w:rPr>
          <w:spacing w:val="-5"/>
        </w:rPr>
        <w:t xml:space="preserve"> </w:t>
      </w:r>
      <w:r w:rsidRPr="00481040">
        <w:t>des</w:t>
      </w:r>
      <w:r w:rsidRPr="00481040">
        <w:rPr>
          <w:spacing w:val="-6"/>
        </w:rPr>
        <w:t xml:space="preserve"> </w:t>
      </w:r>
      <w:r w:rsidRPr="00481040">
        <w:t>fraudes</w:t>
      </w:r>
      <w:r w:rsidRPr="00481040">
        <w:rPr>
          <w:spacing w:val="-6"/>
        </w:rPr>
        <w:t xml:space="preserve"> </w:t>
      </w:r>
      <w:r w:rsidRPr="00481040">
        <w:t>internes</w:t>
      </w:r>
      <w:r w:rsidRPr="00481040">
        <w:rPr>
          <w:spacing w:val="-3"/>
        </w:rPr>
        <w:t xml:space="preserve"> </w:t>
      </w:r>
      <w:r w:rsidRPr="00481040">
        <w:t>avant</w:t>
      </w:r>
      <w:r w:rsidRPr="00481040">
        <w:rPr>
          <w:spacing w:val="-9"/>
        </w:rPr>
        <w:t xml:space="preserve"> </w:t>
      </w:r>
      <w:r w:rsidRPr="00481040">
        <w:t>les injections de code malveillant et les DDOS.(Accenture,</w:t>
      </w:r>
      <w:r w:rsidRPr="00481040">
        <w:rPr>
          <w:spacing w:val="-3"/>
        </w:rPr>
        <w:t xml:space="preserve"> </w:t>
      </w:r>
      <w:r w:rsidRPr="00481040">
        <w:t>2019)</w:t>
      </w:r>
    </w:p>
    <w:p w:rsidR="003E7CF5" w:rsidRPr="00481040" w:rsidRDefault="00024B00" w:rsidP="008C59C3">
      <w:pPr>
        <w:pStyle w:val="Corpsdetexte"/>
        <w:spacing w:before="240" w:after="240" w:line="360" w:lineRule="auto"/>
        <w:ind w:right="50"/>
        <w:jc w:val="both"/>
      </w:pPr>
      <w:r w:rsidRPr="00481040">
        <w:lastRenderedPageBreak/>
        <w:t>Sur la fenêtre d’évènement [0 ; 1], l’attaque Man in the middle (MIMA), ou l’homme au milieu et Drive by Downloald22 sont celles pour lesquelles les rendements anormalement négatifs sont les plus importants avec 4,17% et 1,21%. La méthode Drive by Download est particulièrement redoutable puisqu’elle s’exécute automatiquement. Le seul moyen d’y faire face est d’être en possession</w:t>
      </w:r>
      <w:r w:rsidRPr="00481040">
        <w:rPr>
          <w:spacing w:val="-6"/>
        </w:rPr>
        <w:t xml:space="preserve"> </w:t>
      </w:r>
      <w:r w:rsidRPr="00481040">
        <w:t>de</w:t>
      </w:r>
      <w:r w:rsidRPr="00481040">
        <w:rPr>
          <w:spacing w:val="-8"/>
        </w:rPr>
        <w:t xml:space="preserve"> </w:t>
      </w:r>
      <w:r w:rsidRPr="00481040">
        <w:t>logiciels</w:t>
      </w:r>
      <w:r w:rsidRPr="00481040">
        <w:rPr>
          <w:spacing w:val="-5"/>
        </w:rPr>
        <w:t xml:space="preserve"> </w:t>
      </w:r>
      <w:r w:rsidRPr="00481040">
        <w:t>antivirus</w:t>
      </w:r>
      <w:r w:rsidRPr="00481040">
        <w:rPr>
          <w:spacing w:val="-3"/>
        </w:rPr>
        <w:t xml:space="preserve"> </w:t>
      </w:r>
      <w:r w:rsidRPr="00481040">
        <w:t>et</w:t>
      </w:r>
      <w:r w:rsidRPr="00481040">
        <w:rPr>
          <w:spacing w:val="-3"/>
        </w:rPr>
        <w:t xml:space="preserve"> </w:t>
      </w:r>
      <w:r w:rsidRPr="00481040">
        <w:t>pare</w:t>
      </w:r>
      <w:r w:rsidRPr="00481040">
        <w:rPr>
          <w:spacing w:val="-9"/>
        </w:rPr>
        <w:t xml:space="preserve"> </w:t>
      </w:r>
      <w:r w:rsidRPr="00481040">
        <w:t>feu</w:t>
      </w:r>
      <w:r w:rsidRPr="00481040">
        <w:rPr>
          <w:spacing w:val="-5"/>
        </w:rPr>
        <w:t xml:space="preserve"> </w:t>
      </w:r>
      <w:r w:rsidRPr="00481040">
        <w:t>performants</w:t>
      </w:r>
      <w:r w:rsidRPr="00481040">
        <w:rPr>
          <w:spacing w:val="-5"/>
        </w:rPr>
        <w:t xml:space="preserve"> </w:t>
      </w:r>
      <w:r w:rsidRPr="00481040">
        <w:t>et</w:t>
      </w:r>
      <w:r w:rsidRPr="00481040">
        <w:rPr>
          <w:spacing w:val="-8"/>
        </w:rPr>
        <w:t xml:space="preserve"> </w:t>
      </w:r>
      <w:r w:rsidRPr="00481040">
        <w:t>bien</w:t>
      </w:r>
      <w:r w:rsidRPr="00481040">
        <w:rPr>
          <w:spacing w:val="-7"/>
        </w:rPr>
        <w:t xml:space="preserve"> </w:t>
      </w:r>
      <w:r w:rsidRPr="00481040">
        <w:t>configurés</w:t>
      </w:r>
      <w:r w:rsidRPr="00481040">
        <w:rPr>
          <w:spacing w:val="-5"/>
        </w:rPr>
        <w:t xml:space="preserve"> </w:t>
      </w:r>
      <w:r w:rsidRPr="00481040">
        <w:t>afin</w:t>
      </w:r>
      <w:r w:rsidRPr="00481040">
        <w:rPr>
          <w:spacing w:val="-8"/>
        </w:rPr>
        <w:t xml:space="preserve"> </w:t>
      </w:r>
      <w:r w:rsidRPr="00481040">
        <w:t>de</w:t>
      </w:r>
      <w:r w:rsidRPr="00481040">
        <w:rPr>
          <w:spacing w:val="-8"/>
        </w:rPr>
        <w:t xml:space="preserve"> </w:t>
      </w:r>
      <w:r w:rsidRPr="00481040">
        <w:t>bloquer</w:t>
      </w:r>
      <w:r w:rsidRPr="00481040">
        <w:rPr>
          <w:spacing w:val="-1"/>
        </w:rPr>
        <w:t xml:space="preserve"> </w:t>
      </w:r>
      <w:r w:rsidRPr="00481040">
        <w:t>à</w:t>
      </w:r>
      <w:r w:rsidRPr="00481040">
        <w:rPr>
          <w:spacing w:val="-8"/>
        </w:rPr>
        <w:t xml:space="preserve"> </w:t>
      </w:r>
      <w:r w:rsidRPr="00481040">
        <w:t>temps les téléchargements. Sur les attaques de type ingénierie sociale, on observe des rendements anormalement négatifs sur l’ensemble des fenêtres d’évènements cependant aucun d’entre eux n’excède 1%. Comme le confirme l’étude Accenture sur le coût des cyberattaques, bien que très répandues,</w:t>
      </w:r>
      <w:r w:rsidRPr="00481040">
        <w:rPr>
          <w:spacing w:val="-14"/>
        </w:rPr>
        <w:t xml:space="preserve"> </w:t>
      </w:r>
      <w:r w:rsidRPr="00481040">
        <w:t>ces</w:t>
      </w:r>
      <w:r w:rsidRPr="00481040">
        <w:rPr>
          <w:spacing w:val="-12"/>
        </w:rPr>
        <w:t xml:space="preserve"> </w:t>
      </w:r>
      <w:r w:rsidRPr="00481040">
        <w:t>attaques</w:t>
      </w:r>
      <w:r w:rsidRPr="00481040">
        <w:rPr>
          <w:spacing w:val="-12"/>
        </w:rPr>
        <w:t xml:space="preserve"> </w:t>
      </w:r>
      <w:r w:rsidRPr="00481040">
        <w:t>ne</w:t>
      </w:r>
      <w:r w:rsidRPr="00481040">
        <w:rPr>
          <w:spacing w:val="-15"/>
        </w:rPr>
        <w:t xml:space="preserve"> </w:t>
      </w:r>
      <w:r w:rsidRPr="00481040">
        <w:t>semblent</w:t>
      </w:r>
      <w:r w:rsidRPr="00481040">
        <w:rPr>
          <w:spacing w:val="-15"/>
        </w:rPr>
        <w:t xml:space="preserve"> </w:t>
      </w:r>
      <w:r w:rsidRPr="00481040">
        <w:t>pas</w:t>
      </w:r>
      <w:r w:rsidRPr="00481040">
        <w:rPr>
          <w:spacing w:val="-11"/>
        </w:rPr>
        <w:t xml:space="preserve"> </w:t>
      </w:r>
      <w:r w:rsidRPr="00481040">
        <w:t>être</w:t>
      </w:r>
      <w:r w:rsidRPr="00481040">
        <w:rPr>
          <w:spacing w:val="-10"/>
        </w:rPr>
        <w:t xml:space="preserve"> </w:t>
      </w:r>
      <w:r w:rsidRPr="00481040">
        <w:t>les</w:t>
      </w:r>
      <w:r w:rsidRPr="00481040">
        <w:rPr>
          <w:spacing w:val="-12"/>
        </w:rPr>
        <w:t xml:space="preserve"> </w:t>
      </w:r>
      <w:r w:rsidRPr="00481040">
        <w:t>plus</w:t>
      </w:r>
      <w:r w:rsidRPr="00481040">
        <w:rPr>
          <w:spacing w:val="-8"/>
        </w:rPr>
        <w:t xml:space="preserve"> </w:t>
      </w:r>
      <w:r w:rsidRPr="00481040">
        <w:t>coûteuses.</w:t>
      </w:r>
      <w:r w:rsidRPr="00481040">
        <w:rPr>
          <w:spacing w:val="-13"/>
        </w:rPr>
        <w:t xml:space="preserve"> </w:t>
      </w:r>
      <w:r w:rsidRPr="00481040">
        <w:t>En</w:t>
      </w:r>
      <w:r w:rsidRPr="00481040">
        <w:rPr>
          <w:spacing w:val="-14"/>
        </w:rPr>
        <w:t xml:space="preserve"> </w:t>
      </w:r>
      <w:r w:rsidRPr="00481040">
        <w:t>effet,</w:t>
      </w:r>
      <w:r w:rsidRPr="00481040">
        <w:rPr>
          <w:spacing w:val="-14"/>
        </w:rPr>
        <w:t xml:space="preserve"> </w:t>
      </w:r>
      <w:r w:rsidRPr="00481040">
        <w:t>généralement</w:t>
      </w:r>
      <w:r w:rsidRPr="00481040">
        <w:rPr>
          <w:spacing w:val="-15"/>
        </w:rPr>
        <w:t xml:space="preserve"> </w:t>
      </w:r>
      <w:r w:rsidRPr="00481040">
        <w:t>ces</w:t>
      </w:r>
      <w:r w:rsidRPr="00481040">
        <w:rPr>
          <w:spacing w:val="-12"/>
        </w:rPr>
        <w:t xml:space="preserve"> </w:t>
      </w:r>
      <w:r w:rsidRPr="00481040">
        <w:t>attaques sont</w:t>
      </w:r>
      <w:r w:rsidRPr="00481040">
        <w:rPr>
          <w:spacing w:val="-14"/>
        </w:rPr>
        <w:t xml:space="preserve"> </w:t>
      </w:r>
      <w:r w:rsidRPr="00481040">
        <w:t>détectées</w:t>
      </w:r>
      <w:r w:rsidRPr="00481040">
        <w:rPr>
          <w:spacing w:val="-6"/>
        </w:rPr>
        <w:t xml:space="preserve"> </w:t>
      </w:r>
      <w:r w:rsidRPr="00481040">
        <w:t>très</w:t>
      </w:r>
      <w:r w:rsidRPr="00481040">
        <w:rPr>
          <w:spacing w:val="-11"/>
        </w:rPr>
        <w:t xml:space="preserve"> </w:t>
      </w:r>
      <w:r w:rsidRPr="00481040">
        <w:t>rapidement</w:t>
      </w:r>
      <w:r w:rsidRPr="00481040">
        <w:rPr>
          <w:spacing w:val="-14"/>
        </w:rPr>
        <w:t xml:space="preserve"> </w:t>
      </w:r>
      <w:r w:rsidRPr="00481040">
        <w:t>puisqu’elles</w:t>
      </w:r>
      <w:r w:rsidRPr="00481040">
        <w:rPr>
          <w:spacing w:val="-11"/>
        </w:rPr>
        <w:t xml:space="preserve"> </w:t>
      </w:r>
      <w:r w:rsidRPr="00481040">
        <w:t>sont</w:t>
      </w:r>
      <w:r w:rsidRPr="00481040">
        <w:rPr>
          <w:spacing w:val="-14"/>
        </w:rPr>
        <w:t xml:space="preserve"> </w:t>
      </w:r>
      <w:r w:rsidRPr="00481040">
        <w:t>d’origine</w:t>
      </w:r>
      <w:r w:rsidRPr="00481040">
        <w:rPr>
          <w:spacing w:val="-14"/>
        </w:rPr>
        <w:t xml:space="preserve"> </w:t>
      </w:r>
      <w:r w:rsidRPr="00481040">
        <w:t>humaine.</w:t>
      </w:r>
      <w:r w:rsidRPr="00481040">
        <w:rPr>
          <w:spacing w:val="-12"/>
        </w:rPr>
        <w:t xml:space="preserve"> </w:t>
      </w:r>
      <w:r w:rsidRPr="00481040">
        <w:t>Cependant,</w:t>
      </w:r>
      <w:r w:rsidRPr="00481040">
        <w:rPr>
          <w:spacing w:val="-9"/>
        </w:rPr>
        <w:t xml:space="preserve"> </w:t>
      </w:r>
      <w:r w:rsidRPr="00481040">
        <w:t>le</w:t>
      </w:r>
      <w:r w:rsidRPr="00481040">
        <w:rPr>
          <w:spacing w:val="-13"/>
        </w:rPr>
        <w:t xml:space="preserve"> </w:t>
      </w:r>
      <w:r w:rsidRPr="00481040">
        <w:t>phishing</w:t>
      </w:r>
      <w:r w:rsidRPr="00481040">
        <w:rPr>
          <w:spacing w:val="-13"/>
        </w:rPr>
        <w:t xml:space="preserve"> </w:t>
      </w:r>
      <w:r w:rsidRPr="00481040">
        <w:t>est</w:t>
      </w:r>
      <w:r w:rsidRPr="00481040">
        <w:rPr>
          <w:spacing w:val="-14"/>
        </w:rPr>
        <w:t xml:space="preserve"> </w:t>
      </w:r>
      <w:r w:rsidRPr="00481040">
        <w:t>bien souvent</w:t>
      </w:r>
      <w:r w:rsidRPr="00481040">
        <w:rPr>
          <w:spacing w:val="-14"/>
        </w:rPr>
        <w:t xml:space="preserve"> </w:t>
      </w:r>
      <w:r w:rsidRPr="00481040">
        <w:t>le</w:t>
      </w:r>
      <w:r w:rsidRPr="00481040">
        <w:rPr>
          <w:spacing w:val="-13"/>
        </w:rPr>
        <w:t xml:space="preserve"> </w:t>
      </w:r>
      <w:r w:rsidRPr="00481040">
        <w:t>moyen</w:t>
      </w:r>
      <w:r w:rsidRPr="00481040">
        <w:rPr>
          <w:spacing w:val="-12"/>
        </w:rPr>
        <w:t xml:space="preserve"> </w:t>
      </w:r>
      <w:r w:rsidRPr="00481040">
        <w:t>d’atteindre</w:t>
      </w:r>
      <w:r w:rsidRPr="00481040">
        <w:rPr>
          <w:spacing w:val="-13"/>
        </w:rPr>
        <w:t xml:space="preserve"> </w:t>
      </w:r>
      <w:r w:rsidRPr="00481040">
        <w:t>les</w:t>
      </w:r>
      <w:r w:rsidRPr="00481040">
        <w:rPr>
          <w:spacing w:val="-10"/>
        </w:rPr>
        <w:t xml:space="preserve"> </w:t>
      </w:r>
      <w:r w:rsidRPr="00481040">
        <w:t>systèmes</w:t>
      </w:r>
      <w:r w:rsidRPr="00481040">
        <w:rPr>
          <w:spacing w:val="-10"/>
        </w:rPr>
        <w:t xml:space="preserve"> </w:t>
      </w:r>
      <w:r w:rsidRPr="00481040">
        <w:t>d’information</w:t>
      </w:r>
      <w:r w:rsidRPr="00481040">
        <w:rPr>
          <w:spacing w:val="-6"/>
        </w:rPr>
        <w:t xml:space="preserve"> </w:t>
      </w:r>
      <w:r w:rsidRPr="00481040">
        <w:t>discrètement</w:t>
      </w:r>
      <w:r w:rsidRPr="00481040">
        <w:rPr>
          <w:spacing w:val="-13"/>
        </w:rPr>
        <w:t xml:space="preserve"> </w:t>
      </w:r>
      <w:r w:rsidRPr="00481040">
        <w:t>afin</w:t>
      </w:r>
      <w:r w:rsidRPr="00481040">
        <w:rPr>
          <w:spacing w:val="-13"/>
        </w:rPr>
        <w:t xml:space="preserve"> </w:t>
      </w:r>
      <w:r w:rsidRPr="00481040">
        <w:t>de</w:t>
      </w:r>
      <w:r w:rsidRPr="00481040">
        <w:rPr>
          <w:spacing w:val="-13"/>
        </w:rPr>
        <w:t xml:space="preserve"> </w:t>
      </w:r>
      <w:r w:rsidRPr="00481040">
        <w:t>s’y</w:t>
      </w:r>
      <w:r w:rsidRPr="00481040">
        <w:rPr>
          <w:spacing w:val="-11"/>
        </w:rPr>
        <w:t xml:space="preserve"> </w:t>
      </w:r>
      <w:r w:rsidRPr="00481040">
        <w:t>déplacer,</w:t>
      </w:r>
      <w:r w:rsidRPr="00481040">
        <w:rPr>
          <w:spacing w:val="-12"/>
        </w:rPr>
        <w:t xml:space="preserve"> </w:t>
      </w:r>
      <w:r w:rsidRPr="00481040">
        <w:t>extraire et crypter des données petit à petit pendant plusieurs semaines ou espionner les collaborateurs. Dans un second temps, les hackers installent un malware directement sur les SI des entreprises visant</w:t>
      </w:r>
      <w:r w:rsidRPr="00481040">
        <w:rPr>
          <w:spacing w:val="-7"/>
        </w:rPr>
        <w:t xml:space="preserve"> </w:t>
      </w:r>
      <w:r w:rsidRPr="00481040">
        <w:t>à</w:t>
      </w:r>
      <w:r w:rsidRPr="00481040">
        <w:rPr>
          <w:spacing w:val="-3"/>
        </w:rPr>
        <w:t xml:space="preserve"> </w:t>
      </w:r>
      <w:r w:rsidRPr="00481040">
        <w:t>les</w:t>
      </w:r>
      <w:r w:rsidRPr="00481040">
        <w:rPr>
          <w:spacing w:val="-5"/>
        </w:rPr>
        <w:t xml:space="preserve"> </w:t>
      </w:r>
      <w:r w:rsidRPr="00481040">
        <w:t>rendre</w:t>
      </w:r>
      <w:r w:rsidRPr="00481040">
        <w:rPr>
          <w:spacing w:val="-3"/>
        </w:rPr>
        <w:t xml:space="preserve"> </w:t>
      </w:r>
      <w:r w:rsidRPr="00481040">
        <w:t>inopérants</w:t>
      </w:r>
      <w:r w:rsidRPr="00481040">
        <w:rPr>
          <w:spacing w:val="-3"/>
        </w:rPr>
        <w:t xml:space="preserve"> </w:t>
      </w:r>
      <w:r w:rsidRPr="00481040">
        <w:t>et</w:t>
      </w:r>
      <w:r w:rsidRPr="00481040">
        <w:rPr>
          <w:spacing w:val="-3"/>
        </w:rPr>
        <w:t xml:space="preserve"> </w:t>
      </w:r>
      <w:r w:rsidRPr="00481040">
        <w:t>réclament</w:t>
      </w:r>
      <w:r w:rsidRPr="00481040">
        <w:rPr>
          <w:spacing w:val="-8"/>
        </w:rPr>
        <w:t xml:space="preserve"> </w:t>
      </w:r>
      <w:r w:rsidRPr="00481040">
        <w:t>une</w:t>
      </w:r>
      <w:r w:rsidRPr="00481040">
        <w:rPr>
          <w:spacing w:val="-8"/>
        </w:rPr>
        <w:t xml:space="preserve"> </w:t>
      </w:r>
      <w:r w:rsidRPr="00481040">
        <w:t>rançon</w:t>
      </w:r>
      <w:r w:rsidRPr="00481040">
        <w:rPr>
          <w:spacing w:val="-7"/>
        </w:rPr>
        <w:t xml:space="preserve"> </w:t>
      </w:r>
      <w:r w:rsidRPr="00481040">
        <w:t>en</w:t>
      </w:r>
      <w:r w:rsidRPr="00481040">
        <w:rPr>
          <w:spacing w:val="-7"/>
        </w:rPr>
        <w:t xml:space="preserve"> </w:t>
      </w:r>
      <w:r w:rsidRPr="00481040">
        <w:t>échange</w:t>
      </w:r>
      <w:r w:rsidRPr="00481040">
        <w:rPr>
          <w:spacing w:val="-3"/>
        </w:rPr>
        <w:t xml:space="preserve"> </w:t>
      </w:r>
      <w:r w:rsidRPr="00481040">
        <w:t>de</w:t>
      </w:r>
      <w:r w:rsidRPr="00481040">
        <w:rPr>
          <w:spacing w:val="-3"/>
        </w:rPr>
        <w:t xml:space="preserve"> </w:t>
      </w:r>
      <w:r w:rsidRPr="00481040">
        <w:t>la</w:t>
      </w:r>
      <w:r w:rsidRPr="00481040">
        <w:rPr>
          <w:spacing w:val="-3"/>
        </w:rPr>
        <w:t xml:space="preserve"> </w:t>
      </w:r>
      <w:r w:rsidRPr="00481040">
        <w:t>clé</w:t>
      </w:r>
      <w:r w:rsidRPr="00481040">
        <w:rPr>
          <w:spacing w:val="-3"/>
        </w:rPr>
        <w:t xml:space="preserve"> </w:t>
      </w:r>
      <w:r w:rsidRPr="00481040">
        <w:t>de</w:t>
      </w:r>
      <w:r w:rsidRPr="00481040">
        <w:rPr>
          <w:spacing w:val="-8"/>
        </w:rPr>
        <w:t xml:space="preserve"> </w:t>
      </w:r>
      <w:r w:rsidRPr="00481040">
        <w:t>déchiffrement.</w:t>
      </w:r>
      <w:r w:rsidRPr="00481040">
        <w:rPr>
          <w:spacing w:val="1"/>
        </w:rPr>
        <w:t xml:space="preserve"> </w:t>
      </w:r>
      <w:r w:rsidRPr="00481040">
        <w:t>Dans ce cas l’attaque initiale n’a plus du tout le même impact sur l’entreprise que ce soit d’un point de vue image ou</w:t>
      </w:r>
      <w:r w:rsidRPr="00481040">
        <w:rPr>
          <w:spacing w:val="-5"/>
        </w:rPr>
        <w:t xml:space="preserve"> </w:t>
      </w:r>
      <w:r w:rsidRPr="00481040">
        <w:t>business.</w:t>
      </w:r>
    </w:p>
    <w:p w:rsidR="003E7CF5" w:rsidRDefault="00024B00" w:rsidP="008C59C3">
      <w:pPr>
        <w:pStyle w:val="Corpsdetexte"/>
        <w:spacing w:before="240" w:after="240" w:line="360" w:lineRule="auto"/>
        <w:ind w:right="50"/>
        <w:jc w:val="both"/>
      </w:pPr>
      <w:r w:rsidRPr="00481040">
        <w:t>En effet, on remarque que les ransomwares entraînement des rendements anormalement négatifs plus importants que le phishing en lui-même sur les fenêtres [0 ;3] et [-1 ; 5] avec des seuils de significativité satisfaisants. Sur les deux autres fenêtres, beaucoup plus proches de l’annonce, les</w:t>
      </w:r>
      <w:r w:rsidR="002E2D4C">
        <w:t xml:space="preserve"> </w:t>
      </w:r>
      <w:r>
        <w:t>effets sont très faibles. En effet, sur les méthodes d’attaque avec les ransomwares, les entreprises mettent souvent plusieurs jours à réparer, restaurer les SI et retrouver un niveau opérationnel satisfaisant. En janvier 2020, le ransomware MAZE a porté atteinte aux SI de Bouygues Construction, une société de BTP du groupe Bouygues, côté sur le CAC 40. Une rançon de 10 millions d’euros a été demandée par le groupe de hackers. Deux mois plus tard, Bouygues admet ne pas avoir encore pu rétablir totalement la situation. Les équipes IT mettent donc plusieurs</w:t>
      </w:r>
      <w:r>
        <w:rPr>
          <w:spacing w:val="-40"/>
        </w:rPr>
        <w:t xml:space="preserve"> </w:t>
      </w:r>
      <w:r>
        <w:t>jours à évaluer l’ampleur de ce type d’attaque</w:t>
      </w:r>
      <w:r>
        <w:rPr>
          <w:spacing w:val="-6"/>
        </w:rPr>
        <w:t xml:space="preserve"> </w:t>
      </w:r>
      <w:r>
        <w:t>d’ampleur.</w:t>
      </w:r>
    </w:p>
    <w:p w:rsidR="003E7CF5" w:rsidRDefault="00024B00">
      <w:pPr>
        <w:spacing w:before="120"/>
        <w:ind w:left="335"/>
        <w:jc w:val="both"/>
        <w:rPr>
          <w:sz w:val="20"/>
        </w:rPr>
      </w:pPr>
      <w:bookmarkStart w:id="34" w:name="_bookmark33"/>
      <w:bookmarkEnd w:id="34"/>
      <w:r>
        <w:rPr>
          <w:sz w:val="20"/>
        </w:rPr>
        <w:t>Tableau 6 : Résultats d’analyse de la RAMC par type d’attaque</w:t>
      </w:r>
    </w:p>
    <w:p w:rsidR="003E7CF5" w:rsidRDefault="003E7CF5">
      <w:pPr>
        <w:pStyle w:val="Corpsdetexte"/>
        <w:spacing w:before="7" w:after="1"/>
        <w:rPr>
          <w:sz w:val="13"/>
        </w:rPr>
      </w:pPr>
    </w:p>
    <w:tbl>
      <w:tblPr>
        <w:tblStyle w:val="TableNormal"/>
        <w:tblW w:w="0" w:type="auto"/>
        <w:tblInd w:w="335" w:type="dxa"/>
        <w:tblLayout w:type="fixed"/>
        <w:tblLook w:val="01E0" w:firstRow="1" w:lastRow="1" w:firstColumn="1" w:lastColumn="1" w:noHBand="0" w:noVBand="0"/>
      </w:tblPr>
      <w:tblGrid>
        <w:gridCol w:w="1085"/>
        <w:gridCol w:w="1038"/>
        <w:gridCol w:w="1041"/>
        <w:gridCol w:w="1044"/>
        <w:gridCol w:w="1066"/>
        <w:gridCol w:w="1023"/>
        <w:gridCol w:w="1020"/>
        <w:gridCol w:w="1061"/>
        <w:gridCol w:w="1043"/>
      </w:tblGrid>
      <w:tr w:rsidR="003E7CF5">
        <w:trPr>
          <w:trHeight w:val="1920"/>
        </w:trPr>
        <w:tc>
          <w:tcPr>
            <w:tcW w:w="1085" w:type="dxa"/>
            <w:tcBorders>
              <w:top w:val="single" w:sz="12" w:space="0" w:color="000000"/>
              <w:bottom w:val="single" w:sz="12" w:space="0" w:color="4471C4"/>
            </w:tcBorders>
            <w:shd w:val="clear" w:color="auto" w:fill="D0CECE"/>
            <w:textDirection w:val="btLr"/>
          </w:tcPr>
          <w:p w:rsidR="003E7CF5" w:rsidRDefault="00024B00">
            <w:pPr>
              <w:pStyle w:val="TableParagraph"/>
              <w:spacing w:before="117" w:line="360" w:lineRule="auto"/>
              <w:ind w:left="114" w:right="600"/>
              <w:rPr>
                <w:b/>
              </w:rPr>
            </w:pPr>
            <w:r>
              <w:rPr>
                <w:b/>
              </w:rPr>
              <w:lastRenderedPageBreak/>
              <w:t>Fenêtre d'évènement</w:t>
            </w:r>
          </w:p>
        </w:tc>
        <w:tc>
          <w:tcPr>
            <w:tcW w:w="1038" w:type="dxa"/>
            <w:tcBorders>
              <w:top w:val="single" w:sz="12" w:space="0" w:color="000000"/>
              <w:bottom w:val="single" w:sz="12" w:space="0" w:color="4471C4"/>
            </w:tcBorders>
            <w:shd w:val="clear" w:color="auto" w:fill="D0CECE"/>
            <w:textDirection w:val="btLr"/>
          </w:tcPr>
          <w:p w:rsidR="003E7CF5" w:rsidRDefault="003E7CF5">
            <w:pPr>
              <w:pStyle w:val="TableParagraph"/>
              <w:spacing w:before="10"/>
              <w:rPr>
                <w:sz w:val="28"/>
              </w:rPr>
            </w:pPr>
          </w:p>
          <w:p w:rsidR="003E7CF5" w:rsidRDefault="00024B00">
            <w:pPr>
              <w:pStyle w:val="TableParagraph"/>
              <w:ind w:left="114"/>
              <w:rPr>
                <w:b/>
              </w:rPr>
            </w:pPr>
            <w:r>
              <w:rPr>
                <w:b/>
              </w:rPr>
              <w:t>DDOS</w:t>
            </w:r>
          </w:p>
        </w:tc>
        <w:tc>
          <w:tcPr>
            <w:tcW w:w="1041" w:type="dxa"/>
            <w:tcBorders>
              <w:top w:val="single" w:sz="12" w:space="0" w:color="000000"/>
              <w:bottom w:val="single" w:sz="12" w:space="0" w:color="4471C4"/>
            </w:tcBorders>
            <w:shd w:val="clear" w:color="auto" w:fill="D0CECE"/>
            <w:textDirection w:val="btLr"/>
          </w:tcPr>
          <w:p w:rsidR="003E7CF5" w:rsidRDefault="003E7CF5">
            <w:pPr>
              <w:pStyle w:val="TableParagraph"/>
              <w:spacing w:before="1"/>
              <w:rPr>
                <w:sz w:val="29"/>
              </w:rPr>
            </w:pPr>
          </w:p>
          <w:p w:rsidR="003E7CF5" w:rsidRDefault="00024B00">
            <w:pPr>
              <w:pStyle w:val="TableParagraph"/>
              <w:ind w:left="114"/>
              <w:rPr>
                <w:b/>
              </w:rPr>
            </w:pPr>
            <w:r>
              <w:rPr>
                <w:b/>
              </w:rPr>
              <w:t>Faille de sécurité</w:t>
            </w:r>
          </w:p>
        </w:tc>
        <w:tc>
          <w:tcPr>
            <w:tcW w:w="1044" w:type="dxa"/>
            <w:tcBorders>
              <w:top w:val="single" w:sz="12" w:space="0" w:color="000000"/>
              <w:bottom w:val="single" w:sz="12" w:space="0" w:color="4471C4"/>
            </w:tcBorders>
            <w:shd w:val="clear" w:color="auto" w:fill="D0CECE"/>
            <w:textDirection w:val="btLr"/>
          </w:tcPr>
          <w:p w:rsidR="003E7CF5" w:rsidRDefault="003E7CF5">
            <w:pPr>
              <w:pStyle w:val="TableParagraph"/>
              <w:spacing w:before="1"/>
              <w:rPr>
                <w:sz w:val="29"/>
              </w:rPr>
            </w:pPr>
          </w:p>
          <w:p w:rsidR="003E7CF5" w:rsidRDefault="00024B00">
            <w:pPr>
              <w:pStyle w:val="TableParagraph"/>
              <w:ind w:left="114"/>
              <w:rPr>
                <w:b/>
              </w:rPr>
            </w:pPr>
            <w:r>
              <w:rPr>
                <w:b/>
              </w:rPr>
              <w:t>Malware</w:t>
            </w:r>
          </w:p>
        </w:tc>
        <w:tc>
          <w:tcPr>
            <w:tcW w:w="1066" w:type="dxa"/>
            <w:tcBorders>
              <w:top w:val="single" w:sz="12" w:space="0" w:color="000000"/>
              <w:bottom w:val="single" w:sz="12" w:space="0" w:color="4471C4"/>
            </w:tcBorders>
            <w:shd w:val="clear" w:color="auto" w:fill="D0CECE"/>
            <w:textDirection w:val="btLr"/>
          </w:tcPr>
          <w:p w:rsidR="003E7CF5" w:rsidRDefault="003E7CF5">
            <w:pPr>
              <w:pStyle w:val="TableParagraph"/>
              <w:spacing w:before="9"/>
              <w:rPr>
                <w:sz w:val="28"/>
              </w:rPr>
            </w:pPr>
          </w:p>
          <w:p w:rsidR="003E7CF5" w:rsidRDefault="00024B00">
            <w:pPr>
              <w:pStyle w:val="TableParagraph"/>
              <w:ind w:left="114"/>
              <w:rPr>
                <w:b/>
              </w:rPr>
            </w:pPr>
            <w:r>
              <w:rPr>
                <w:b/>
              </w:rPr>
              <w:t>Phishing</w:t>
            </w:r>
          </w:p>
        </w:tc>
        <w:tc>
          <w:tcPr>
            <w:tcW w:w="1023" w:type="dxa"/>
            <w:tcBorders>
              <w:top w:val="single" w:sz="12" w:space="0" w:color="000000"/>
              <w:bottom w:val="single" w:sz="12" w:space="0" w:color="4471C4"/>
            </w:tcBorders>
            <w:shd w:val="clear" w:color="auto" w:fill="D0CECE"/>
            <w:textDirection w:val="btLr"/>
          </w:tcPr>
          <w:p w:rsidR="003E7CF5" w:rsidRDefault="003E7CF5">
            <w:pPr>
              <w:pStyle w:val="TableParagraph"/>
              <w:rPr>
                <w:sz w:val="27"/>
              </w:rPr>
            </w:pPr>
          </w:p>
          <w:p w:rsidR="003E7CF5" w:rsidRDefault="00024B00">
            <w:pPr>
              <w:pStyle w:val="TableParagraph"/>
              <w:ind w:left="114"/>
              <w:rPr>
                <w:b/>
              </w:rPr>
            </w:pPr>
            <w:r>
              <w:rPr>
                <w:b/>
              </w:rPr>
              <w:t>Ransomware</w:t>
            </w:r>
          </w:p>
        </w:tc>
        <w:tc>
          <w:tcPr>
            <w:tcW w:w="1020" w:type="dxa"/>
            <w:tcBorders>
              <w:top w:val="single" w:sz="12" w:space="0" w:color="000000"/>
              <w:bottom w:val="single" w:sz="12" w:space="0" w:color="4471C4"/>
            </w:tcBorders>
            <w:shd w:val="clear" w:color="auto" w:fill="D0CECE"/>
            <w:textDirection w:val="btLr"/>
          </w:tcPr>
          <w:p w:rsidR="003E7CF5" w:rsidRDefault="003E7CF5">
            <w:pPr>
              <w:pStyle w:val="TableParagraph"/>
              <w:spacing w:before="6"/>
              <w:rPr>
                <w:sz w:val="28"/>
              </w:rPr>
            </w:pPr>
          </w:p>
          <w:p w:rsidR="003E7CF5" w:rsidRDefault="00024B00">
            <w:pPr>
              <w:pStyle w:val="TableParagraph"/>
              <w:ind w:left="114"/>
              <w:rPr>
                <w:b/>
              </w:rPr>
            </w:pPr>
            <w:r>
              <w:rPr>
                <w:b/>
              </w:rPr>
              <w:t>SQL injection</w:t>
            </w:r>
          </w:p>
        </w:tc>
        <w:tc>
          <w:tcPr>
            <w:tcW w:w="1061" w:type="dxa"/>
            <w:tcBorders>
              <w:top w:val="single" w:sz="12" w:space="0" w:color="000000"/>
              <w:bottom w:val="single" w:sz="12" w:space="0" w:color="4471C4"/>
            </w:tcBorders>
            <w:shd w:val="clear" w:color="auto" w:fill="D0CECE"/>
            <w:textDirection w:val="btLr"/>
          </w:tcPr>
          <w:p w:rsidR="003E7CF5" w:rsidRDefault="00024B00">
            <w:pPr>
              <w:pStyle w:val="TableParagraph"/>
              <w:tabs>
                <w:tab w:val="left" w:pos="1579"/>
              </w:tabs>
              <w:spacing w:before="158"/>
              <w:ind w:left="114"/>
              <w:rPr>
                <w:b/>
              </w:rPr>
            </w:pPr>
            <w:r>
              <w:rPr>
                <w:b/>
              </w:rPr>
              <w:t>Drive</w:t>
            </w:r>
            <w:r>
              <w:rPr>
                <w:b/>
              </w:rPr>
              <w:tab/>
              <w:t>by</w:t>
            </w:r>
          </w:p>
          <w:p w:rsidR="003E7CF5" w:rsidRDefault="00024B00">
            <w:pPr>
              <w:pStyle w:val="TableParagraph"/>
              <w:spacing w:before="127"/>
              <w:ind w:left="114"/>
              <w:rPr>
                <w:b/>
              </w:rPr>
            </w:pPr>
            <w:r>
              <w:rPr>
                <w:b/>
              </w:rPr>
              <w:t>Download</w:t>
            </w:r>
          </w:p>
        </w:tc>
        <w:tc>
          <w:tcPr>
            <w:tcW w:w="1043" w:type="dxa"/>
            <w:tcBorders>
              <w:top w:val="single" w:sz="12" w:space="0" w:color="000000"/>
              <w:bottom w:val="single" w:sz="12" w:space="0" w:color="4471C4"/>
            </w:tcBorders>
            <w:shd w:val="clear" w:color="auto" w:fill="D0CECE"/>
            <w:textDirection w:val="btLr"/>
          </w:tcPr>
          <w:p w:rsidR="003E7CF5" w:rsidRDefault="003E7CF5">
            <w:pPr>
              <w:pStyle w:val="TableParagraph"/>
              <w:spacing w:before="10"/>
              <w:rPr>
                <w:sz w:val="28"/>
              </w:rPr>
            </w:pPr>
          </w:p>
          <w:p w:rsidR="003E7CF5" w:rsidRDefault="00024B00">
            <w:pPr>
              <w:pStyle w:val="TableParagraph"/>
              <w:ind w:left="114"/>
              <w:rPr>
                <w:b/>
              </w:rPr>
            </w:pPr>
            <w:r>
              <w:rPr>
                <w:b/>
              </w:rPr>
              <w:t>MIMA</w:t>
            </w:r>
          </w:p>
        </w:tc>
      </w:tr>
      <w:tr w:rsidR="003E7CF5">
        <w:trPr>
          <w:trHeight w:val="317"/>
        </w:trPr>
        <w:tc>
          <w:tcPr>
            <w:tcW w:w="1085" w:type="dxa"/>
            <w:tcBorders>
              <w:top w:val="single" w:sz="12" w:space="0" w:color="4471C4"/>
            </w:tcBorders>
          </w:tcPr>
          <w:p w:rsidR="003E7CF5" w:rsidRDefault="00024B00">
            <w:pPr>
              <w:pStyle w:val="TableParagraph"/>
              <w:spacing w:before="2"/>
              <w:ind w:left="117"/>
              <w:rPr>
                <w:i/>
                <w:sz w:val="18"/>
              </w:rPr>
            </w:pPr>
            <w:r>
              <w:rPr>
                <w:i/>
                <w:sz w:val="18"/>
              </w:rPr>
              <w:t>Répartition</w:t>
            </w:r>
          </w:p>
        </w:tc>
        <w:tc>
          <w:tcPr>
            <w:tcW w:w="1038" w:type="dxa"/>
            <w:tcBorders>
              <w:top w:val="single" w:sz="12" w:space="0" w:color="4471C4"/>
            </w:tcBorders>
          </w:tcPr>
          <w:p w:rsidR="003E7CF5" w:rsidRDefault="00024B00">
            <w:pPr>
              <w:pStyle w:val="TableParagraph"/>
              <w:spacing w:before="2"/>
              <w:ind w:left="128" w:right="128"/>
              <w:jc w:val="center"/>
              <w:rPr>
                <w:i/>
                <w:sz w:val="18"/>
              </w:rPr>
            </w:pPr>
            <w:r>
              <w:rPr>
                <w:i/>
                <w:sz w:val="18"/>
              </w:rPr>
              <w:t>8%</w:t>
            </w:r>
          </w:p>
        </w:tc>
        <w:tc>
          <w:tcPr>
            <w:tcW w:w="1041" w:type="dxa"/>
            <w:tcBorders>
              <w:top w:val="single" w:sz="12" w:space="0" w:color="4471C4"/>
            </w:tcBorders>
          </w:tcPr>
          <w:p w:rsidR="003E7CF5" w:rsidRDefault="00024B00">
            <w:pPr>
              <w:pStyle w:val="TableParagraph"/>
              <w:spacing w:before="2"/>
              <w:ind w:left="130" w:right="130"/>
              <w:jc w:val="center"/>
              <w:rPr>
                <w:i/>
                <w:sz w:val="18"/>
              </w:rPr>
            </w:pPr>
            <w:r>
              <w:rPr>
                <w:i/>
                <w:sz w:val="18"/>
              </w:rPr>
              <w:t>15%</w:t>
            </w:r>
          </w:p>
        </w:tc>
        <w:tc>
          <w:tcPr>
            <w:tcW w:w="1044" w:type="dxa"/>
            <w:tcBorders>
              <w:top w:val="single" w:sz="12" w:space="0" w:color="4471C4"/>
            </w:tcBorders>
          </w:tcPr>
          <w:p w:rsidR="003E7CF5" w:rsidRDefault="00024B00">
            <w:pPr>
              <w:pStyle w:val="TableParagraph"/>
              <w:spacing w:before="2"/>
              <w:ind w:left="130" w:right="132"/>
              <w:jc w:val="center"/>
              <w:rPr>
                <w:i/>
                <w:sz w:val="18"/>
              </w:rPr>
            </w:pPr>
            <w:r>
              <w:rPr>
                <w:i/>
                <w:sz w:val="18"/>
              </w:rPr>
              <w:t>25%</w:t>
            </w:r>
          </w:p>
        </w:tc>
        <w:tc>
          <w:tcPr>
            <w:tcW w:w="1066" w:type="dxa"/>
            <w:tcBorders>
              <w:top w:val="single" w:sz="12" w:space="0" w:color="4471C4"/>
            </w:tcBorders>
          </w:tcPr>
          <w:p w:rsidR="003E7CF5" w:rsidRDefault="00024B00">
            <w:pPr>
              <w:pStyle w:val="TableParagraph"/>
              <w:spacing w:before="2"/>
              <w:ind w:left="133" w:right="153"/>
              <w:jc w:val="center"/>
              <w:rPr>
                <w:i/>
                <w:sz w:val="18"/>
              </w:rPr>
            </w:pPr>
            <w:r>
              <w:rPr>
                <w:i/>
                <w:sz w:val="18"/>
              </w:rPr>
              <w:t>19%</w:t>
            </w:r>
          </w:p>
        </w:tc>
        <w:tc>
          <w:tcPr>
            <w:tcW w:w="1023" w:type="dxa"/>
            <w:tcBorders>
              <w:top w:val="single" w:sz="12" w:space="0" w:color="4471C4"/>
            </w:tcBorders>
          </w:tcPr>
          <w:p w:rsidR="003E7CF5" w:rsidRDefault="00024B00">
            <w:pPr>
              <w:pStyle w:val="TableParagraph"/>
              <w:spacing w:before="2"/>
              <w:ind w:left="151" w:right="170"/>
              <w:jc w:val="center"/>
              <w:rPr>
                <w:i/>
                <w:sz w:val="18"/>
              </w:rPr>
            </w:pPr>
            <w:r>
              <w:rPr>
                <w:i/>
                <w:sz w:val="18"/>
              </w:rPr>
              <w:t>19%</w:t>
            </w:r>
          </w:p>
        </w:tc>
        <w:tc>
          <w:tcPr>
            <w:tcW w:w="1020" w:type="dxa"/>
            <w:tcBorders>
              <w:top w:val="single" w:sz="12" w:space="0" w:color="4471C4"/>
            </w:tcBorders>
          </w:tcPr>
          <w:p w:rsidR="003E7CF5" w:rsidRDefault="00024B00">
            <w:pPr>
              <w:pStyle w:val="TableParagraph"/>
              <w:spacing w:before="2"/>
              <w:ind w:left="168" w:right="152"/>
              <w:jc w:val="center"/>
              <w:rPr>
                <w:i/>
                <w:sz w:val="18"/>
              </w:rPr>
            </w:pPr>
            <w:r>
              <w:rPr>
                <w:i/>
                <w:sz w:val="18"/>
              </w:rPr>
              <w:t>4%</w:t>
            </w:r>
          </w:p>
        </w:tc>
        <w:tc>
          <w:tcPr>
            <w:tcW w:w="1061" w:type="dxa"/>
            <w:tcBorders>
              <w:top w:val="single" w:sz="12" w:space="0" w:color="4471C4"/>
            </w:tcBorders>
          </w:tcPr>
          <w:p w:rsidR="003E7CF5" w:rsidRDefault="00024B00">
            <w:pPr>
              <w:pStyle w:val="TableParagraph"/>
              <w:spacing w:before="2"/>
              <w:ind w:left="147" w:right="132"/>
              <w:jc w:val="center"/>
              <w:rPr>
                <w:i/>
                <w:sz w:val="18"/>
              </w:rPr>
            </w:pPr>
            <w:r>
              <w:rPr>
                <w:i/>
                <w:sz w:val="18"/>
              </w:rPr>
              <w:t>4%</w:t>
            </w:r>
          </w:p>
        </w:tc>
        <w:tc>
          <w:tcPr>
            <w:tcW w:w="1043" w:type="dxa"/>
            <w:tcBorders>
              <w:top w:val="single" w:sz="12" w:space="0" w:color="4471C4"/>
            </w:tcBorders>
          </w:tcPr>
          <w:p w:rsidR="003E7CF5" w:rsidRDefault="00024B00">
            <w:pPr>
              <w:pStyle w:val="TableParagraph"/>
              <w:spacing w:before="2"/>
              <w:ind w:left="128" w:right="133"/>
              <w:jc w:val="center"/>
              <w:rPr>
                <w:i/>
                <w:sz w:val="18"/>
              </w:rPr>
            </w:pPr>
            <w:r>
              <w:rPr>
                <w:i/>
                <w:sz w:val="18"/>
              </w:rPr>
              <w:t>8%</w:t>
            </w:r>
          </w:p>
        </w:tc>
      </w:tr>
      <w:tr w:rsidR="003E7CF5">
        <w:trPr>
          <w:trHeight w:val="446"/>
        </w:trPr>
        <w:tc>
          <w:tcPr>
            <w:tcW w:w="1085" w:type="dxa"/>
          </w:tcPr>
          <w:p w:rsidR="003E7CF5" w:rsidRDefault="00024B00">
            <w:pPr>
              <w:pStyle w:val="TableParagraph"/>
              <w:spacing w:before="98"/>
              <w:ind w:left="117"/>
              <w:rPr>
                <w:b/>
                <w:sz w:val="24"/>
              </w:rPr>
            </w:pPr>
            <w:r>
              <w:rPr>
                <w:b/>
                <w:sz w:val="24"/>
              </w:rPr>
              <w:t>[0;1]</w:t>
            </w:r>
          </w:p>
        </w:tc>
        <w:tc>
          <w:tcPr>
            <w:tcW w:w="1038" w:type="dxa"/>
          </w:tcPr>
          <w:p w:rsidR="003E7CF5" w:rsidRDefault="00024B00">
            <w:pPr>
              <w:pStyle w:val="TableParagraph"/>
              <w:spacing w:before="98"/>
              <w:ind w:left="128" w:right="129"/>
              <w:jc w:val="center"/>
              <w:rPr>
                <w:sz w:val="24"/>
              </w:rPr>
            </w:pPr>
            <w:r>
              <w:rPr>
                <w:sz w:val="24"/>
              </w:rPr>
              <w:t>-0,0010</w:t>
            </w:r>
          </w:p>
        </w:tc>
        <w:tc>
          <w:tcPr>
            <w:tcW w:w="1041" w:type="dxa"/>
          </w:tcPr>
          <w:p w:rsidR="003E7CF5" w:rsidRDefault="00024B00">
            <w:pPr>
              <w:pStyle w:val="TableParagraph"/>
              <w:spacing w:before="98"/>
              <w:ind w:left="130" w:right="130"/>
              <w:jc w:val="center"/>
              <w:rPr>
                <w:sz w:val="24"/>
              </w:rPr>
            </w:pPr>
            <w:r>
              <w:rPr>
                <w:sz w:val="24"/>
              </w:rPr>
              <w:t>-0,0097</w:t>
            </w:r>
          </w:p>
        </w:tc>
        <w:tc>
          <w:tcPr>
            <w:tcW w:w="1044" w:type="dxa"/>
          </w:tcPr>
          <w:p w:rsidR="003E7CF5" w:rsidRDefault="00024B00">
            <w:pPr>
              <w:pStyle w:val="TableParagraph"/>
              <w:spacing w:before="98"/>
              <w:ind w:left="130" w:right="133"/>
              <w:jc w:val="center"/>
              <w:rPr>
                <w:sz w:val="24"/>
              </w:rPr>
            </w:pPr>
            <w:r>
              <w:rPr>
                <w:sz w:val="24"/>
              </w:rPr>
              <w:t>-0,0088</w:t>
            </w:r>
          </w:p>
        </w:tc>
        <w:tc>
          <w:tcPr>
            <w:tcW w:w="1066" w:type="dxa"/>
          </w:tcPr>
          <w:p w:rsidR="003E7CF5" w:rsidRDefault="00024B00">
            <w:pPr>
              <w:pStyle w:val="TableParagraph"/>
              <w:spacing w:before="98"/>
              <w:ind w:left="133" w:right="153"/>
              <w:jc w:val="center"/>
              <w:rPr>
                <w:sz w:val="24"/>
              </w:rPr>
            </w:pPr>
            <w:r>
              <w:rPr>
                <w:sz w:val="24"/>
              </w:rPr>
              <w:t>-0,0070</w:t>
            </w:r>
          </w:p>
        </w:tc>
        <w:tc>
          <w:tcPr>
            <w:tcW w:w="1023" w:type="dxa"/>
          </w:tcPr>
          <w:p w:rsidR="003E7CF5" w:rsidRDefault="00024B00">
            <w:pPr>
              <w:pStyle w:val="TableParagraph"/>
              <w:spacing w:before="98"/>
              <w:ind w:left="151" w:right="171"/>
              <w:jc w:val="center"/>
              <w:rPr>
                <w:sz w:val="24"/>
              </w:rPr>
            </w:pPr>
            <w:r>
              <w:rPr>
                <w:sz w:val="24"/>
              </w:rPr>
              <w:t>0,0018</w:t>
            </w:r>
          </w:p>
        </w:tc>
        <w:tc>
          <w:tcPr>
            <w:tcW w:w="1020" w:type="dxa"/>
          </w:tcPr>
          <w:p w:rsidR="003E7CF5" w:rsidRDefault="00024B00">
            <w:pPr>
              <w:pStyle w:val="TableParagraph"/>
              <w:spacing w:before="98"/>
              <w:ind w:left="168" w:right="152"/>
              <w:jc w:val="center"/>
              <w:rPr>
                <w:sz w:val="24"/>
              </w:rPr>
            </w:pPr>
            <w:r>
              <w:rPr>
                <w:sz w:val="24"/>
              </w:rPr>
              <w:t>0,0087</w:t>
            </w:r>
          </w:p>
        </w:tc>
        <w:tc>
          <w:tcPr>
            <w:tcW w:w="1061" w:type="dxa"/>
          </w:tcPr>
          <w:p w:rsidR="003E7CF5" w:rsidRDefault="00024B00">
            <w:pPr>
              <w:pStyle w:val="TableParagraph"/>
              <w:spacing w:before="98"/>
              <w:ind w:left="148" w:right="132"/>
              <w:jc w:val="center"/>
              <w:rPr>
                <w:sz w:val="24"/>
              </w:rPr>
            </w:pPr>
            <w:r>
              <w:rPr>
                <w:sz w:val="24"/>
              </w:rPr>
              <w:t>-0,0417</w:t>
            </w:r>
          </w:p>
        </w:tc>
        <w:tc>
          <w:tcPr>
            <w:tcW w:w="1043" w:type="dxa"/>
          </w:tcPr>
          <w:p w:rsidR="003E7CF5" w:rsidRDefault="00024B00">
            <w:pPr>
              <w:pStyle w:val="TableParagraph"/>
              <w:spacing w:before="98"/>
              <w:ind w:left="128" w:right="134"/>
              <w:jc w:val="center"/>
              <w:rPr>
                <w:sz w:val="24"/>
              </w:rPr>
            </w:pPr>
            <w:r>
              <w:rPr>
                <w:sz w:val="24"/>
              </w:rPr>
              <w:t>-0,0121</w:t>
            </w:r>
          </w:p>
        </w:tc>
      </w:tr>
      <w:tr w:rsidR="003E7CF5">
        <w:trPr>
          <w:trHeight w:val="415"/>
        </w:trPr>
        <w:tc>
          <w:tcPr>
            <w:tcW w:w="1085" w:type="dxa"/>
          </w:tcPr>
          <w:p w:rsidR="003E7CF5" w:rsidRDefault="00024B00">
            <w:pPr>
              <w:pStyle w:val="TableParagraph"/>
              <w:spacing w:before="64"/>
              <w:ind w:left="117"/>
              <w:rPr>
                <w:i/>
                <w:sz w:val="20"/>
              </w:rPr>
            </w:pPr>
            <w:r>
              <w:rPr>
                <w:i/>
                <w:sz w:val="20"/>
              </w:rPr>
              <w:t>t-value</w:t>
            </w:r>
          </w:p>
        </w:tc>
        <w:tc>
          <w:tcPr>
            <w:tcW w:w="1038" w:type="dxa"/>
          </w:tcPr>
          <w:p w:rsidR="003E7CF5" w:rsidRDefault="00024B00">
            <w:pPr>
              <w:pStyle w:val="TableParagraph"/>
              <w:spacing w:before="64"/>
              <w:ind w:left="128" w:right="125"/>
              <w:jc w:val="center"/>
              <w:rPr>
                <w:i/>
                <w:sz w:val="20"/>
              </w:rPr>
            </w:pPr>
            <w:r>
              <w:rPr>
                <w:i/>
                <w:sz w:val="20"/>
              </w:rPr>
              <w:t>-0,2168</w:t>
            </w:r>
          </w:p>
        </w:tc>
        <w:tc>
          <w:tcPr>
            <w:tcW w:w="1041" w:type="dxa"/>
          </w:tcPr>
          <w:p w:rsidR="003E7CF5" w:rsidRDefault="00024B00">
            <w:pPr>
              <w:pStyle w:val="TableParagraph"/>
              <w:spacing w:before="64"/>
              <w:ind w:left="130" w:right="125"/>
              <w:jc w:val="center"/>
              <w:rPr>
                <w:i/>
                <w:sz w:val="20"/>
              </w:rPr>
            </w:pPr>
            <w:r>
              <w:rPr>
                <w:i/>
                <w:sz w:val="20"/>
              </w:rPr>
              <w:t>-2,0520</w:t>
            </w:r>
          </w:p>
        </w:tc>
        <w:tc>
          <w:tcPr>
            <w:tcW w:w="1044" w:type="dxa"/>
          </w:tcPr>
          <w:p w:rsidR="003E7CF5" w:rsidRDefault="00024B00">
            <w:pPr>
              <w:pStyle w:val="TableParagraph"/>
              <w:spacing w:before="64"/>
              <w:ind w:left="130" w:right="129"/>
              <w:jc w:val="center"/>
              <w:rPr>
                <w:i/>
                <w:sz w:val="20"/>
              </w:rPr>
            </w:pPr>
            <w:r>
              <w:rPr>
                <w:i/>
                <w:sz w:val="20"/>
              </w:rPr>
              <w:t>-1,8673</w:t>
            </w:r>
          </w:p>
        </w:tc>
        <w:tc>
          <w:tcPr>
            <w:tcW w:w="1066" w:type="dxa"/>
          </w:tcPr>
          <w:p w:rsidR="003E7CF5" w:rsidRDefault="00024B00">
            <w:pPr>
              <w:pStyle w:val="TableParagraph"/>
              <w:spacing w:before="64"/>
              <w:ind w:left="133" w:right="148"/>
              <w:jc w:val="center"/>
              <w:rPr>
                <w:i/>
                <w:sz w:val="20"/>
              </w:rPr>
            </w:pPr>
            <w:r>
              <w:rPr>
                <w:i/>
                <w:sz w:val="20"/>
              </w:rPr>
              <w:t>-1,4771</w:t>
            </w:r>
          </w:p>
        </w:tc>
        <w:tc>
          <w:tcPr>
            <w:tcW w:w="1023" w:type="dxa"/>
          </w:tcPr>
          <w:p w:rsidR="003E7CF5" w:rsidRDefault="00024B00">
            <w:pPr>
              <w:pStyle w:val="TableParagraph"/>
              <w:spacing w:before="64"/>
              <w:ind w:left="151" w:right="171"/>
              <w:jc w:val="center"/>
              <w:rPr>
                <w:i/>
                <w:sz w:val="20"/>
              </w:rPr>
            </w:pPr>
            <w:r>
              <w:rPr>
                <w:i/>
                <w:sz w:val="20"/>
              </w:rPr>
              <w:t>0,3748</w:t>
            </w:r>
          </w:p>
        </w:tc>
        <w:tc>
          <w:tcPr>
            <w:tcW w:w="1020" w:type="dxa"/>
          </w:tcPr>
          <w:p w:rsidR="003E7CF5" w:rsidRDefault="00024B00">
            <w:pPr>
              <w:pStyle w:val="TableParagraph"/>
              <w:spacing w:before="64"/>
              <w:ind w:left="168" w:right="152"/>
              <w:jc w:val="center"/>
              <w:rPr>
                <w:i/>
                <w:sz w:val="20"/>
              </w:rPr>
            </w:pPr>
            <w:r>
              <w:rPr>
                <w:i/>
                <w:sz w:val="20"/>
              </w:rPr>
              <w:t>1,8520</w:t>
            </w:r>
          </w:p>
        </w:tc>
        <w:tc>
          <w:tcPr>
            <w:tcW w:w="1061" w:type="dxa"/>
          </w:tcPr>
          <w:p w:rsidR="003E7CF5" w:rsidRDefault="00024B00">
            <w:pPr>
              <w:pStyle w:val="TableParagraph"/>
              <w:spacing w:before="64"/>
              <w:ind w:left="148" w:right="128"/>
              <w:jc w:val="center"/>
              <w:rPr>
                <w:i/>
                <w:sz w:val="20"/>
              </w:rPr>
            </w:pPr>
            <w:r>
              <w:rPr>
                <w:i/>
                <w:sz w:val="20"/>
              </w:rPr>
              <w:t>-8,8702</w:t>
            </w:r>
          </w:p>
        </w:tc>
        <w:tc>
          <w:tcPr>
            <w:tcW w:w="1043" w:type="dxa"/>
          </w:tcPr>
          <w:p w:rsidR="003E7CF5" w:rsidRDefault="00024B00">
            <w:pPr>
              <w:pStyle w:val="TableParagraph"/>
              <w:spacing w:before="64"/>
              <w:ind w:left="128" w:right="129"/>
              <w:jc w:val="center"/>
              <w:rPr>
                <w:i/>
                <w:sz w:val="20"/>
              </w:rPr>
            </w:pPr>
            <w:r>
              <w:rPr>
                <w:i/>
                <w:sz w:val="20"/>
              </w:rPr>
              <w:t>-2,5739</w:t>
            </w:r>
          </w:p>
        </w:tc>
      </w:tr>
      <w:tr w:rsidR="003E7CF5">
        <w:trPr>
          <w:trHeight w:val="457"/>
        </w:trPr>
        <w:tc>
          <w:tcPr>
            <w:tcW w:w="1085" w:type="dxa"/>
          </w:tcPr>
          <w:p w:rsidR="003E7CF5" w:rsidRDefault="00024B00">
            <w:pPr>
              <w:pStyle w:val="TableParagraph"/>
              <w:spacing w:before="111"/>
              <w:ind w:left="117"/>
              <w:rPr>
                <w:b/>
                <w:sz w:val="24"/>
              </w:rPr>
            </w:pPr>
            <w:r>
              <w:rPr>
                <w:b/>
                <w:sz w:val="24"/>
              </w:rPr>
              <w:t>[0;3]</w:t>
            </w:r>
          </w:p>
        </w:tc>
        <w:tc>
          <w:tcPr>
            <w:tcW w:w="1038" w:type="dxa"/>
          </w:tcPr>
          <w:p w:rsidR="003E7CF5" w:rsidRDefault="00024B00">
            <w:pPr>
              <w:pStyle w:val="TableParagraph"/>
              <w:spacing w:before="111"/>
              <w:ind w:left="128" w:right="129"/>
              <w:jc w:val="center"/>
              <w:rPr>
                <w:sz w:val="24"/>
              </w:rPr>
            </w:pPr>
            <w:r>
              <w:rPr>
                <w:sz w:val="24"/>
              </w:rPr>
              <w:t>0,0013</w:t>
            </w:r>
          </w:p>
        </w:tc>
        <w:tc>
          <w:tcPr>
            <w:tcW w:w="1041" w:type="dxa"/>
          </w:tcPr>
          <w:p w:rsidR="003E7CF5" w:rsidRDefault="00024B00">
            <w:pPr>
              <w:pStyle w:val="TableParagraph"/>
              <w:spacing w:before="111"/>
              <w:ind w:left="130" w:right="130"/>
              <w:jc w:val="center"/>
              <w:rPr>
                <w:sz w:val="24"/>
              </w:rPr>
            </w:pPr>
            <w:r>
              <w:rPr>
                <w:sz w:val="24"/>
              </w:rPr>
              <w:t>-0,0237</w:t>
            </w:r>
          </w:p>
        </w:tc>
        <w:tc>
          <w:tcPr>
            <w:tcW w:w="1044" w:type="dxa"/>
          </w:tcPr>
          <w:p w:rsidR="003E7CF5" w:rsidRDefault="00024B00">
            <w:pPr>
              <w:pStyle w:val="TableParagraph"/>
              <w:spacing w:before="111"/>
              <w:ind w:left="130" w:right="133"/>
              <w:jc w:val="center"/>
              <w:rPr>
                <w:sz w:val="24"/>
              </w:rPr>
            </w:pPr>
            <w:r>
              <w:rPr>
                <w:sz w:val="24"/>
              </w:rPr>
              <w:t>-0,0044</w:t>
            </w:r>
          </w:p>
        </w:tc>
        <w:tc>
          <w:tcPr>
            <w:tcW w:w="1066" w:type="dxa"/>
          </w:tcPr>
          <w:p w:rsidR="003E7CF5" w:rsidRDefault="00024B00">
            <w:pPr>
              <w:pStyle w:val="TableParagraph"/>
              <w:spacing w:before="111"/>
              <w:ind w:left="133" w:right="153"/>
              <w:jc w:val="center"/>
              <w:rPr>
                <w:sz w:val="24"/>
              </w:rPr>
            </w:pPr>
            <w:r>
              <w:rPr>
                <w:sz w:val="24"/>
              </w:rPr>
              <w:t>-0,0024</w:t>
            </w:r>
          </w:p>
        </w:tc>
        <w:tc>
          <w:tcPr>
            <w:tcW w:w="1023" w:type="dxa"/>
          </w:tcPr>
          <w:p w:rsidR="003E7CF5" w:rsidRDefault="00024B00">
            <w:pPr>
              <w:pStyle w:val="TableParagraph"/>
              <w:spacing w:before="111"/>
              <w:ind w:left="151" w:right="171"/>
              <w:jc w:val="center"/>
              <w:rPr>
                <w:sz w:val="24"/>
              </w:rPr>
            </w:pPr>
            <w:r>
              <w:rPr>
                <w:sz w:val="24"/>
              </w:rPr>
              <w:t>0,0117</w:t>
            </w:r>
          </w:p>
        </w:tc>
        <w:tc>
          <w:tcPr>
            <w:tcW w:w="1020" w:type="dxa"/>
          </w:tcPr>
          <w:p w:rsidR="003E7CF5" w:rsidRDefault="00024B00">
            <w:pPr>
              <w:pStyle w:val="TableParagraph"/>
              <w:spacing w:before="111"/>
              <w:ind w:left="168" w:right="152"/>
              <w:jc w:val="center"/>
              <w:rPr>
                <w:sz w:val="24"/>
              </w:rPr>
            </w:pPr>
            <w:r>
              <w:rPr>
                <w:sz w:val="24"/>
              </w:rPr>
              <w:t>0,0079</w:t>
            </w:r>
          </w:p>
        </w:tc>
        <w:tc>
          <w:tcPr>
            <w:tcW w:w="1061" w:type="dxa"/>
          </w:tcPr>
          <w:p w:rsidR="003E7CF5" w:rsidRDefault="00024B00">
            <w:pPr>
              <w:pStyle w:val="TableParagraph"/>
              <w:spacing w:before="111"/>
              <w:ind w:left="148" w:right="132"/>
              <w:jc w:val="center"/>
              <w:rPr>
                <w:sz w:val="24"/>
              </w:rPr>
            </w:pPr>
            <w:r>
              <w:rPr>
                <w:sz w:val="24"/>
              </w:rPr>
              <w:t>-0,0466</w:t>
            </w:r>
          </w:p>
        </w:tc>
        <w:tc>
          <w:tcPr>
            <w:tcW w:w="1043" w:type="dxa"/>
          </w:tcPr>
          <w:p w:rsidR="003E7CF5" w:rsidRDefault="00024B00">
            <w:pPr>
              <w:pStyle w:val="TableParagraph"/>
              <w:spacing w:before="111"/>
              <w:ind w:left="128" w:right="134"/>
              <w:jc w:val="center"/>
              <w:rPr>
                <w:sz w:val="24"/>
              </w:rPr>
            </w:pPr>
            <w:r>
              <w:rPr>
                <w:sz w:val="24"/>
              </w:rPr>
              <w:t>-0,0334</w:t>
            </w:r>
          </w:p>
        </w:tc>
      </w:tr>
      <w:tr w:rsidR="003E7CF5">
        <w:trPr>
          <w:trHeight w:val="413"/>
        </w:trPr>
        <w:tc>
          <w:tcPr>
            <w:tcW w:w="1085" w:type="dxa"/>
          </w:tcPr>
          <w:p w:rsidR="003E7CF5" w:rsidRDefault="00024B00">
            <w:pPr>
              <w:pStyle w:val="TableParagraph"/>
              <w:spacing w:before="61"/>
              <w:ind w:left="117"/>
              <w:rPr>
                <w:i/>
                <w:sz w:val="20"/>
              </w:rPr>
            </w:pPr>
            <w:r>
              <w:rPr>
                <w:i/>
                <w:sz w:val="20"/>
              </w:rPr>
              <w:t>t-value</w:t>
            </w:r>
          </w:p>
        </w:tc>
        <w:tc>
          <w:tcPr>
            <w:tcW w:w="1038" w:type="dxa"/>
          </w:tcPr>
          <w:p w:rsidR="003E7CF5" w:rsidRDefault="00024B00">
            <w:pPr>
              <w:pStyle w:val="TableParagraph"/>
              <w:spacing w:before="61"/>
              <w:ind w:left="128" w:right="129"/>
              <w:jc w:val="center"/>
              <w:rPr>
                <w:i/>
                <w:sz w:val="20"/>
              </w:rPr>
            </w:pPr>
            <w:r>
              <w:rPr>
                <w:i/>
                <w:sz w:val="20"/>
              </w:rPr>
              <w:t>0,2719</w:t>
            </w:r>
          </w:p>
        </w:tc>
        <w:tc>
          <w:tcPr>
            <w:tcW w:w="1041" w:type="dxa"/>
          </w:tcPr>
          <w:p w:rsidR="003E7CF5" w:rsidRDefault="00024B00">
            <w:pPr>
              <w:pStyle w:val="TableParagraph"/>
              <w:spacing w:before="61"/>
              <w:ind w:left="130" w:right="125"/>
              <w:jc w:val="center"/>
              <w:rPr>
                <w:i/>
                <w:sz w:val="20"/>
              </w:rPr>
            </w:pPr>
            <w:r>
              <w:rPr>
                <w:i/>
                <w:sz w:val="20"/>
              </w:rPr>
              <w:t>-5,0359</w:t>
            </w:r>
          </w:p>
        </w:tc>
        <w:tc>
          <w:tcPr>
            <w:tcW w:w="1044" w:type="dxa"/>
          </w:tcPr>
          <w:p w:rsidR="003E7CF5" w:rsidRDefault="00024B00">
            <w:pPr>
              <w:pStyle w:val="TableParagraph"/>
              <w:spacing w:before="61"/>
              <w:ind w:left="130" w:right="129"/>
              <w:jc w:val="center"/>
              <w:rPr>
                <w:i/>
                <w:sz w:val="20"/>
              </w:rPr>
            </w:pPr>
            <w:r>
              <w:rPr>
                <w:i/>
                <w:sz w:val="20"/>
              </w:rPr>
              <w:t>-0,9439</w:t>
            </w:r>
          </w:p>
        </w:tc>
        <w:tc>
          <w:tcPr>
            <w:tcW w:w="1066" w:type="dxa"/>
          </w:tcPr>
          <w:p w:rsidR="003E7CF5" w:rsidRDefault="00024B00">
            <w:pPr>
              <w:pStyle w:val="TableParagraph"/>
              <w:spacing w:before="61"/>
              <w:ind w:left="133" w:right="148"/>
              <w:jc w:val="center"/>
              <w:rPr>
                <w:i/>
                <w:sz w:val="20"/>
              </w:rPr>
            </w:pPr>
            <w:r>
              <w:rPr>
                <w:i/>
                <w:sz w:val="20"/>
              </w:rPr>
              <w:t>-0,5175</w:t>
            </w:r>
          </w:p>
        </w:tc>
        <w:tc>
          <w:tcPr>
            <w:tcW w:w="1023" w:type="dxa"/>
          </w:tcPr>
          <w:p w:rsidR="003E7CF5" w:rsidRDefault="00024B00">
            <w:pPr>
              <w:pStyle w:val="TableParagraph"/>
              <w:spacing w:before="61"/>
              <w:ind w:left="151" w:right="171"/>
              <w:jc w:val="center"/>
              <w:rPr>
                <w:i/>
                <w:sz w:val="20"/>
              </w:rPr>
            </w:pPr>
            <w:r>
              <w:rPr>
                <w:i/>
                <w:sz w:val="20"/>
              </w:rPr>
              <w:t>2,4837</w:t>
            </w:r>
          </w:p>
        </w:tc>
        <w:tc>
          <w:tcPr>
            <w:tcW w:w="1020" w:type="dxa"/>
          </w:tcPr>
          <w:p w:rsidR="003E7CF5" w:rsidRDefault="00024B00">
            <w:pPr>
              <w:pStyle w:val="TableParagraph"/>
              <w:spacing w:before="61"/>
              <w:ind w:left="168" w:right="152"/>
              <w:jc w:val="center"/>
              <w:rPr>
                <w:i/>
                <w:sz w:val="20"/>
              </w:rPr>
            </w:pPr>
            <w:r>
              <w:rPr>
                <w:i/>
                <w:sz w:val="20"/>
              </w:rPr>
              <w:t>1,6762</w:t>
            </w:r>
          </w:p>
        </w:tc>
        <w:tc>
          <w:tcPr>
            <w:tcW w:w="1061" w:type="dxa"/>
          </w:tcPr>
          <w:p w:rsidR="003E7CF5" w:rsidRDefault="00024B00">
            <w:pPr>
              <w:pStyle w:val="TableParagraph"/>
              <w:spacing w:before="61"/>
              <w:ind w:left="148" w:right="128"/>
              <w:jc w:val="center"/>
              <w:rPr>
                <w:i/>
                <w:sz w:val="20"/>
              </w:rPr>
            </w:pPr>
            <w:r>
              <w:rPr>
                <w:i/>
                <w:sz w:val="20"/>
              </w:rPr>
              <w:t>-9,9063</w:t>
            </w:r>
          </w:p>
        </w:tc>
        <w:tc>
          <w:tcPr>
            <w:tcW w:w="1043" w:type="dxa"/>
          </w:tcPr>
          <w:p w:rsidR="003E7CF5" w:rsidRDefault="00024B00">
            <w:pPr>
              <w:pStyle w:val="TableParagraph"/>
              <w:spacing w:before="61"/>
              <w:ind w:left="128" w:right="129"/>
              <w:jc w:val="center"/>
              <w:rPr>
                <w:i/>
                <w:sz w:val="20"/>
              </w:rPr>
            </w:pPr>
            <w:r>
              <w:rPr>
                <w:i/>
                <w:sz w:val="20"/>
              </w:rPr>
              <w:t>-7,0891</w:t>
            </w:r>
          </w:p>
        </w:tc>
      </w:tr>
      <w:tr w:rsidR="003E7CF5">
        <w:trPr>
          <w:trHeight w:val="459"/>
        </w:trPr>
        <w:tc>
          <w:tcPr>
            <w:tcW w:w="1085" w:type="dxa"/>
          </w:tcPr>
          <w:p w:rsidR="003E7CF5" w:rsidRDefault="00024B00">
            <w:pPr>
              <w:pStyle w:val="TableParagraph"/>
              <w:spacing w:before="111"/>
              <w:ind w:left="117"/>
              <w:rPr>
                <w:b/>
                <w:sz w:val="24"/>
              </w:rPr>
            </w:pPr>
            <w:r>
              <w:rPr>
                <w:b/>
                <w:sz w:val="24"/>
              </w:rPr>
              <w:t>[-1;1]</w:t>
            </w:r>
          </w:p>
        </w:tc>
        <w:tc>
          <w:tcPr>
            <w:tcW w:w="1038" w:type="dxa"/>
          </w:tcPr>
          <w:p w:rsidR="003E7CF5" w:rsidRDefault="00024B00">
            <w:pPr>
              <w:pStyle w:val="TableParagraph"/>
              <w:spacing w:before="111"/>
              <w:ind w:left="128" w:right="129"/>
              <w:jc w:val="center"/>
              <w:rPr>
                <w:sz w:val="24"/>
              </w:rPr>
            </w:pPr>
            <w:r>
              <w:rPr>
                <w:sz w:val="24"/>
              </w:rPr>
              <w:t>-0,0105</w:t>
            </w:r>
          </w:p>
        </w:tc>
        <w:tc>
          <w:tcPr>
            <w:tcW w:w="1041" w:type="dxa"/>
          </w:tcPr>
          <w:p w:rsidR="003E7CF5" w:rsidRDefault="00024B00">
            <w:pPr>
              <w:pStyle w:val="TableParagraph"/>
              <w:spacing w:before="111"/>
              <w:ind w:left="130" w:right="130"/>
              <w:jc w:val="center"/>
              <w:rPr>
                <w:sz w:val="24"/>
              </w:rPr>
            </w:pPr>
            <w:r>
              <w:rPr>
                <w:sz w:val="24"/>
              </w:rPr>
              <w:t>-0,0055</w:t>
            </w:r>
          </w:p>
        </w:tc>
        <w:tc>
          <w:tcPr>
            <w:tcW w:w="1044" w:type="dxa"/>
          </w:tcPr>
          <w:p w:rsidR="003E7CF5" w:rsidRDefault="00024B00">
            <w:pPr>
              <w:pStyle w:val="TableParagraph"/>
              <w:spacing w:before="111"/>
              <w:ind w:left="130" w:right="133"/>
              <w:jc w:val="center"/>
              <w:rPr>
                <w:sz w:val="24"/>
              </w:rPr>
            </w:pPr>
            <w:r>
              <w:rPr>
                <w:sz w:val="24"/>
              </w:rPr>
              <w:t>-0,0125</w:t>
            </w:r>
          </w:p>
        </w:tc>
        <w:tc>
          <w:tcPr>
            <w:tcW w:w="1066" w:type="dxa"/>
          </w:tcPr>
          <w:p w:rsidR="003E7CF5" w:rsidRDefault="00024B00">
            <w:pPr>
              <w:pStyle w:val="TableParagraph"/>
              <w:spacing w:before="111"/>
              <w:ind w:left="133" w:right="153"/>
              <w:jc w:val="center"/>
              <w:rPr>
                <w:sz w:val="24"/>
              </w:rPr>
            </w:pPr>
            <w:r>
              <w:rPr>
                <w:sz w:val="24"/>
              </w:rPr>
              <w:t>-0,0034</w:t>
            </w:r>
          </w:p>
        </w:tc>
        <w:tc>
          <w:tcPr>
            <w:tcW w:w="1023" w:type="dxa"/>
          </w:tcPr>
          <w:p w:rsidR="003E7CF5" w:rsidRDefault="00024B00">
            <w:pPr>
              <w:pStyle w:val="TableParagraph"/>
              <w:spacing w:before="111"/>
              <w:ind w:left="151" w:right="171"/>
              <w:jc w:val="center"/>
              <w:rPr>
                <w:sz w:val="24"/>
              </w:rPr>
            </w:pPr>
            <w:r>
              <w:rPr>
                <w:sz w:val="24"/>
              </w:rPr>
              <w:t>0,0049</w:t>
            </w:r>
          </w:p>
        </w:tc>
        <w:tc>
          <w:tcPr>
            <w:tcW w:w="1020" w:type="dxa"/>
          </w:tcPr>
          <w:p w:rsidR="003E7CF5" w:rsidRDefault="00024B00">
            <w:pPr>
              <w:pStyle w:val="TableParagraph"/>
              <w:spacing w:before="111"/>
              <w:ind w:left="168" w:right="152"/>
              <w:jc w:val="center"/>
              <w:rPr>
                <w:sz w:val="24"/>
              </w:rPr>
            </w:pPr>
            <w:r>
              <w:rPr>
                <w:sz w:val="24"/>
              </w:rPr>
              <w:t>0,0403</w:t>
            </w:r>
          </w:p>
        </w:tc>
        <w:tc>
          <w:tcPr>
            <w:tcW w:w="1061" w:type="dxa"/>
          </w:tcPr>
          <w:p w:rsidR="003E7CF5" w:rsidRDefault="00024B00">
            <w:pPr>
              <w:pStyle w:val="TableParagraph"/>
              <w:spacing w:before="111"/>
              <w:ind w:left="148" w:right="132"/>
              <w:jc w:val="center"/>
              <w:rPr>
                <w:sz w:val="24"/>
              </w:rPr>
            </w:pPr>
            <w:r>
              <w:rPr>
                <w:sz w:val="24"/>
              </w:rPr>
              <w:t>-0,0323</w:t>
            </w:r>
          </w:p>
        </w:tc>
        <w:tc>
          <w:tcPr>
            <w:tcW w:w="1043" w:type="dxa"/>
          </w:tcPr>
          <w:p w:rsidR="003E7CF5" w:rsidRDefault="00024B00">
            <w:pPr>
              <w:pStyle w:val="TableParagraph"/>
              <w:spacing w:before="111"/>
              <w:ind w:left="128" w:right="134"/>
              <w:jc w:val="center"/>
              <w:rPr>
                <w:sz w:val="24"/>
              </w:rPr>
            </w:pPr>
            <w:r>
              <w:rPr>
                <w:sz w:val="24"/>
              </w:rPr>
              <w:t>0,0478</w:t>
            </w:r>
          </w:p>
        </w:tc>
      </w:tr>
      <w:tr w:rsidR="003E7CF5">
        <w:trPr>
          <w:trHeight w:val="415"/>
        </w:trPr>
        <w:tc>
          <w:tcPr>
            <w:tcW w:w="1085" w:type="dxa"/>
          </w:tcPr>
          <w:p w:rsidR="003E7CF5" w:rsidRDefault="00024B00">
            <w:pPr>
              <w:pStyle w:val="TableParagraph"/>
              <w:spacing w:before="64"/>
              <w:ind w:left="117"/>
              <w:rPr>
                <w:i/>
                <w:sz w:val="20"/>
              </w:rPr>
            </w:pPr>
            <w:r>
              <w:rPr>
                <w:i/>
                <w:sz w:val="20"/>
              </w:rPr>
              <w:t>t-value</w:t>
            </w:r>
          </w:p>
        </w:tc>
        <w:tc>
          <w:tcPr>
            <w:tcW w:w="1038" w:type="dxa"/>
          </w:tcPr>
          <w:p w:rsidR="003E7CF5" w:rsidRDefault="00024B00">
            <w:pPr>
              <w:pStyle w:val="TableParagraph"/>
              <w:spacing w:before="64"/>
              <w:ind w:left="128" w:right="125"/>
              <w:jc w:val="center"/>
              <w:rPr>
                <w:i/>
                <w:sz w:val="20"/>
              </w:rPr>
            </w:pPr>
            <w:r>
              <w:rPr>
                <w:i/>
                <w:sz w:val="20"/>
              </w:rPr>
              <w:t>-2,2366</w:t>
            </w:r>
          </w:p>
        </w:tc>
        <w:tc>
          <w:tcPr>
            <w:tcW w:w="1041" w:type="dxa"/>
          </w:tcPr>
          <w:p w:rsidR="003E7CF5" w:rsidRDefault="00024B00">
            <w:pPr>
              <w:pStyle w:val="TableParagraph"/>
              <w:spacing w:before="64"/>
              <w:ind w:left="130" w:right="125"/>
              <w:jc w:val="center"/>
              <w:rPr>
                <w:i/>
                <w:sz w:val="20"/>
              </w:rPr>
            </w:pPr>
            <w:r>
              <w:rPr>
                <w:i/>
                <w:sz w:val="20"/>
              </w:rPr>
              <w:t>-1,1653</w:t>
            </w:r>
          </w:p>
        </w:tc>
        <w:tc>
          <w:tcPr>
            <w:tcW w:w="1044" w:type="dxa"/>
          </w:tcPr>
          <w:p w:rsidR="003E7CF5" w:rsidRDefault="00024B00">
            <w:pPr>
              <w:pStyle w:val="TableParagraph"/>
              <w:spacing w:before="64"/>
              <w:ind w:left="130" w:right="129"/>
              <w:jc w:val="center"/>
              <w:rPr>
                <w:i/>
                <w:sz w:val="20"/>
              </w:rPr>
            </w:pPr>
            <w:r>
              <w:rPr>
                <w:i/>
                <w:sz w:val="20"/>
              </w:rPr>
              <w:t>-2,6646</w:t>
            </w:r>
          </w:p>
        </w:tc>
        <w:tc>
          <w:tcPr>
            <w:tcW w:w="1066" w:type="dxa"/>
          </w:tcPr>
          <w:p w:rsidR="003E7CF5" w:rsidRDefault="00024B00">
            <w:pPr>
              <w:pStyle w:val="TableParagraph"/>
              <w:spacing w:before="64"/>
              <w:ind w:left="133" w:right="148"/>
              <w:jc w:val="center"/>
              <w:rPr>
                <w:i/>
                <w:sz w:val="20"/>
              </w:rPr>
            </w:pPr>
            <w:r>
              <w:rPr>
                <w:i/>
                <w:sz w:val="20"/>
              </w:rPr>
              <w:t>-0,7265</w:t>
            </w:r>
          </w:p>
        </w:tc>
        <w:tc>
          <w:tcPr>
            <w:tcW w:w="1023" w:type="dxa"/>
          </w:tcPr>
          <w:p w:rsidR="003E7CF5" w:rsidRDefault="00024B00">
            <w:pPr>
              <w:pStyle w:val="TableParagraph"/>
              <w:spacing w:before="64"/>
              <w:ind w:left="151" w:right="171"/>
              <w:jc w:val="center"/>
              <w:rPr>
                <w:i/>
                <w:sz w:val="20"/>
              </w:rPr>
            </w:pPr>
            <w:r>
              <w:rPr>
                <w:i/>
                <w:sz w:val="20"/>
              </w:rPr>
              <w:t>1,0411</w:t>
            </w:r>
          </w:p>
        </w:tc>
        <w:tc>
          <w:tcPr>
            <w:tcW w:w="1020" w:type="dxa"/>
          </w:tcPr>
          <w:p w:rsidR="003E7CF5" w:rsidRDefault="00024B00">
            <w:pPr>
              <w:pStyle w:val="TableParagraph"/>
              <w:spacing w:before="64"/>
              <w:ind w:left="168" w:right="152"/>
              <w:jc w:val="center"/>
              <w:rPr>
                <w:i/>
                <w:sz w:val="20"/>
              </w:rPr>
            </w:pPr>
            <w:r>
              <w:rPr>
                <w:i/>
                <w:sz w:val="20"/>
              </w:rPr>
              <w:t>8,5719</w:t>
            </w:r>
          </w:p>
        </w:tc>
        <w:tc>
          <w:tcPr>
            <w:tcW w:w="1061" w:type="dxa"/>
          </w:tcPr>
          <w:p w:rsidR="003E7CF5" w:rsidRDefault="00024B00">
            <w:pPr>
              <w:pStyle w:val="TableParagraph"/>
              <w:spacing w:before="64"/>
              <w:ind w:left="148" w:right="128"/>
              <w:jc w:val="center"/>
              <w:rPr>
                <w:i/>
                <w:sz w:val="20"/>
              </w:rPr>
            </w:pPr>
            <w:r>
              <w:rPr>
                <w:i/>
                <w:sz w:val="20"/>
              </w:rPr>
              <w:t>-6,8656</w:t>
            </w:r>
          </w:p>
        </w:tc>
        <w:tc>
          <w:tcPr>
            <w:tcW w:w="1043" w:type="dxa"/>
          </w:tcPr>
          <w:p w:rsidR="003E7CF5" w:rsidRDefault="00024B00">
            <w:pPr>
              <w:pStyle w:val="TableParagraph"/>
              <w:spacing w:before="64"/>
              <w:ind w:left="128" w:right="134"/>
              <w:jc w:val="center"/>
              <w:rPr>
                <w:i/>
                <w:sz w:val="20"/>
              </w:rPr>
            </w:pPr>
            <w:r>
              <w:rPr>
                <w:i/>
                <w:sz w:val="20"/>
              </w:rPr>
              <w:t>10,1666</w:t>
            </w:r>
          </w:p>
        </w:tc>
      </w:tr>
      <w:tr w:rsidR="003E7CF5">
        <w:trPr>
          <w:trHeight w:val="459"/>
        </w:trPr>
        <w:tc>
          <w:tcPr>
            <w:tcW w:w="1085" w:type="dxa"/>
          </w:tcPr>
          <w:p w:rsidR="003E7CF5" w:rsidRDefault="00024B00">
            <w:pPr>
              <w:pStyle w:val="TableParagraph"/>
              <w:spacing w:before="111"/>
              <w:ind w:left="117"/>
              <w:rPr>
                <w:b/>
                <w:sz w:val="24"/>
              </w:rPr>
            </w:pPr>
            <w:r>
              <w:rPr>
                <w:b/>
                <w:sz w:val="24"/>
              </w:rPr>
              <w:t>[-1;5]</w:t>
            </w:r>
          </w:p>
        </w:tc>
        <w:tc>
          <w:tcPr>
            <w:tcW w:w="1038" w:type="dxa"/>
          </w:tcPr>
          <w:p w:rsidR="003E7CF5" w:rsidRDefault="00024B00">
            <w:pPr>
              <w:pStyle w:val="TableParagraph"/>
              <w:spacing w:before="111"/>
              <w:ind w:left="128" w:right="129"/>
              <w:jc w:val="center"/>
              <w:rPr>
                <w:sz w:val="24"/>
              </w:rPr>
            </w:pPr>
            <w:r>
              <w:rPr>
                <w:sz w:val="24"/>
              </w:rPr>
              <w:t>-0,0130</w:t>
            </w:r>
          </w:p>
        </w:tc>
        <w:tc>
          <w:tcPr>
            <w:tcW w:w="1041" w:type="dxa"/>
          </w:tcPr>
          <w:p w:rsidR="003E7CF5" w:rsidRDefault="00024B00">
            <w:pPr>
              <w:pStyle w:val="TableParagraph"/>
              <w:spacing w:before="111"/>
              <w:ind w:left="130" w:right="130"/>
              <w:jc w:val="center"/>
              <w:rPr>
                <w:sz w:val="24"/>
              </w:rPr>
            </w:pPr>
            <w:r>
              <w:rPr>
                <w:sz w:val="24"/>
              </w:rPr>
              <w:t>-0,0085</w:t>
            </w:r>
          </w:p>
        </w:tc>
        <w:tc>
          <w:tcPr>
            <w:tcW w:w="1044" w:type="dxa"/>
          </w:tcPr>
          <w:p w:rsidR="003E7CF5" w:rsidRDefault="00024B00">
            <w:pPr>
              <w:pStyle w:val="TableParagraph"/>
              <w:spacing w:before="111"/>
              <w:ind w:left="130" w:right="133"/>
              <w:jc w:val="center"/>
              <w:rPr>
                <w:sz w:val="24"/>
              </w:rPr>
            </w:pPr>
            <w:r>
              <w:rPr>
                <w:sz w:val="24"/>
              </w:rPr>
              <w:t>0,0019</w:t>
            </w:r>
          </w:p>
        </w:tc>
        <w:tc>
          <w:tcPr>
            <w:tcW w:w="1066" w:type="dxa"/>
          </w:tcPr>
          <w:p w:rsidR="003E7CF5" w:rsidRDefault="00024B00">
            <w:pPr>
              <w:pStyle w:val="TableParagraph"/>
              <w:spacing w:before="111"/>
              <w:ind w:left="133" w:right="153"/>
              <w:jc w:val="center"/>
              <w:rPr>
                <w:sz w:val="24"/>
              </w:rPr>
            </w:pPr>
            <w:r>
              <w:rPr>
                <w:sz w:val="24"/>
              </w:rPr>
              <w:t>0,0069</w:t>
            </w:r>
          </w:p>
        </w:tc>
        <w:tc>
          <w:tcPr>
            <w:tcW w:w="1023" w:type="dxa"/>
          </w:tcPr>
          <w:p w:rsidR="003E7CF5" w:rsidRDefault="00024B00">
            <w:pPr>
              <w:pStyle w:val="TableParagraph"/>
              <w:spacing w:before="111"/>
              <w:ind w:left="151" w:right="171"/>
              <w:jc w:val="center"/>
              <w:rPr>
                <w:sz w:val="24"/>
              </w:rPr>
            </w:pPr>
            <w:r>
              <w:rPr>
                <w:sz w:val="24"/>
              </w:rPr>
              <w:t>0,0198</w:t>
            </w:r>
          </w:p>
        </w:tc>
        <w:tc>
          <w:tcPr>
            <w:tcW w:w="1020" w:type="dxa"/>
          </w:tcPr>
          <w:p w:rsidR="003E7CF5" w:rsidRDefault="00024B00">
            <w:pPr>
              <w:pStyle w:val="TableParagraph"/>
              <w:spacing w:before="111"/>
              <w:ind w:left="168" w:right="152"/>
              <w:jc w:val="center"/>
              <w:rPr>
                <w:sz w:val="24"/>
              </w:rPr>
            </w:pPr>
            <w:r>
              <w:rPr>
                <w:sz w:val="24"/>
              </w:rPr>
              <w:t>0,0354</w:t>
            </w:r>
          </w:p>
        </w:tc>
        <w:tc>
          <w:tcPr>
            <w:tcW w:w="1061" w:type="dxa"/>
          </w:tcPr>
          <w:p w:rsidR="003E7CF5" w:rsidRDefault="00024B00">
            <w:pPr>
              <w:pStyle w:val="TableParagraph"/>
              <w:spacing w:before="111"/>
              <w:ind w:left="148" w:right="132"/>
              <w:jc w:val="center"/>
              <w:rPr>
                <w:sz w:val="24"/>
              </w:rPr>
            </w:pPr>
            <w:r>
              <w:rPr>
                <w:sz w:val="24"/>
              </w:rPr>
              <w:t>-0,0081</w:t>
            </w:r>
          </w:p>
        </w:tc>
        <w:tc>
          <w:tcPr>
            <w:tcW w:w="1043" w:type="dxa"/>
          </w:tcPr>
          <w:p w:rsidR="003E7CF5" w:rsidRDefault="00024B00">
            <w:pPr>
              <w:pStyle w:val="TableParagraph"/>
              <w:spacing w:before="111"/>
              <w:ind w:left="128" w:right="134"/>
              <w:jc w:val="center"/>
              <w:rPr>
                <w:sz w:val="24"/>
              </w:rPr>
            </w:pPr>
            <w:r>
              <w:rPr>
                <w:sz w:val="24"/>
              </w:rPr>
              <w:t>0,0380</w:t>
            </w:r>
          </w:p>
        </w:tc>
      </w:tr>
      <w:tr w:rsidR="003E7CF5">
        <w:trPr>
          <w:trHeight w:val="525"/>
        </w:trPr>
        <w:tc>
          <w:tcPr>
            <w:tcW w:w="1085" w:type="dxa"/>
            <w:tcBorders>
              <w:bottom w:val="single" w:sz="12" w:space="0" w:color="000000"/>
            </w:tcBorders>
          </w:tcPr>
          <w:p w:rsidR="003E7CF5" w:rsidRDefault="00024B00">
            <w:pPr>
              <w:pStyle w:val="TableParagraph"/>
              <w:spacing w:before="64"/>
              <w:ind w:left="117"/>
              <w:rPr>
                <w:i/>
                <w:sz w:val="20"/>
              </w:rPr>
            </w:pPr>
            <w:r>
              <w:rPr>
                <w:i/>
                <w:sz w:val="20"/>
              </w:rPr>
              <w:t>t-value</w:t>
            </w:r>
          </w:p>
        </w:tc>
        <w:tc>
          <w:tcPr>
            <w:tcW w:w="1038" w:type="dxa"/>
            <w:tcBorders>
              <w:bottom w:val="single" w:sz="12" w:space="0" w:color="000000"/>
            </w:tcBorders>
          </w:tcPr>
          <w:p w:rsidR="003E7CF5" w:rsidRDefault="00024B00">
            <w:pPr>
              <w:pStyle w:val="TableParagraph"/>
              <w:spacing w:before="64"/>
              <w:ind w:left="128" w:right="125"/>
              <w:jc w:val="center"/>
              <w:rPr>
                <w:i/>
                <w:sz w:val="20"/>
              </w:rPr>
            </w:pPr>
            <w:r>
              <w:rPr>
                <w:i/>
                <w:sz w:val="20"/>
              </w:rPr>
              <w:t>-2,7597</w:t>
            </w:r>
          </w:p>
        </w:tc>
        <w:tc>
          <w:tcPr>
            <w:tcW w:w="1041" w:type="dxa"/>
            <w:tcBorders>
              <w:bottom w:val="single" w:sz="12" w:space="0" w:color="000000"/>
            </w:tcBorders>
          </w:tcPr>
          <w:p w:rsidR="003E7CF5" w:rsidRDefault="00024B00">
            <w:pPr>
              <w:pStyle w:val="TableParagraph"/>
              <w:spacing w:before="64"/>
              <w:ind w:left="130" w:right="125"/>
              <w:jc w:val="center"/>
              <w:rPr>
                <w:i/>
                <w:sz w:val="20"/>
              </w:rPr>
            </w:pPr>
            <w:r>
              <w:rPr>
                <w:i/>
                <w:sz w:val="20"/>
              </w:rPr>
              <w:t>-1,8097</w:t>
            </w:r>
          </w:p>
        </w:tc>
        <w:tc>
          <w:tcPr>
            <w:tcW w:w="1044" w:type="dxa"/>
            <w:tcBorders>
              <w:bottom w:val="single" w:sz="12" w:space="0" w:color="000000"/>
            </w:tcBorders>
          </w:tcPr>
          <w:p w:rsidR="003E7CF5" w:rsidRDefault="00024B00">
            <w:pPr>
              <w:pStyle w:val="TableParagraph"/>
              <w:spacing w:before="64"/>
              <w:ind w:left="130" w:right="133"/>
              <w:jc w:val="center"/>
              <w:rPr>
                <w:i/>
                <w:sz w:val="20"/>
              </w:rPr>
            </w:pPr>
            <w:r>
              <w:rPr>
                <w:i/>
                <w:sz w:val="20"/>
              </w:rPr>
              <w:t>0,4094</w:t>
            </w:r>
          </w:p>
        </w:tc>
        <w:tc>
          <w:tcPr>
            <w:tcW w:w="1066" w:type="dxa"/>
            <w:tcBorders>
              <w:bottom w:val="single" w:sz="12" w:space="0" w:color="000000"/>
            </w:tcBorders>
          </w:tcPr>
          <w:p w:rsidR="003E7CF5" w:rsidRDefault="00024B00">
            <w:pPr>
              <w:pStyle w:val="TableParagraph"/>
              <w:spacing w:before="64"/>
              <w:ind w:left="133" w:right="153"/>
              <w:jc w:val="center"/>
              <w:rPr>
                <w:i/>
                <w:sz w:val="20"/>
              </w:rPr>
            </w:pPr>
            <w:r>
              <w:rPr>
                <w:i/>
                <w:sz w:val="20"/>
              </w:rPr>
              <w:t>1,4594</w:t>
            </w:r>
          </w:p>
        </w:tc>
        <w:tc>
          <w:tcPr>
            <w:tcW w:w="1023" w:type="dxa"/>
            <w:tcBorders>
              <w:bottom w:val="single" w:sz="12" w:space="0" w:color="000000"/>
            </w:tcBorders>
          </w:tcPr>
          <w:p w:rsidR="003E7CF5" w:rsidRDefault="00024B00">
            <w:pPr>
              <w:pStyle w:val="TableParagraph"/>
              <w:spacing w:before="64"/>
              <w:ind w:left="151" w:right="171"/>
              <w:jc w:val="center"/>
              <w:rPr>
                <w:i/>
                <w:sz w:val="20"/>
              </w:rPr>
            </w:pPr>
            <w:r>
              <w:rPr>
                <w:i/>
                <w:sz w:val="20"/>
              </w:rPr>
              <w:t>4,2166</w:t>
            </w:r>
          </w:p>
        </w:tc>
        <w:tc>
          <w:tcPr>
            <w:tcW w:w="1020" w:type="dxa"/>
            <w:tcBorders>
              <w:bottom w:val="single" w:sz="12" w:space="0" w:color="000000"/>
            </w:tcBorders>
          </w:tcPr>
          <w:p w:rsidR="003E7CF5" w:rsidRDefault="00024B00">
            <w:pPr>
              <w:pStyle w:val="TableParagraph"/>
              <w:spacing w:before="64"/>
              <w:ind w:left="168" w:right="152"/>
              <w:jc w:val="center"/>
              <w:rPr>
                <w:i/>
                <w:sz w:val="20"/>
              </w:rPr>
            </w:pPr>
            <w:r>
              <w:rPr>
                <w:i/>
                <w:sz w:val="20"/>
              </w:rPr>
              <w:t>7,5194</w:t>
            </w:r>
          </w:p>
        </w:tc>
        <w:tc>
          <w:tcPr>
            <w:tcW w:w="1061" w:type="dxa"/>
            <w:tcBorders>
              <w:bottom w:val="single" w:sz="12" w:space="0" w:color="000000"/>
            </w:tcBorders>
          </w:tcPr>
          <w:p w:rsidR="003E7CF5" w:rsidRDefault="00024B00">
            <w:pPr>
              <w:pStyle w:val="TableParagraph"/>
              <w:spacing w:before="64"/>
              <w:ind w:left="148" w:right="128"/>
              <w:jc w:val="center"/>
              <w:rPr>
                <w:i/>
                <w:sz w:val="20"/>
              </w:rPr>
            </w:pPr>
            <w:r>
              <w:rPr>
                <w:i/>
                <w:sz w:val="20"/>
              </w:rPr>
              <w:t>-1,7147</w:t>
            </w:r>
          </w:p>
        </w:tc>
        <w:tc>
          <w:tcPr>
            <w:tcW w:w="1043" w:type="dxa"/>
            <w:tcBorders>
              <w:bottom w:val="single" w:sz="12" w:space="0" w:color="000000"/>
            </w:tcBorders>
          </w:tcPr>
          <w:p w:rsidR="003E7CF5" w:rsidRDefault="00024B00">
            <w:pPr>
              <w:pStyle w:val="TableParagraph"/>
              <w:spacing w:before="64"/>
              <w:ind w:left="128" w:right="134"/>
              <w:jc w:val="center"/>
              <w:rPr>
                <w:i/>
                <w:sz w:val="20"/>
              </w:rPr>
            </w:pPr>
            <w:r>
              <w:rPr>
                <w:i/>
                <w:sz w:val="20"/>
              </w:rPr>
              <w:t>8,0726</w:t>
            </w:r>
          </w:p>
        </w:tc>
      </w:tr>
    </w:tbl>
    <w:p w:rsidR="003E7CF5" w:rsidRDefault="003E7CF5">
      <w:pPr>
        <w:pStyle w:val="Corpsdetexte"/>
        <w:rPr>
          <w:sz w:val="22"/>
        </w:rPr>
      </w:pPr>
    </w:p>
    <w:p w:rsidR="003E7CF5" w:rsidRDefault="00024B00" w:rsidP="008C59C3">
      <w:pPr>
        <w:pStyle w:val="Corpsdetexte"/>
        <w:spacing w:before="240" w:after="240" w:line="360" w:lineRule="auto"/>
        <w:ind w:right="50"/>
        <w:jc w:val="both"/>
      </w:pPr>
      <w:r>
        <w:t>L’hypothèse</w:t>
      </w:r>
      <w:r>
        <w:rPr>
          <w:spacing w:val="-9"/>
        </w:rPr>
        <w:t xml:space="preserve"> </w:t>
      </w:r>
      <w:r>
        <w:t>3</w:t>
      </w:r>
      <w:r>
        <w:rPr>
          <w:spacing w:val="-7"/>
        </w:rPr>
        <w:t xml:space="preserve"> </w:t>
      </w:r>
      <w:r>
        <w:t>selon</w:t>
      </w:r>
      <w:r>
        <w:rPr>
          <w:spacing w:val="-7"/>
        </w:rPr>
        <w:t xml:space="preserve"> </w:t>
      </w:r>
      <w:r>
        <w:t>laquelle</w:t>
      </w:r>
      <w:r>
        <w:rPr>
          <w:spacing w:val="-5"/>
        </w:rPr>
        <w:t xml:space="preserve"> </w:t>
      </w:r>
      <w:r>
        <w:t>une</w:t>
      </w:r>
      <w:r>
        <w:rPr>
          <w:spacing w:val="-3"/>
        </w:rPr>
        <w:t xml:space="preserve"> </w:t>
      </w:r>
      <w:r>
        <w:t>atteinte</w:t>
      </w:r>
      <w:r>
        <w:rPr>
          <w:spacing w:val="-9"/>
        </w:rPr>
        <w:t xml:space="preserve"> </w:t>
      </w:r>
      <w:r>
        <w:t>à</w:t>
      </w:r>
      <w:r>
        <w:rPr>
          <w:spacing w:val="-1"/>
        </w:rPr>
        <w:t xml:space="preserve"> </w:t>
      </w:r>
      <w:r>
        <w:t>la</w:t>
      </w:r>
      <w:r>
        <w:rPr>
          <w:spacing w:val="-8"/>
        </w:rPr>
        <w:t xml:space="preserve"> </w:t>
      </w:r>
      <w:r>
        <w:t>sécurité</w:t>
      </w:r>
      <w:r>
        <w:rPr>
          <w:spacing w:val="-3"/>
        </w:rPr>
        <w:t xml:space="preserve"> </w:t>
      </w:r>
      <w:r>
        <w:t>des</w:t>
      </w:r>
      <w:r>
        <w:rPr>
          <w:spacing w:val="-5"/>
        </w:rPr>
        <w:t xml:space="preserve"> </w:t>
      </w:r>
      <w:r>
        <w:t>systèmes</w:t>
      </w:r>
      <w:r>
        <w:rPr>
          <w:spacing w:val="-6"/>
        </w:rPr>
        <w:t xml:space="preserve"> </w:t>
      </w:r>
      <w:r>
        <w:t>d’information</w:t>
      </w:r>
      <w:r>
        <w:rPr>
          <w:spacing w:val="-7"/>
        </w:rPr>
        <w:t xml:space="preserve"> </w:t>
      </w:r>
      <w:r>
        <w:t>d’une</w:t>
      </w:r>
      <w:r>
        <w:rPr>
          <w:spacing w:val="-3"/>
        </w:rPr>
        <w:t xml:space="preserve"> </w:t>
      </w:r>
      <w:r>
        <w:t>entreprise entraîne une rentabilité anormalement négative de plus ou moins grande importance sur la valeur de ses actions lorsqu’elle est rendue publique en fonction du type d’atteinte aux systèmes d’information</w:t>
      </w:r>
      <w:r>
        <w:rPr>
          <w:spacing w:val="-17"/>
        </w:rPr>
        <w:t xml:space="preserve"> </w:t>
      </w:r>
      <w:r>
        <w:t>semble</w:t>
      </w:r>
      <w:r>
        <w:rPr>
          <w:spacing w:val="-19"/>
        </w:rPr>
        <w:t xml:space="preserve"> </w:t>
      </w:r>
      <w:r>
        <w:t>être</w:t>
      </w:r>
      <w:r>
        <w:rPr>
          <w:spacing w:val="-19"/>
        </w:rPr>
        <w:t xml:space="preserve"> </w:t>
      </w:r>
      <w:r>
        <w:t>validée.</w:t>
      </w:r>
      <w:r>
        <w:rPr>
          <w:spacing w:val="-18"/>
        </w:rPr>
        <w:t xml:space="preserve"> </w:t>
      </w:r>
      <w:r>
        <w:t>En</w:t>
      </w:r>
      <w:r>
        <w:rPr>
          <w:spacing w:val="-13"/>
        </w:rPr>
        <w:t xml:space="preserve"> </w:t>
      </w:r>
      <w:r>
        <w:t>effet,</w:t>
      </w:r>
      <w:r>
        <w:rPr>
          <w:spacing w:val="-18"/>
        </w:rPr>
        <w:t xml:space="preserve"> </w:t>
      </w:r>
      <w:r>
        <w:t>on</w:t>
      </w:r>
      <w:r>
        <w:rPr>
          <w:spacing w:val="-13"/>
        </w:rPr>
        <w:t xml:space="preserve"> </w:t>
      </w:r>
      <w:r>
        <w:t>observe</w:t>
      </w:r>
      <w:r>
        <w:rPr>
          <w:spacing w:val="-19"/>
        </w:rPr>
        <w:t xml:space="preserve"> </w:t>
      </w:r>
      <w:r>
        <w:t>des</w:t>
      </w:r>
      <w:r>
        <w:rPr>
          <w:spacing w:val="-16"/>
        </w:rPr>
        <w:t xml:space="preserve"> </w:t>
      </w:r>
      <w:r>
        <w:t>disparités</w:t>
      </w:r>
      <w:r>
        <w:rPr>
          <w:spacing w:val="-16"/>
        </w:rPr>
        <w:t xml:space="preserve"> </w:t>
      </w:r>
      <w:r>
        <w:t>entre</w:t>
      </w:r>
      <w:r>
        <w:rPr>
          <w:spacing w:val="-19"/>
        </w:rPr>
        <w:t xml:space="preserve"> </w:t>
      </w:r>
      <w:r>
        <w:t>les</w:t>
      </w:r>
      <w:r>
        <w:rPr>
          <w:spacing w:val="-16"/>
        </w:rPr>
        <w:t xml:space="preserve"> </w:t>
      </w:r>
      <w:r>
        <w:t>différentes</w:t>
      </w:r>
      <w:r>
        <w:rPr>
          <w:spacing w:val="-16"/>
        </w:rPr>
        <w:t xml:space="preserve"> </w:t>
      </w:r>
      <w:r>
        <w:t>méthodes d’attaques. De plus, ces disparités semblent être corrélées au coût direct et indirect de ces mêmes types d’attaques exposés dans d’autres études publiées</w:t>
      </w:r>
      <w:r>
        <w:rPr>
          <w:spacing w:val="4"/>
        </w:rPr>
        <w:t xml:space="preserve"> </w:t>
      </w:r>
      <w:r>
        <w:t>récemment.</w:t>
      </w:r>
    </w:p>
    <w:p w:rsidR="003E7CF5" w:rsidRPr="002E2D4C" w:rsidRDefault="00024B00" w:rsidP="008C59C3">
      <w:pPr>
        <w:pStyle w:val="Corpsdetexte"/>
        <w:spacing w:before="240" w:after="240" w:line="360" w:lineRule="auto"/>
        <w:ind w:right="50"/>
        <w:jc w:val="both"/>
        <w:rPr>
          <w:b/>
        </w:rPr>
      </w:pPr>
      <w:bookmarkStart w:id="35" w:name="Analyse_par_type_de_données_compromises"/>
      <w:bookmarkEnd w:id="35"/>
      <w:r w:rsidRPr="00481040">
        <w:rPr>
          <w:b/>
        </w:rPr>
        <w:t>Analyse par type de données compromises</w:t>
      </w:r>
    </w:p>
    <w:p w:rsidR="003E7CF5" w:rsidRDefault="00024B00" w:rsidP="008C59C3">
      <w:pPr>
        <w:pStyle w:val="Corpsdetexte"/>
        <w:spacing w:before="240" w:after="240" w:line="360" w:lineRule="auto"/>
        <w:ind w:right="50"/>
        <w:jc w:val="both"/>
      </w:pPr>
      <w:r>
        <w:t>Nous avons pu voir que certains secteurs sont plus à même de subir des attaques entraînant des rendements anormalement négatifs. La méthode employée pour la cyber attaque a également une influence</w:t>
      </w:r>
      <w:r>
        <w:rPr>
          <w:spacing w:val="-10"/>
        </w:rPr>
        <w:t xml:space="preserve"> </w:t>
      </w:r>
      <w:r>
        <w:t>sur</w:t>
      </w:r>
      <w:r>
        <w:rPr>
          <w:spacing w:val="-8"/>
        </w:rPr>
        <w:t xml:space="preserve"> </w:t>
      </w:r>
      <w:r>
        <w:t>les</w:t>
      </w:r>
      <w:r>
        <w:rPr>
          <w:spacing w:val="-6"/>
        </w:rPr>
        <w:t xml:space="preserve"> </w:t>
      </w:r>
      <w:r>
        <w:t>rendements</w:t>
      </w:r>
      <w:r>
        <w:rPr>
          <w:spacing w:val="-7"/>
        </w:rPr>
        <w:t xml:space="preserve"> </w:t>
      </w:r>
      <w:r>
        <w:t>négatifs,</w:t>
      </w:r>
      <w:r>
        <w:rPr>
          <w:spacing w:val="-9"/>
        </w:rPr>
        <w:t xml:space="preserve"> </w:t>
      </w:r>
      <w:r>
        <w:t>cependant,</w:t>
      </w:r>
      <w:r>
        <w:rPr>
          <w:spacing w:val="-3"/>
        </w:rPr>
        <w:t xml:space="preserve"> </w:t>
      </w:r>
      <w:r>
        <w:t>le</w:t>
      </w:r>
      <w:r>
        <w:rPr>
          <w:spacing w:val="-9"/>
        </w:rPr>
        <w:t xml:space="preserve"> </w:t>
      </w:r>
      <w:r>
        <w:t>type</w:t>
      </w:r>
      <w:r>
        <w:rPr>
          <w:spacing w:val="-10"/>
        </w:rPr>
        <w:t xml:space="preserve"> </w:t>
      </w:r>
      <w:r>
        <w:t>de</w:t>
      </w:r>
      <w:r>
        <w:rPr>
          <w:spacing w:val="-10"/>
        </w:rPr>
        <w:t xml:space="preserve"> </w:t>
      </w:r>
      <w:r>
        <w:t>données</w:t>
      </w:r>
      <w:r>
        <w:rPr>
          <w:spacing w:val="-6"/>
        </w:rPr>
        <w:t xml:space="preserve"> </w:t>
      </w:r>
      <w:r>
        <w:t>touchées</w:t>
      </w:r>
      <w:r>
        <w:rPr>
          <w:spacing w:val="-7"/>
        </w:rPr>
        <w:t xml:space="preserve"> </w:t>
      </w:r>
      <w:r>
        <w:t>doit</w:t>
      </w:r>
      <w:r>
        <w:rPr>
          <w:spacing w:val="-10"/>
        </w:rPr>
        <w:t xml:space="preserve"> </w:t>
      </w:r>
      <w:r>
        <w:t>également</w:t>
      </w:r>
      <w:r>
        <w:rPr>
          <w:spacing w:val="-9"/>
        </w:rPr>
        <w:t xml:space="preserve"> </w:t>
      </w:r>
      <w:r>
        <w:t xml:space="preserve">avoir une influence. En effet, nous avons pu exposer, précédemment, dans cette étude que certaines données comme les données personnelles sont de plus en plus encadrées par les autorités compétentes comme la CNIL en France. Sous peine de manquement et de non-conformité notamment au RGPD, les entreprises européennes s’exposent à des amendes financières. On peut donc penser que des atteintes portées à ces données peuvent avoir un impact plus important en </w:t>
      </w:r>
      <w:r>
        <w:lastRenderedPageBreak/>
        <w:t>partie à cause du risque d’image qui pèse sur les entreprises assujetties. Les actionnaires dans la même logique peuvent prendre des positions plus sécurisantes à l’annonce de faille de sécurité</w:t>
      </w:r>
      <w:r>
        <w:rPr>
          <w:spacing w:val="-36"/>
        </w:rPr>
        <w:t xml:space="preserve"> </w:t>
      </w:r>
      <w:r>
        <w:t>sur ce type de données. Le vol de données corporate peut être également très dommageable pour les entreprises et d’autant plus si elles appartiennent à certains secteurs plus à</w:t>
      </w:r>
      <w:r>
        <w:rPr>
          <w:spacing w:val="-6"/>
        </w:rPr>
        <w:t xml:space="preserve"> </w:t>
      </w:r>
      <w:r>
        <w:t>risque.</w:t>
      </w:r>
    </w:p>
    <w:p w:rsidR="003E7CF5" w:rsidRDefault="00024B00" w:rsidP="008C59C3">
      <w:pPr>
        <w:pStyle w:val="Corpsdetexte"/>
        <w:spacing w:before="240" w:after="240" w:line="360" w:lineRule="auto"/>
        <w:ind w:right="50"/>
        <w:jc w:val="both"/>
      </w:pPr>
      <w:r>
        <w:t>À la lecture du Tableau 7, il apparaît clairement que les attaques n’ayant porté atteinte à aucune donnée n’entraînent pas de rendement négatif très important (inférieur à 0,6%).</w:t>
      </w:r>
    </w:p>
    <w:p w:rsidR="003E7CF5" w:rsidRDefault="00024B00" w:rsidP="008C59C3">
      <w:pPr>
        <w:pStyle w:val="Corpsdetexte"/>
        <w:spacing w:before="240" w:after="240" w:line="360" w:lineRule="auto"/>
        <w:ind w:right="50"/>
        <w:jc w:val="both"/>
      </w:pPr>
      <w:r>
        <w:t>En revanche, les données confidentielles, les données relatives aux entreprises, à leur fonctionnement, aux processus internes entraînent des rendements anormalement négatifs</w:t>
      </w:r>
      <w:r>
        <w:rPr>
          <w:spacing w:val="-24"/>
        </w:rPr>
        <w:t xml:space="preserve"> </w:t>
      </w:r>
      <w:r>
        <w:t>moyens toujours au moins supérieurs à 1,2% avec tests de significativité tous validés. Ces résultats confirment bien l’importance de ces données pour les entreprises et leurs actionnaires. C’est notamment le cas pour les entreprises qui évoluent sur des secteurs hyperconcurrentiels et dont l’accès au marché est compliqué. Ces entreprises se doivent de garder le moindre avantage compétitif dont elles</w:t>
      </w:r>
      <w:r>
        <w:rPr>
          <w:spacing w:val="-1"/>
        </w:rPr>
        <w:t xml:space="preserve"> </w:t>
      </w:r>
      <w:r>
        <w:t>disposent.</w:t>
      </w:r>
    </w:p>
    <w:p w:rsidR="003E7CF5" w:rsidRDefault="00024B00" w:rsidP="008C59C3">
      <w:pPr>
        <w:pStyle w:val="Corpsdetexte"/>
        <w:spacing w:before="240" w:after="240" w:line="360" w:lineRule="auto"/>
        <w:ind w:right="50"/>
        <w:jc w:val="both"/>
      </w:pPr>
      <w:r>
        <w:t>Enfin, on peut observer que les données personnelles restent visiblement les plus convoitées puisqu’elles</w:t>
      </w:r>
      <w:r>
        <w:rPr>
          <w:spacing w:val="-7"/>
        </w:rPr>
        <w:t xml:space="preserve"> </w:t>
      </w:r>
      <w:r>
        <w:t>sont</w:t>
      </w:r>
      <w:r>
        <w:rPr>
          <w:spacing w:val="-4"/>
        </w:rPr>
        <w:t xml:space="preserve"> </w:t>
      </w:r>
      <w:r>
        <w:t>concernées</w:t>
      </w:r>
      <w:r>
        <w:rPr>
          <w:spacing w:val="-6"/>
        </w:rPr>
        <w:t xml:space="preserve"> </w:t>
      </w:r>
      <w:r>
        <w:t>dans</w:t>
      </w:r>
      <w:r>
        <w:rPr>
          <w:spacing w:val="-6"/>
        </w:rPr>
        <w:t xml:space="preserve"> </w:t>
      </w:r>
      <w:r>
        <w:t>au</w:t>
      </w:r>
      <w:r>
        <w:rPr>
          <w:spacing w:val="-3"/>
        </w:rPr>
        <w:t xml:space="preserve"> </w:t>
      </w:r>
      <w:r>
        <w:t>moins</w:t>
      </w:r>
      <w:r>
        <w:rPr>
          <w:spacing w:val="-1"/>
        </w:rPr>
        <w:t xml:space="preserve"> </w:t>
      </w:r>
      <w:r>
        <w:t>71%</w:t>
      </w:r>
      <w:r>
        <w:rPr>
          <w:spacing w:val="-7"/>
        </w:rPr>
        <w:t xml:space="preserve"> </w:t>
      </w:r>
      <w:r>
        <w:t>des</w:t>
      </w:r>
      <w:r>
        <w:rPr>
          <w:spacing w:val="-1"/>
        </w:rPr>
        <w:t xml:space="preserve"> </w:t>
      </w:r>
      <w:r>
        <w:t>attaques</w:t>
      </w:r>
      <w:r>
        <w:rPr>
          <w:spacing w:val="-6"/>
        </w:rPr>
        <w:t xml:space="preserve"> </w:t>
      </w:r>
      <w:r>
        <w:t>de</w:t>
      </w:r>
      <w:r>
        <w:rPr>
          <w:spacing w:val="-9"/>
        </w:rPr>
        <w:t xml:space="preserve"> </w:t>
      </w:r>
      <w:r>
        <w:t>l’échantillon</w:t>
      </w:r>
      <w:r>
        <w:rPr>
          <w:spacing w:val="-8"/>
        </w:rPr>
        <w:t xml:space="preserve"> </w:t>
      </w:r>
      <w:r>
        <w:t>de</w:t>
      </w:r>
      <w:r>
        <w:rPr>
          <w:spacing w:val="-4"/>
        </w:rPr>
        <w:t xml:space="preserve"> </w:t>
      </w:r>
      <w:r>
        <w:t>cette</w:t>
      </w:r>
      <w:r>
        <w:rPr>
          <w:spacing w:val="-9"/>
        </w:rPr>
        <w:t xml:space="preserve"> </w:t>
      </w:r>
      <w:r>
        <w:t>étude.</w:t>
      </w:r>
      <w:r>
        <w:rPr>
          <w:spacing w:val="-3"/>
        </w:rPr>
        <w:t xml:space="preserve"> </w:t>
      </w:r>
      <w:r>
        <w:t>Si</w:t>
      </w:r>
      <w:r>
        <w:rPr>
          <w:spacing w:val="-5"/>
        </w:rPr>
        <w:t xml:space="preserve"> </w:t>
      </w:r>
      <w:r>
        <w:t xml:space="preserve">on se focalise uniquement sur les cyberattaques ayant fait l’objet d’une atteinte aux données personnelles, les RAMC sont négatifs sur l’ensemble des fenêtres d’évènements, mais pas avec la même intensité. Sur les fenêtres [0 ; 1] et [0 ; 3], </w:t>
      </w:r>
      <w:r>
        <w:rPr>
          <w:spacing w:val="-3"/>
        </w:rPr>
        <w:t xml:space="preserve">on </w:t>
      </w:r>
      <w:r>
        <w:t>peut constater que les rendements négatifs, respectivement 1,06% et 1,24%, sont du même ordre que ceux des données confidentielles. Les tests de student de significativité viennent appuyer ces statistiques sur ces deux fenêtres. En revanche,</w:t>
      </w:r>
      <w:r>
        <w:rPr>
          <w:spacing w:val="7"/>
        </w:rPr>
        <w:t xml:space="preserve"> </w:t>
      </w:r>
      <w:r>
        <w:t>sur</w:t>
      </w:r>
      <w:r>
        <w:rPr>
          <w:spacing w:val="7"/>
        </w:rPr>
        <w:t xml:space="preserve"> </w:t>
      </w:r>
      <w:r>
        <w:t>les</w:t>
      </w:r>
      <w:r>
        <w:rPr>
          <w:spacing w:val="9"/>
        </w:rPr>
        <w:t xml:space="preserve"> </w:t>
      </w:r>
      <w:r>
        <w:t>fenêtres</w:t>
      </w:r>
      <w:r>
        <w:rPr>
          <w:spacing w:val="9"/>
        </w:rPr>
        <w:t xml:space="preserve"> </w:t>
      </w:r>
      <w:r>
        <w:t>[-1</w:t>
      </w:r>
      <w:r>
        <w:rPr>
          <w:spacing w:val="-1"/>
        </w:rPr>
        <w:t xml:space="preserve"> </w:t>
      </w:r>
      <w:r>
        <w:t>;</w:t>
      </w:r>
      <w:r>
        <w:rPr>
          <w:spacing w:val="6"/>
        </w:rPr>
        <w:t xml:space="preserve"> </w:t>
      </w:r>
      <w:r>
        <w:t>1]</w:t>
      </w:r>
      <w:r>
        <w:rPr>
          <w:spacing w:val="7"/>
        </w:rPr>
        <w:t xml:space="preserve"> </w:t>
      </w:r>
      <w:r>
        <w:t>et</w:t>
      </w:r>
      <w:r>
        <w:rPr>
          <w:spacing w:val="7"/>
        </w:rPr>
        <w:t xml:space="preserve"> </w:t>
      </w:r>
      <w:r>
        <w:t>[-1</w:t>
      </w:r>
      <w:r>
        <w:rPr>
          <w:spacing w:val="3"/>
        </w:rPr>
        <w:t xml:space="preserve"> </w:t>
      </w:r>
      <w:r>
        <w:t>;5]</w:t>
      </w:r>
      <w:r>
        <w:rPr>
          <w:spacing w:val="7"/>
        </w:rPr>
        <w:t xml:space="preserve"> </w:t>
      </w:r>
      <w:r>
        <w:t>on</w:t>
      </w:r>
      <w:r>
        <w:rPr>
          <w:spacing w:val="8"/>
        </w:rPr>
        <w:t xml:space="preserve"> </w:t>
      </w:r>
      <w:r>
        <w:t>constate</w:t>
      </w:r>
      <w:r>
        <w:rPr>
          <w:spacing w:val="6"/>
        </w:rPr>
        <w:t xml:space="preserve"> </w:t>
      </w:r>
      <w:r>
        <w:t>des</w:t>
      </w:r>
      <w:r>
        <w:rPr>
          <w:spacing w:val="9"/>
        </w:rPr>
        <w:t xml:space="preserve"> </w:t>
      </w:r>
      <w:r>
        <w:t>rendements</w:t>
      </w:r>
      <w:r>
        <w:rPr>
          <w:spacing w:val="13"/>
        </w:rPr>
        <w:t xml:space="preserve"> </w:t>
      </w:r>
      <w:r>
        <w:t>anormaux</w:t>
      </w:r>
      <w:r>
        <w:rPr>
          <w:spacing w:val="7"/>
        </w:rPr>
        <w:t xml:space="preserve"> </w:t>
      </w:r>
      <w:r>
        <w:t>très</w:t>
      </w:r>
      <w:r>
        <w:rPr>
          <w:spacing w:val="10"/>
        </w:rPr>
        <w:t xml:space="preserve"> </w:t>
      </w:r>
      <w:r>
        <w:t>proches</w:t>
      </w:r>
      <w:r>
        <w:rPr>
          <w:spacing w:val="10"/>
        </w:rPr>
        <w:t xml:space="preserve"> </w:t>
      </w:r>
      <w:r>
        <w:t>de</w:t>
      </w:r>
      <w:r w:rsidR="00A5268B">
        <w:t xml:space="preserve"> </w:t>
      </w:r>
      <w:r>
        <w:t>0%.</w:t>
      </w:r>
      <w:r>
        <w:rPr>
          <w:spacing w:val="-2"/>
        </w:rPr>
        <w:t xml:space="preserve"> </w:t>
      </w:r>
      <w:r>
        <w:t>On</w:t>
      </w:r>
      <w:r>
        <w:rPr>
          <w:spacing w:val="-2"/>
        </w:rPr>
        <w:t xml:space="preserve"> </w:t>
      </w:r>
      <w:r>
        <w:t>peut</w:t>
      </w:r>
      <w:r>
        <w:rPr>
          <w:spacing w:val="-4"/>
        </w:rPr>
        <w:t xml:space="preserve"> </w:t>
      </w:r>
      <w:r>
        <w:t>alors</w:t>
      </w:r>
      <w:r>
        <w:rPr>
          <w:spacing w:val="-6"/>
        </w:rPr>
        <w:t xml:space="preserve"> </w:t>
      </w:r>
      <w:r>
        <w:t>supposer</w:t>
      </w:r>
      <w:r>
        <w:rPr>
          <w:spacing w:val="-2"/>
        </w:rPr>
        <w:t xml:space="preserve"> </w:t>
      </w:r>
      <w:r>
        <w:t>que</w:t>
      </w:r>
      <w:r>
        <w:rPr>
          <w:spacing w:val="-3"/>
        </w:rPr>
        <w:t xml:space="preserve"> </w:t>
      </w:r>
      <w:r>
        <w:t>ces</w:t>
      </w:r>
      <w:r>
        <w:rPr>
          <w:spacing w:val="-1"/>
        </w:rPr>
        <w:t xml:space="preserve"> </w:t>
      </w:r>
      <w:r>
        <w:t>fenêtres</w:t>
      </w:r>
      <w:r>
        <w:rPr>
          <w:spacing w:val="-1"/>
        </w:rPr>
        <w:t xml:space="preserve"> </w:t>
      </w:r>
      <w:r>
        <w:t>à</w:t>
      </w:r>
      <w:r>
        <w:rPr>
          <w:spacing w:val="-3"/>
        </w:rPr>
        <w:t xml:space="preserve"> </w:t>
      </w:r>
      <w:r>
        <w:t>-1</w:t>
      </w:r>
      <w:r>
        <w:rPr>
          <w:spacing w:val="-8"/>
        </w:rPr>
        <w:t xml:space="preserve"> </w:t>
      </w:r>
      <w:r>
        <w:t>jour</w:t>
      </w:r>
      <w:r>
        <w:rPr>
          <w:spacing w:val="-2"/>
        </w:rPr>
        <w:t xml:space="preserve"> </w:t>
      </w:r>
      <w:r>
        <w:t>anticipent</w:t>
      </w:r>
      <w:r>
        <w:rPr>
          <w:spacing w:val="-3"/>
        </w:rPr>
        <w:t xml:space="preserve"> </w:t>
      </w:r>
      <w:r>
        <w:t>trop</w:t>
      </w:r>
      <w:r>
        <w:rPr>
          <w:spacing w:val="-2"/>
        </w:rPr>
        <w:t xml:space="preserve"> </w:t>
      </w:r>
      <w:r>
        <w:t>la</w:t>
      </w:r>
      <w:r>
        <w:rPr>
          <w:spacing w:val="-4"/>
        </w:rPr>
        <w:t xml:space="preserve"> </w:t>
      </w:r>
      <w:r>
        <w:t>perte</w:t>
      </w:r>
      <w:r>
        <w:rPr>
          <w:spacing w:val="-4"/>
        </w:rPr>
        <w:t xml:space="preserve"> </w:t>
      </w:r>
      <w:r>
        <w:t>de</w:t>
      </w:r>
      <w:r>
        <w:rPr>
          <w:spacing w:val="-4"/>
        </w:rPr>
        <w:t xml:space="preserve"> </w:t>
      </w:r>
      <w:r>
        <w:t>valeur</w:t>
      </w:r>
      <w:r>
        <w:rPr>
          <w:spacing w:val="-1"/>
        </w:rPr>
        <w:t xml:space="preserve"> </w:t>
      </w:r>
      <w:r>
        <w:t>du</w:t>
      </w:r>
      <w:r>
        <w:rPr>
          <w:spacing w:val="-2"/>
        </w:rPr>
        <w:t xml:space="preserve"> </w:t>
      </w:r>
      <w:r>
        <w:t>cours</w:t>
      </w:r>
      <w:r>
        <w:rPr>
          <w:spacing w:val="-1"/>
        </w:rPr>
        <w:t xml:space="preserve"> </w:t>
      </w:r>
      <w:r>
        <w:t>de bourse et que les pertes engendrées par les données personnelles ne peuvent être anticipées. De plus,</w:t>
      </w:r>
      <w:r>
        <w:rPr>
          <w:spacing w:val="-8"/>
        </w:rPr>
        <w:t xml:space="preserve"> </w:t>
      </w:r>
      <w:r>
        <w:t>on</w:t>
      </w:r>
      <w:r>
        <w:rPr>
          <w:spacing w:val="-7"/>
        </w:rPr>
        <w:t xml:space="preserve"> </w:t>
      </w:r>
      <w:r>
        <w:t>découvre</w:t>
      </w:r>
      <w:r>
        <w:rPr>
          <w:spacing w:val="-3"/>
        </w:rPr>
        <w:t xml:space="preserve"> </w:t>
      </w:r>
      <w:r>
        <w:t>souvent</w:t>
      </w:r>
      <w:r>
        <w:rPr>
          <w:spacing w:val="-8"/>
        </w:rPr>
        <w:t xml:space="preserve"> </w:t>
      </w:r>
      <w:r>
        <w:t>que</w:t>
      </w:r>
      <w:r>
        <w:rPr>
          <w:spacing w:val="-4"/>
        </w:rPr>
        <w:t xml:space="preserve"> </w:t>
      </w:r>
      <w:r>
        <w:t>quelques</w:t>
      </w:r>
      <w:r>
        <w:rPr>
          <w:spacing w:val="-5"/>
        </w:rPr>
        <w:t xml:space="preserve"> </w:t>
      </w:r>
      <w:r>
        <w:t>heures,</w:t>
      </w:r>
      <w:r>
        <w:rPr>
          <w:spacing w:val="-7"/>
        </w:rPr>
        <w:t xml:space="preserve"> </w:t>
      </w:r>
      <w:r>
        <w:t>ou</w:t>
      </w:r>
      <w:r>
        <w:rPr>
          <w:spacing w:val="-7"/>
        </w:rPr>
        <w:t xml:space="preserve"> </w:t>
      </w:r>
      <w:r>
        <w:t>jours</w:t>
      </w:r>
      <w:r>
        <w:rPr>
          <w:spacing w:val="-6"/>
        </w:rPr>
        <w:t xml:space="preserve"> </w:t>
      </w:r>
      <w:r>
        <w:t>après</w:t>
      </w:r>
      <w:r>
        <w:rPr>
          <w:spacing w:val="-5"/>
        </w:rPr>
        <w:t xml:space="preserve"> </w:t>
      </w:r>
      <w:r>
        <w:t>l’attaque,</w:t>
      </w:r>
      <w:r>
        <w:rPr>
          <w:spacing w:val="-2"/>
        </w:rPr>
        <w:t xml:space="preserve"> </w:t>
      </w:r>
      <w:r>
        <w:t>le</w:t>
      </w:r>
      <w:r>
        <w:rPr>
          <w:spacing w:val="-9"/>
        </w:rPr>
        <w:t xml:space="preserve"> </w:t>
      </w:r>
      <w:r>
        <w:t>nombre</w:t>
      </w:r>
      <w:r>
        <w:rPr>
          <w:spacing w:val="-8"/>
        </w:rPr>
        <w:t xml:space="preserve"> </w:t>
      </w:r>
      <w:r>
        <w:t>exact</w:t>
      </w:r>
      <w:r>
        <w:rPr>
          <w:spacing w:val="-2"/>
        </w:rPr>
        <w:t xml:space="preserve"> </w:t>
      </w:r>
      <w:r>
        <w:t>et</w:t>
      </w:r>
      <w:r>
        <w:rPr>
          <w:spacing w:val="-3"/>
        </w:rPr>
        <w:t xml:space="preserve"> </w:t>
      </w:r>
      <w:r>
        <w:t>le</w:t>
      </w:r>
      <w:r>
        <w:rPr>
          <w:spacing w:val="-4"/>
        </w:rPr>
        <w:t xml:space="preserve"> </w:t>
      </w:r>
      <w:r>
        <w:t>type de données</w:t>
      </w:r>
      <w:r>
        <w:rPr>
          <w:spacing w:val="-2"/>
        </w:rPr>
        <w:t xml:space="preserve"> </w:t>
      </w:r>
      <w:r>
        <w:t>compromises.</w:t>
      </w:r>
    </w:p>
    <w:p w:rsidR="003E7CF5" w:rsidRDefault="00024B00" w:rsidP="008C59C3">
      <w:pPr>
        <w:pStyle w:val="Corpsdetexte"/>
        <w:spacing w:before="240" w:after="240" w:line="360" w:lineRule="auto"/>
        <w:ind w:right="50"/>
        <w:jc w:val="both"/>
      </w:pPr>
      <w:r>
        <w:t xml:space="preserve">Les données classées secret défense, données présentant un caractère de secret de la Défense nationale dont la diffusion et l’accès est très restreint sont peu atteintes et donc visiblement bien protégées. Cependant lorsqu’elles sont touchées, les impacts pour les rendements boursiers sont très forts. On constate alors des RAMC négatifs pour l’ensemble des fenêtres d’évènement entre </w:t>
      </w:r>
      <w:r>
        <w:lastRenderedPageBreak/>
        <w:t>3,91% et 5,55%.</w:t>
      </w:r>
    </w:p>
    <w:p w:rsidR="003E7CF5" w:rsidRDefault="00024B00">
      <w:pPr>
        <w:spacing w:before="118"/>
        <w:ind w:left="335"/>
        <w:jc w:val="both"/>
        <w:rPr>
          <w:sz w:val="20"/>
        </w:rPr>
      </w:pPr>
      <w:bookmarkStart w:id="36" w:name="_bookmark34"/>
      <w:bookmarkEnd w:id="36"/>
      <w:r>
        <w:rPr>
          <w:sz w:val="20"/>
        </w:rPr>
        <w:t>Tableau 7 : Résultats d’analyse de la RAMC par type de données touchées</w:t>
      </w:r>
    </w:p>
    <w:p w:rsidR="003E7CF5" w:rsidRDefault="003E7CF5">
      <w:pPr>
        <w:pStyle w:val="Corpsdetexte"/>
        <w:spacing w:before="7"/>
        <w:rPr>
          <w:sz w:val="13"/>
        </w:rPr>
      </w:pPr>
    </w:p>
    <w:tbl>
      <w:tblPr>
        <w:tblStyle w:val="TableNormal"/>
        <w:tblW w:w="0" w:type="auto"/>
        <w:tblInd w:w="335" w:type="dxa"/>
        <w:tblLayout w:type="fixed"/>
        <w:tblLook w:val="01E0" w:firstRow="1" w:lastRow="1" w:firstColumn="1" w:lastColumn="1" w:noHBand="0" w:noVBand="0"/>
      </w:tblPr>
      <w:tblGrid>
        <w:gridCol w:w="1507"/>
        <w:gridCol w:w="1676"/>
        <w:gridCol w:w="1588"/>
        <w:gridCol w:w="1493"/>
        <w:gridCol w:w="1740"/>
        <w:gridCol w:w="1529"/>
      </w:tblGrid>
      <w:tr w:rsidR="003E7CF5">
        <w:trPr>
          <w:trHeight w:val="1965"/>
        </w:trPr>
        <w:tc>
          <w:tcPr>
            <w:tcW w:w="1507" w:type="dxa"/>
            <w:tcBorders>
              <w:top w:val="single" w:sz="12" w:space="0" w:color="000000"/>
              <w:bottom w:val="single" w:sz="12" w:space="0" w:color="4471C4"/>
            </w:tcBorders>
            <w:shd w:val="clear" w:color="auto" w:fill="D0CECE"/>
            <w:textDirection w:val="btLr"/>
          </w:tcPr>
          <w:p w:rsidR="003E7CF5" w:rsidRDefault="003E7CF5">
            <w:pPr>
              <w:pStyle w:val="TableParagraph"/>
              <w:spacing w:before="6"/>
              <w:rPr>
                <w:sz w:val="31"/>
              </w:rPr>
            </w:pPr>
          </w:p>
          <w:p w:rsidR="003E7CF5" w:rsidRDefault="00024B00">
            <w:pPr>
              <w:pStyle w:val="TableParagraph"/>
              <w:spacing w:line="360" w:lineRule="auto"/>
              <w:ind w:left="114" w:right="645" w:firstLine="55"/>
              <w:rPr>
                <w:b/>
              </w:rPr>
            </w:pPr>
            <w:r>
              <w:rPr>
                <w:b/>
              </w:rPr>
              <w:t>Fenêtre d'évènement</w:t>
            </w:r>
          </w:p>
        </w:tc>
        <w:tc>
          <w:tcPr>
            <w:tcW w:w="1676" w:type="dxa"/>
            <w:tcBorders>
              <w:top w:val="single" w:sz="12" w:space="0" w:color="000000"/>
              <w:bottom w:val="single" w:sz="12" w:space="0" w:color="4471C4"/>
            </w:tcBorders>
            <w:shd w:val="clear" w:color="auto" w:fill="D0CECE"/>
            <w:textDirection w:val="btLr"/>
          </w:tcPr>
          <w:p w:rsidR="003E7CF5" w:rsidRDefault="003E7CF5">
            <w:pPr>
              <w:pStyle w:val="TableParagraph"/>
              <w:rPr>
                <w:sz w:val="24"/>
              </w:rPr>
            </w:pPr>
          </w:p>
          <w:p w:rsidR="003E7CF5" w:rsidRDefault="003E7CF5">
            <w:pPr>
              <w:pStyle w:val="TableParagraph"/>
              <w:rPr>
                <w:sz w:val="20"/>
              </w:rPr>
            </w:pPr>
          </w:p>
          <w:p w:rsidR="003E7CF5" w:rsidRDefault="00024B00">
            <w:pPr>
              <w:pStyle w:val="TableParagraph"/>
              <w:spacing w:line="360" w:lineRule="auto"/>
              <w:ind w:left="114" w:right="111"/>
              <w:rPr>
                <w:b/>
              </w:rPr>
            </w:pPr>
            <w:r>
              <w:rPr>
                <w:b/>
              </w:rPr>
              <w:t>Aucune perte de données</w:t>
            </w:r>
          </w:p>
        </w:tc>
        <w:tc>
          <w:tcPr>
            <w:tcW w:w="1588" w:type="dxa"/>
            <w:tcBorders>
              <w:top w:val="single" w:sz="12" w:space="0" w:color="000000"/>
              <w:bottom w:val="single" w:sz="12" w:space="0" w:color="4471C4"/>
            </w:tcBorders>
            <w:shd w:val="clear" w:color="auto" w:fill="D0CECE"/>
            <w:textDirection w:val="btLr"/>
          </w:tcPr>
          <w:p w:rsidR="003E7CF5" w:rsidRDefault="003E7CF5">
            <w:pPr>
              <w:pStyle w:val="TableParagraph"/>
              <w:rPr>
                <w:sz w:val="24"/>
              </w:rPr>
            </w:pPr>
          </w:p>
          <w:p w:rsidR="003E7CF5" w:rsidRDefault="00024B00">
            <w:pPr>
              <w:pStyle w:val="TableParagraph"/>
              <w:spacing w:before="139" w:line="360" w:lineRule="auto"/>
              <w:ind w:left="114" w:right="486"/>
              <w:rPr>
                <w:b/>
              </w:rPr>
            </w:pPr>
            <w:r>
              <w:rPr>
                <w:b/>
              </w:rPr>
              <w:t>Données confidentielles</w:t>
            </w:r>
          </w:p>
        </w:tc>
        <w:tc>
          <w:tcPr>
            <w:tcW w:w="1493" w:type="dxa"/>
            <w:tcBorders>
              <w:top w:val="single" w:sz="12" w:space="0" w:color="000000"/>
              <w:bottom w:val="single" w:sz="12" w:space="0" w:color="4471C4"/>
            </w:tcBorders>
            <w:shd w:val="clear" w:color="auto" w:fill="D0CECE"/>
            <w:textDirection w:val="btLr"/>
          </w:tcPr>
          <w:p w:rsidR="003E7CF5" w:rsidRDefault="003E7CF5">
            <w:pPr>
              <w:pStyle w:val="TableParagraph"/>
              <w:spacing w:before="11"/>
              <w:rPr>
                <w:sz w:val="35"/>
              </w:rPr>
            </w:pPr>
          </w:p>
          <w:p w:rsidR="003E7CF5" w:rsidRDefault="00024B00">
            <w:pPr>
              <w:pStyle w:val="TableParagraph"/>
              <w:spacing w:line="360" w:lineRule="auto"/>
              <w:ind w:left="114" w:right="669"/>
              <w:rPr>
                <w:b/>
              </w:rPr>
            </w:pPr>
            <w:r>
              <w:rPr>
                <w:b/>
              </w:rPr>
              <w:t>Données personnelles</w:t>
            </w:r>
          </w:p>
        </w:tc>
        <w:tc>
          <w:tcPr>
            <w:tcW w:w="1740" w:type="dxa"/>
            <w:tcBorders>
              <w:top w:val="single" w:sz="12" w:space="0" w:color="000000"/>
              <w:bottom w:val="single" w:sz="12" w:space="0" w:color="4471C4"/>
            </w:tcBorders>
            <w:shd w:val="clear" w:color="auto" w:fill="D0CECE"/>
            <w:textDirection w:val="btLr"/>
          </w:tcPr>
          <w:p w:rsidR="003E7CF5" w:rsidRDefault="003E7CF5">
            <w:pPr>
              <w:pStyle w:val="TableParagraph"/>
              <w:spacing w:before="10"/>
              <w:rPr>
                <w:sz w:val="27"/>
              </w:rPr>
            </w:pPr>
          </w:p>
          <w:p w:rsidR="003E7CF5" w:rsidRDefault="00024B00">
            <w:pPr>
              <w:pStyle w:val="TableParagraph"/>
              <w:tabs>
                <w:tab w:val="left" w:pos="1679"/>
              </w:tabs>
              <w:spacing w:line="360" w:lineRule="auto"/>
              <w:ind w:left="114" w:right="111"/>
              <w:rPr>
                <w:b/>
              </w:rPr>
            </w:pPr>
            <w:r>
              <w:rPr>
                <w:b/>
              </w:rPr>
              <w:t>Données personnelles</w:t>
            </w:r>
            <w:r>
              <w:rPr>
                <w:b/>
              </w:rPr>
              <w:tab/>
            </w:r>
            <w:r>
              <w:rPr>
                <w:b/>
                <w:spacing w:val="-8"/>
              </w:rPr>
              <w:t xml:space="preserve">et </w:t>
            </w:r>
            <w:r>
              <w:rPr>
                <w:b/>
              </w:rPr>
              <w:t>confidentielles</w:t>
            </w:r>
          </w:p>
        </w:tc>
        <w:tc>
          <w:tcPr>
            <w:tcW w:w="1529" w:type="dxa"/>
            <w:tcBorders>
              <w:top w:val="single" w:sz="12" w:space="0" w:color="000000"/>
              <w:bottom w:val="single" w:sz="12" w:space="0" w:color="4471C4"/>
            </w:tcBorders>
            <w:shd w:val="clear" w:color="auto" w:fill="D0CECE"/>
            <w:textDirection w:val="btLr"/>
          </w:tcPr>
          <w:p w:rsidR="003E7CF5" w:rsidRDefault="003E7CF5">
            <w:pPr>
              <w:pStyle w:val="TableParagraph"/>
              <w:rPr>
                <w:sz w:val="24"/>
              </w:rPr>
            </w:pPr>
          </w:p>
          <w:p w:rsidR="003E7CF5" w:rsidRDefault="003E7CF5">
            <w:pPr>
              <w:pStyle w:val="TableParagraph"/>
              <w:spacing w:before="6"/>
              <w:rPr>
                <w:sz w:val="23"/>
              </w:rPr>
            </w:pPr>
          </w:p>
          <w:p w:rsidR="003E7CF5" w:rsidRDefault="00024B00">
            <w:pPr>
              <w:pStyle w:val="TableParagraph"/>
              <w:ind w:left="114"/>
              <w:rPr>
                <w:b/>
              </w:rPr>
            </w:pPr>
            <w:r>
              <w:rPr>
                <w:b/>
              </w:rPr>
              <w:t>Secret défense</w:t>
            </w:r>
          </w:p>
        </w:tc>
      </w:tr>
      <w:tr w:rsidR="003E7CF5">
        <w:trPr>
          <w:trHeight w:val="272"/>
        </w:trPr>
        <w:tc>
          <w:tcPr>
            <w:tcW w:w="1507" w:type="dxa"/>
            <w:tcBorders>
              <w:top w:val="single" w:sz="12" w:space="0" w:color="4471C4"/>
            </w:tcBorders>
          </w:tcPr>
          <w:p w:rsidR="003E7CF5" w:rsidRDefault="00024B00">
            <w:pPr>
              <w:pStyle w:val="TableParagraph"/>
              <w:spacing w:before="7"/>
              <w:ind w:left="117"/>
              <w:rPr>
                <w:i/>
                <w:sz w:val="18"/>
              </w:rPr>
            </w:pPr>
            <w:r>
              <w:rPr>
                <w:i/>
                <w:sz w:val="18"/>
              </w:rPr>
              <w:t>Répartition</w:t>
            </w:r>
          </w:p>
        </w:tc>
        <w:tc>
          <w:tcPr>
            <w:tcW w:w="1676" w:type="dxa"/>
            <w:tcBorders>
              <w:top w:val="single" w:sz="12" w:space="0" w:color="4471C4"/>
            </w:tcBorders>
          </w:tcPr>
          <w:p w:rsidR="003E7CF5" w:rsidRDefault="00024B00">
            <w:pPr>
              <w:pStyle w:val="TableParagraph"/>
              <w:spacing w:before="7"/>
              <w:ind w:left="491" w:right="404"/>
              <w:jc w:val="center"/>
              <w:rPr>
                <w:i/>
                <w:sz w:val="18"/>
              </w:rPr>
            </w:pPr>
            <w:r>
              <w:rPr>
                <w:i/>
                <w:sz w:val="18"/>
              </w:rPr>
              <w:t>13%</w:t>
            </w:r>
          </w:p>
        </w:tc>
        <w:tc>
          <w:tcPr>
            <w:tcW w:w="1588" w:type="dxa"/>
            <w:tcBorders>
              <w:top w:val="single" w:sz="12" w:space="0" w:color="4471C4"/>
            </w:tcBorders>
          </w:tcPr>
          <w:p w:rsidR="003E7CF5" w:rsidRDefault="00024B00">
            <w:pPr>
              <w:pStyle w:val="TableParagraph"/>
              <w:spacing w:before="7"/>
              <w:ind w:left="405" w:right="402"/>
              <w:jc w:val="center"/>
              <w:rPr>
                <w:i/>
                <w:sz w:val="18"/>
              </w:rPr>
            </w:pPr>
            <w:r>
              <w:rPr>
                <w:i/>
                <w:sz w:val="18"/>
              </w:rPr>
              <w:t>13%</w:t>
            </w:r>
          </w:p>
        </w:tc>
        <w:tc>
          <w:tcPr>
            <w:tcW w:w="1493" w:type="dxa"/>
            <w:tcBorders>
              <w:top w:val="single" w:sz="12" w:space="0" w:color="4471C4"/>
            </w:tcBorders>
          </w:tcPr>
          <w:p w:rsidR="003E7CF5" w:rsidRDefault="00024B00">
            <w:pPr>
              <w:pStyle w:val="TableParagraph"/>
              <w:spacing w:before="7"/>
              <w:ind w:left="403" w:right="309"/>
              <w:jc w:val="center"/>
              <w:rPr>
                <w:i/>
                <w:sz w:val="18"/>
              </w:rPr>
            </w:pPr>
            <w:r>
              <w:rPr>
                <w:i/>
                <w:sz w:val="18"/>
              </w:rPr>
              <w:t>60%</w:t>
            </w:r>
          </w:p>
        </w:tc>
        <w:tc>
          <w:tcPr>
            <w:tcW w:w="1740" w:type="dxa"/>
            <w:tcBorders>
              <w:top w:val="single" w:sz="12" w:space="0" w:color="4471C4"/>
            </w:tcBorders>
          </w:tcPr>
          <w:p w:rsidR="003E7CF5" w:rsidRDefault="00024B00">
            <w:pPr>
              <w:pStyle w:val="TableParagraph"/>
              <w:spacing w:before="7"/>
              <w:ind w:left="541" w:right="499"/>
              <w:jc w:val="center"/>
              <w:rPr>
                <w:i/>
                <w:sz w:val="18"/>
              </w:rPr>
            </w:pPr>
            <w:r>
              <w:rPr>
                <w:i/>
                <w:sz w:val="18"/>
              </w:rPr>
              <w:t>11%</w:t>
            </w:r>
          </w:p>
        </w:tc>
        <w:tc>
          <w:tcPr>
            <w:tcW w:w="1529" w:type="dxa"/>
            <w:tcBorders>
              <w:top w:val="single" w:sz="12" w:space="0" w:color="4471C4"/>
            </w:tcBorders>
          </w:tcPr>
          <w:p w:rsidR="003E7CF5" w:rsidRDefault="00024B00">
            <w:pPr>
              <w:pStyle w:val="TableParagraph"/>
              <w:spacing w:before="7"/>
              <w:ind w:left="387" w:right="440"/>
              <w:jc w:val="center"/>
              <w:rPr>
                <w:i/>
                <w:sz w:val="18"/>
              </w:rPr>
            </w:pPr>
            <w:r>
              <w:rPr>
                <w:i/>
                <w:sz w:val="18"/>
              </w:rPr>
              <w:t>2%</w:t>
            </w:r>
          </w:p>
        </w:tc>
      </w:tr>
      <w:tr w:rsidR="003E7CF5">
        <w:trPr>
          <w:trHeight w:val="397"/>
        </w:trPr>
        <w:tc>
          <w:tcPr>
            <w:tcW w:w="1507" w:type="dxa"/>
          </w:tcPr>
          <w:p w:rsidR="003E7CF5" w:rsidRDefault="00024B00">
            <w:pPr>
              <w:pStyle w:val="TableParagraph"/>
              <w:spacing w:before="48"/>
              <w:ind w:left="177"/>
              <w:rPr>
                <w:b/>
                <w:sz w:val="24"/>
              </w:rPr>
            </w:pPr>
            <w:r>
              <w:rPr>
                <w:b/>
                <w:sz w:val="24"/>
              </w:rPr>
              <w:t>[0;1]</w:t>
            </w:r>
          </w:p>
        </w:tc>
        <w:tc>
          <w:tcPr>
            <w:tcW w:w="1676" w:type="dxa"/>
          </w:tcPr>
          <w:p w:rsidR="003E7CF5" w:rsidRDefault="00024B00">
            <w:pPr>
              <w:pStyle w:val="TableParagraph"/>
              <w:spacing w:before="48"/>
              <w:ind w:left="491" w:right="404"/>
              <w:jc w:val="center"/>
              <w:rPr>
                <w:sz w:val="24"/>
              </w:rPr>
            </w:pPr>
            <w:r>
              <w:rPr>
                <w:sz w:val="24"/>
              </w:rPr>
              <w:t>0,0018</w:t>
            </w:r>
          </w:p>
        </w:tc>
        <w:tc>
          <w:tcPr>
            <w:tcW w:w="1588" w:type="dxa"/>
          </w:tcPr>
          <w:p w:rsidR="003E7CF5" w:rsidRDefault="00024B00">
            <w:pPr>
              <w:pStyle w:val="TableParagraph"/>
              <w:spacing w:before="48"/>
              <w:ind w:left="406" w:right="402"/>
              <w:jc w:val="center"/>
              <w:rPr>
                <w:sz w:val="24"/>
              </w:rPr>
            </w:pPr>
            <w:r>
              <w:rPr>
                <w:sz w:val="24"/>
              </w:rPr>
              <w:t>-0,0127</w:t>
            </w:r>
          </w:p>
        </w:tc>
        <w:tc>
          <w:tcPr>
            <w:tcW w:w="1493" w:type="dxa"/>
          </w:tcPr>
          <w:p w:rsidR="003E7CF5" w:rsidRDefault="00024B00">
            <w:pPr>
              <w:pStyle w:val="TableParagraph"/>
              <w:spacing w:before="48"/>
              <w:ind w:left="403" w:right="309"/>
              <w:jc w:val="center"/>
              <w:rPr>
                <w:sz w:val="24"/>
              </w:rPr>
            </w:pPr>
            <w:r>
              <w:rPr>
                <w:sz w:val="24"/>
              </w:rPr>
              <w:t>-0,0106</w:t>
            </w:r>
          </w:p>
        </w:tc>
        <w:tc>
          <w:tcPr>
            <w:tcW w:w="1740" w:type="dxa"/>
          </w:tcPr>
          <w:p w:rsidR="003E7CF5" w:rsidRDefault="00024B00">
            <w:pPr>
              <w:pStyle w:val="TableParagraph"/>
              <w:spacing w:before="48"/>
              <w:ind w:left="541" w:right="499"/>
              <w:jc w:val="center"/>
              <w:rPr>
                <w:sz w:val="24"/>
              </w:rPr>
            </w:pPr>
            <w:r>
              <w:rPr>
                <w:sz w:val="24"/>
              </w:rPr>
              <w:t>0,0024</w:t>
            </w:r>
          </w:p>
        </w:tc>
        <w:tc>
          <w:tcPr>
            <w:tcW w:w="1529" w:type="dxa"/>
          </w:tcPr>
          <w:p w:rsidR="003E7CF5" w:rsidRDefault="00024B00">
            <w:pPr>
              <w:pStyle w:val="TableParagraph"/>
              <w:spacing w:before="48"/>
              <w:ind w:left="387" w:right="441"/>
              <w:jc w:val="center"/>
              <w:rPr>
                <w:sz w:val="24"/>
              </w:rPr>
            </w:pPr>
            <w:r>
              <w:rPr>
                <w:sz w:val="24"/>
              </w:rPr>
              <w:t>0,0391</w:t>
            </w:r>
          </w:p>
        </w:tc>
      </w:tr>
      <w:tr w:rsidR="003E7CF5">
        <w:trPr>
          <w:trHeight w:val="415"/>
        </w:trPr>
        <w:tc>
          <w:tcPr>
            <w:tcW w:w="1507" w:type="dxa"/>
          </w:tcPr>
          <w:p w:rsidR="003E7CF5" w:rsidRDefault="00024B00">
            <w:pPr>
              <w:pStyle w:val="TableParagraph"/>
              <w:spacing w:before="64"/>
              <w:ind w:left="117"/>
              <w:rPr>
                <w:i/>
                <w:sz w:val="20"/>
              </w:rPr>
            </w:pPr>
            <w:r>
              <w:rPr>
                <w:i/>
                <w:sz w:val="20"/>
              </w:rPr>
              <w:t>t-value</w:t>
            </w:r>
          </w:p>
        </w:tc>
        <w:tc>
          <w:tcPr>
            <w:tcW w:w="1676" w:type="dxa"/>
          </w:tcPr>
          <w:p w:rsidR="003E7CF5" w:rsidRDefault="00024B00">
            <w:pPr>
              <w:pStyle w:val="TableParagraph"/>
              <w:spacing w:before="64"/>
              <w:ind w:left="491" w:right="404"/>
              <w:jc w:val="center"/>
              <w:rPr>
                <w:i/>
                <w:sz w:val="20"/>
              </w:rPr>
            </w:pPr>
            <w:r>
              <w:rPr>
                <w:i/>
                <w:sz w:val="20"/>
              </w:rPr>
              <w:t>0,3847</w:t>
            </w:r>
          </w:p>
        </w:tc>
        <w:tc>
          <w:tcPr>
            <w:tcW w:w="1588" w:type="dxa"/>
          </w:tcPr>
          <w:p w:rsidR="003E7CF5" w:rsidRDefault="00024B00">
            <w:pPr>
              <w:pStyle w:val="TableParagraph"/>
              <w:spacing w:before="64"/>
              <w:ind w:left="402" w:right="402"/>
              <w:jc w:val="center"/>
              <w:rPr>
                <w:i/>
                <w:sz w:val="20"/>
              </w:rPr>
            </w:pPr>
            <w:r>
              <w:rPr>
                <w:i/>
                <w:sz w:val="20"/>
              </w:rPr>
              <w:t>-2,6997</w:t>
            </w:r>
          </w:p>
        </w:tc>
        <w:tc>
          <w:tcPr>
            <w:tcW w:w="1493" w:type="dxa"/>
          </w:tcPr>
          <w:p w:rsidR="003E7CF5" w:rsidRDefault="00024B00">
            <w:pPr>
              <w:pStyle w:val="TableParagraph"/>
              <w:spacing w:before="64"/>
              <w:ind w:left="398" w:right="309"/>
              <w:jc w:val="center"/>
              <w:rPr>
                <w:i/>
                <w:sz w:val="20"/>
              </w:rPr>
            </w:pPr>
            <w:r>
              <w:rPr>
                <w:i/>
                <w:sz w:val="20"/>
              </w:rPr>
              <w:t>-2,2526</w:t>
            </w:r>
          </w:p>
        </w:tc>
        <w:tc>
          <w:tcPr>
            <w:tcW w:w="1740" w:type="dxa"/>
          </w:tcPr>
          <w:p w:rsidR="003E7CF5" w:rsidRDefault="00024B00">
            <w:pPr>
              <w:pStyle w:val="TableParagraph"/>
              <w:spacing w:before="64"/>
              <w:ind w:left="541" w:right="499"/>
              <w:jc w:val="center"/>
              <w:rPr>
                <w:i/>
                <w:sz w:val="20"/>
              </w:rPr>
            </w:pPr>
            <w:r>
              <w:rPr>
                <w:i/>
                <w:sz w:val="20"/>
              </w:rPr>
              <w:t>0,5113</w:t>
            </w:r>
          </w:p>
        </w:tc>
        <w:tc>
          <w:tcPr>
            <w:tcW w:w="1529" w:type="dxa"/>
          </w:tcPr>
          <w:p w:rsidR="003E7CF5" w:rsidRDefault="00024B00">
            <w:pPr>
              <w:pStyle w:val="TableParagraph"/>
              <w:spacing w:before="64"/>
              <w:ind w:left="387" w:right="441"/>
              <w:jc w:val="center"/>
              <w:rPr>
                <w:i/>
                <w:sz w:val="20"/>
              </w:rPr>
            </w:pPr>
            <w:r>
              <w:rPr>
                <w:i/>
                <w:sz w:val="20"/>
              </w:rPr>
              <w:t>5,6435</w:t>
            </w:r>
          </w:p>
        </w:tc>
      </w:tr>
      <w:tr w:rsidR="003E7CF5">
        <w:trPr>
          <w:trHeight w:val="459"/>
        </w:trPr>
        <w:tc>
          <w:tcPr>
            <w:tcW w:w="1507" w:type="dxa"/>
          </w:tcPr>
          <w:p w:rsidR="003E7CF5" w:rsidRDefault="00024B00">
            <w:pPr>
              <w:pStyle w:val="TableParagraph"/>
              <w:spacing w:before="111"/>
              <w:ind w:left="177"/>
              <w:rPr>
                <w:b/>
                <w:sz w:val="24"/>
              </w:rPr>
            </w:pPr>
            <w:r>
              <w:rPr>
                <w:b/>
                <w:sz w:val="24"/>
              </w:rPr>
              <w:t>[0;3]</w:t>
            </w:r>
          </w:p>
        </w:tc>
        <w:tc>
          <w:tcPr>
            <w:tcW w:w="1676" w:type="dxa"/>
          </w:tcPr>
          <w:p w:rsidR="003E7CF5" w:rsidRDefault="00024B00">
            <w:pPr>
              <w:pStyle w:val="TableParagraph"/>
              <w:spacing w:before="111"/>
              <w:ind w:left="491" w:right="404"/>
              <w:jc w:val="center"/>
              <w:rPr>
                <w:sz w:val="24"/>
              </w:rPr>
            </w:pPr>
            <w:r>
              <w:rPr>
                <w:sz w:val="24"/>
              </w:rPr>
              <w:t>-0,0060</w:t>
            </w:r>
          </w:p>
        </w:tc>
        <w:tc>
          <w:tcPr>
            <w:tcW w:w="1588" w:type="dxa"/>
          </w:tcPr>
          <w:p w:rsidR="003E7CF5" w:rsidRDefault="00024B00">
            <w:pPr>
              <w:pStyle w:val="TableParagraph"/>
              <w:spacing w:before="111"/>
              <w:ind w:left="406" w:right="402"/>
              <w:jc w:val="center"/>
              <w:rPr>
                <w:sz w:val="24"/>
              </w:rPr>
            </w:pPr>
            <w:r>
              <w:rPr>
                <w:sz w:val="24"/>
              </w:rPr>
              <w:t>-0,0165</w:t>
            </w:r>
          </w:p>
        </w:tc>
        <w:tc>
          <w:tcPr>
            <w:tcW w:w="1493" w:type="dxa"/>
          </w:tcPr>
          <w:p w:rsidR="003E7CF5" w:rsidRDefault="00024B00">
            <w:pPr>
              <w:pStyle w:val="TableParagraph"/>
              <w:spacing w:before="111"/>
              <w:ind w:left="403" w:right="309"/>
              <w:jc w:val="center"/>
              <w:rPr>
                <w:sz w:val="24"/>
              </w:rPr>
            </w:pPr>
            <w:r>
              <w:rPr>
                <w:sz w:val="24"/>
              </w:rPr>
              <w:t>-0,0124</w:t>
            </w:r>
          </w:p>
        </w:tc>
        <w:tc>
          <w:tcPr>
            <w:tcW w:w="1740" w:type="dxa"/>
          </w:tcPr>
          <w:p w:rsidR="003E7CF5" w:rsidRDefault="00024B00">
            <w:pPr>
              <w:pStyle w:val="TableParagraph"/>
              <w:spacing w:before="111"/>
              <w:ind w:left="541" w:right="499"/>
              <w:jc w:val="center"/>
              <w:rPr>
                <w:sz w:val="24"/>
              </w:rPr>
            </w:pPr>
            <w:r>
              <w:rPr>
                <w:sz w:val="24"/>
              </w:rPr>
              <w:t>0,0241</w:t>
            </w:r>
          </w:p>
        </w:tc>
        <w:tc>
          <w:tcPr>
            <w:tcW w:w="1529" w:type="dxa"/>
          </w:tcPr>
          <w:p w:rsidR="003E7CF5" w:rsidRDefault="00024B00">
            <w:pPr>
              <w:pStyle w:val="TableParagraph"/>
              <w:spacing w:before="111"/>
              <w:ind w:left="387" w:right="441"/>
              <w:jc w:val="center"/>
              <w:rPr>
                <w:sz w:val="24"/>
              </w:rPr>
            </w:pPr>
            <w:r>
              <w:rPr>
                <w:sz w:val="24"/>
              </w:rPr>
              <w:t>0,0474</w:t>
            </w:r>
          </w:p>
        </w:tc>
      </w:tr>
      <w:tr w:rsidR="003E7CF5">
        <w:trPr>
          <w:trHeight w:val="415"/>
        </w:trPr>
        <w:tc>
          <w:tcPr>
            <w:tcW w:w="1507" w:type="dxa"/>
          </w:tcPr>
          <w:p w:rsidR="003E7CF5" w:rsidRDefault="00024B00">
            <w:pPr>
              <w:pStyle w:val="TableParagraph"/>
              <w:spacing w:before="64"/>
              <w:ind w:left="117"/>
              <w:rPr>
                <w:i/>
                <w:sz w:val="20"/>
              </w:rPr>
            </w:pPr>
            <w:r>
              <w:rPr>
                <w:i/>
                <w:sz w:val="20"/>
              </w:rPr>
              <w:t>t-value</w:t>
            </w:r>
          </w:p>
        </w:tc>
        <w:tc>
          <w:tcPr>
            <w:tcW w:w="1676" w:type="dxa"/>
          </w:tcPr>
          <w:p w:rsidR="003E7CF5" w:rsidRDefault="00024B00">
            <w:pPr>
              <w:pStyle w:val="TableParagraph"/>
              <w:spacing w:before="64"/>
              <w:ind w:left="486" w:right="404"/>
              <w:jc w:val="center"/>
              <w:rPr>
                <w:i/>
                <w:sz w:val="20"/>
              </w:rPr>
            </w:pPr>
            <w:r>
              <w:rPr>
                <w:i/>
                <w:sz w:val="20"/>
              </w:rPr>
              <w:t>-1,2846</w:t>
            </w:r>
          </w:p>
        </w:tc>
        <w:tc>
          <w:tcPr>
            <w:tcW w:w="1588" w:type="dxa"/>
          </w:tcPr>
          <w:p w:rsidR="003E7CF5" w:rsidRDefault="00024B00">
            <w:pPr>
              <w:pStyle w:val="TableParagraph"/>
              <w:spacing w:before="64"/>
              <w:ind w:left="402" w:right="402"/>
              <w:jc w:val="center"/>
              <w:rPr>
                <w:i/>
                <w:sz w:val="20"/>
              </w:rPr>
            </w:pPr>
            <w:r>
              <w:rPr>
                <w:i/>
                <w:sz w:val="20"/>
              </w:rPr>
              <w:t>-3,4952</w:t>
            </w:r>
          </w:p>
        </w:tc>
        <w:tc>
          <w:tcPr>
            <w:tcW w:w="1493" w:type="dxa"/>
          </w:tcPr>
          <w:p w:rsidR="003E7CF5" w:rsidRDefault="00024B00">
            <w:pPr>
              <w:pStyle w:val="TableParagraph"/>
              <w:spacing w:before="64"/>
              <w:ind w:left="398" w:right="309"/>
              <w:jc w:val="center"/>
              <w:rPr>
                <w:i/>
                <w:sz w:val="20"/>
              </w:rPr>
            </w:pPr>
            <w:r>
              <w:rPr>
                <w:i/>
                <w:sz w:val="20"/>
              </w:rPr>
              <w:t>-2,6257</w:t>
            </w:r>
          </w:p>
        </w:tc>
        <w:tc>
          <w:tcPr>
            <w:tcW w:w="1740" w:type="dxa"/>
          </w:tcPr>
          <w:p w:rsidR="003E7CF5" w:rsidRDefault="00024B00">
            <w:pPr>
              <w:pStyle w:val="TableParagraph"/>
              <w:spacing w:before="64"/>
              <w:ind w:left="541" w:right="499"/>
              <w:jc w:val="center"/>
              <w:rPr>
                <w:i/>
                <w:sz w:val="20"/>
              </w:rPr>
            </w:pPr>
            <w:r>
              <w:rPr>
                <w:i/>
                <w:sz w:val="20"/>
              </w:rPr>
              <w:t>5,1292</w:t>
            </w:r>
          </w:p>
        </w:tc>
        <w:tc>
          <w:tcPr>
            <w:tcW w:w="1529" w:type="dxa"/>
          </w:tcPr>
          <w:p w:rsidR="003E7CF5" w:rsidRDefault="00024B00">
            <w:pPr>
              <w:pStyle w:val="TableParagraph"/>
              <w:spacing w:before="64"/>
              <w:ind w:left="387" w:right="441"/>
              <w:jc w:val="center"/>
              <w:rPr>
                <w:i/>
                <w:sz w:val="20"/>
              </w:rPr>
            </w:pPr>
            <w:r>
              <w:rPr>
                <w:i/>
                <w:sz w:val="20"/>
              </w:rPr>
              <w:t>6,4885</w:t>
            </w:r>
          </w:p>
        </w:tc>
      </w:tr>
      <w:tr w:rsidR="003E7CF5">
        <w:trPr>
          <w:trHeight w:val="457"/>
        </w:trPr>
        <w:tc>
          <w:tcPr>
            <w:tcW w:w="1507" w:type="dxa"/>
          </w:tcPr>
          <w:p w:rsidR="003E7CF5" w:rsidRDefault="00024B00">
            <w:pPr>
              <w:pStyle w:val="TableParagraph"/>
              <w:spacing w:before="111"/>
              <w:ind w:left="117"/>
              <w:rPr>
                <w:b/>
                <w:sz w:val="24"/>
              </w:rPr>
            </w:pPr>
            <w:r>
              <w:rPr>
                <w:b/>
                <w:sz w:val="24"/>
              </w:rPr>
              <w:t>[- 1;1]</w:t>
            </w:r>
          </w:p>
        </w:tc>
        <w:tc>
          <w:tcPr>
            <w:tcW w:w="1676" w:type="dxa"/>
          </w:tcPr>
          <w:p w:rsidR="003E7CF5" w:rsidRDefault="00024B00">
            <w:pPr>
              <w:pStyle w:val="TableParagraph"/>
              <w:spacing w:before="111"/>
              <w:ind w:left="491" w:right="404"/>
              <w:jc w:val="center"/>
              <w:rPr>
                <w:sz w:val="24"/>
              </w:rPr>
            </w:pPr>
            <w:r>
              <w:rPr>
                <w:sz w:val="24"/>
              </w:rPr>
              <w:t>-0,0032</w:t>
            </w:r>
          </w:p>
        </w:tc>
        <w:tc>
          <w:tcPr>
            <w:tcW w:w="1588" w:type="dxa"/>
          </w:tcPr>
          <w:p w:rsidR="003E7CF5" w:rsidRDefault="00024B00">
            <w:pPr>
              <w:pStyle w:val="TableParagraph"/>
              <w:spacing w:before="111"/>
              <w:ind w:left="406" w:right="402"/>
              <w:jc w:val="center"/>
              <w:rPr>
                <w:sz w:val="24"/>
              </w:rPr>
            </w:pPr>
            <w:r>
              <w:rPr>
                <w:sz w:val="24"/>
              </w:rPr>
              <w:t>-0,0194</w:t>
            </w:r>
          </w:p>
        </w:tc>
        <w:tc>
          <w:tcPr>
            <w:tcW w:w="1493" w:type="dxa"/>
          </w:tcPr>
          <w:p w:rsidR="003E7CF5" w:rsidRDefault="00024B00">
            <w:pPr>
              <w:pStyle w:val="TableParagraph"/>
              <w:spacing w:before="111"/>
              <w:ind w:left="403" w:right="309"/>
              <w:jc w:val="center"/>
              <w:rPr>
                <w:sz w:val="24"/>
              </w:rPr>
            </w:pPr>
            <w:r>
              <w:rPr>
                <w:sz w:val="24"/>
              </w:rPr>
              <w:t>0,0005</w:t>
            </w:r>
          </w:p>
        </w:tc>
        <w:tc>
          <w:tcPr>
            <w:tcW w:w="1740" w:type="dxa"/>
          </w:tcPr>
          <w:p w:rsidR="003E7CF5" w:rsidRDefault="00024B00">
            <w:pPr>
              <w:pStyle w:val="TableParagraph"/>
              <w:spacing w:before="111"/>
              <w:ind w:left="541" w:right="499"/>
              <w:jc w:val="center"/>
              <w:rPr>
                <w:sz w:val="24"/>
              </w:rPr>
            </w:pPr>
            <w:r>
              <w:rPr>
                <w:sz w:val="24"/>
              </w:rPr>
              <w:t>0,0120</w:t>
            </w:r>
          </w:p>
        </w:tc>
        <w:tc>
          <w:tcPr>
            <w:tcW w:w="1529" w:type="dxa"/>
          </w:tcPr>
          <w:p w:rsidR="003E7CF5" w:rsidRDefault="00024B00">
            <w:pPr>
              <w:pStyle w:val="TableParagraph"/>
              <w:spacing w:before="111"/>
              <w:ind w:left="387" w:right="441"/>
              <w:jc w:val="center"/>
              <w:rPr>
                <w:sz w:val="24"/>
              </w:rPr>
            </w:pPr>
            <w:r>
              <w:rPr>
                <w:sz w:val="24"/>
              </w:rPr>
              <w:t>0,0440</w:t>
            </w:r>
          </w:p>
        </w:tc>
      </w:tr>
      <w:tr w:rsidR="003E7CF5">
        <w:trPr>
          <w:trHeight w:val="413"/>
        </w:trPr>
        <w:tc>
          <w:tcPr>
            <w:tcW w:w="1507" w:type="dxa"/>
          </w:tcPr>
          <w:p w:rsidR="003E7CF5" w:rsidRDefault="00024B00">
            <w:pPr>
              <w:pStyle w:val="TableParagraph"/>
              <w:spacing w:before="61"/>
              <w:ind w:left="117"/>
              <w:rPr>
                <w:i/>
                <w:sz w:val="20"/>
              </w:rPr>
            </w:pPr>
            <w:r>
              <w:rPr>
                <w:i/>
                <w:sz w:val="20"/>
              </w:rPr>
              <w:t>t-value</w:t>
            </w:r>
          </w:p>
        </w:tc>
        <w:tc>
          <w:tcPr>
            <w:tcW w:w="1676" w:type="dxa"/>
          </w:tcPr>
          <w:p w:rsidR="003E7CF5" w:rsidRDefault="00024B00">
            <w:pPr>
              <w:pStyle w:val="TableParagraph"/>
              <w:spacing w:before="61"/>
              <w:ind w:left="486" w:right="404"/>
              <w:jc w:val="center"/>
              <w:rPr>
                <w:i/>
                <w:sz w:val="20"/>
              </w:rPr>
            </w:pPr>
            <w:r>
              <w:rPr>
                <w:i/>
                <w:sz w:val="20"/>
              </w:rPr>
              <w:t>-0,6882</w:t>
            </w:r>
          </w:p>
        </w:tc>
        <w:tc>
          <w:tcPr>
            <w:tcW w:w="1588" w:type="dxa"/>
          </w:tcPr>
          <w:p w:rsidR="003E7CF5" w:rsidRDefault="00024B00">
            <w:pPr>
              <w:pStyle w:val="TableParagraph"/>
              <w:spacing w:before="61"/>
              <w:ind w:left="402" w:right="402"/>
              <w:jc w:val="center"/>
              <w:rPr>
                <w:i/>
                <w:sz w:val="20"/>
              </w:rPr>
            </w:pPr>
            <w:r>
              <w:rPr>
                <w:i/>
                <w:sz w:val="20"/>
              </w:rPr>
              <w:t>-4,1113</w:t>
            </w:r>
          </w:p>
        </w:tc>
        <w:tc>
          <w:tcPr>
            <w:tcW w:w="1493" w:type="dxa"/>
          </w:tcPr>
          <w:p w:rsidR="003E7CF5" w:rsidRDefault="00024B00">
            <w:pPr>
              <w:pStyle w:val="TableParagraph"/>
              <w:spacing w:before="61"/>
              <w:ind w:left="403" w:right="309"/>
              <w:jc w:val="center"/>
              <w:rPr>
                <w:i/>
                <w:sz w:val="20"/>
              </w:rPr>
            </w:pPr>
            <w:r>
              <w:rPr>
                <w:i/>
                <w:sz w:val="20"/>
              </w:rPr>
              <w:t>0,1033</w:t>
            </w:r>
          </w:p>
        </w:tc>
        <w:tc>
          <w:tcPr>
            <w:tcW w:w="1740" w:type="dxa"/>
          </w:tcPr>
          <w:p w:rsidR="003E7CF5" w:rsidRDefault="00024B00">
            <w:pPr>
              <w:pStyle w:val="TableParagraph"/>
              <w:spacing w:before="61"/>
              <w:ind w:left="541" w:right="499"/>
              <w:jc w:val="center"/>
              <w:rPr>
                <w:i/>
                <w:sz w:val="20"/>
              </w:rPr>
            </w:pPr>
            <w:r>
              <w:rPr>
                <w:i/>
                <w:sz w:val="20"/>
              </w:rPr>
              <w:t>2,5441</w:t>
            </w:r>
          </w:p>
        </w:tc>
        <w:tc>
          <w:tcPr>
            <w:tcW w:w="1529" w:type="dxa"/>
          </w:tcPr>
          <w:p w:rsidR="003E7CF5" w:rsidRDefault="00024B00">
            <w:pPr>
              <w:pStyle w:val="TableParagraph"/>
              <w:spacing w:before="61"/>
              <w:ind w:left="387" w:right="441"/>
              <w:jc w:val="center"/>
              <w:rPr>
                <w:i/>
                <w:sz w:val="20"/>
              </w:rPr>
            </w:pPr>
            <w:r>
              <w:rPr>
                <w:i/>
                <w:sz w:val="20"/>
              </w:rPr>
              <w:t>6,3462</w:t>
            </w:r>
          </w:p>
        </w:tc>
      </w:tr>
      <w:tr w:rsidR="003E7CF5">
        <w:trPr>
          <w:trHeight w:val="459"/>
        </w:trPr>
        <w:tc>
          <w:tcPr>
            <w:tcW w:w="1507" w:type="dxa"/>
          </w:tcPr>
          <w:p w:rsidR="003E7CF5" w:rsidRDefault="00024B00">
            <w:pPr>
              <w:pStyle w:val="TableParagraph"/>
              <w:spacing w:before="111"/>
              <w:ind w:left="117"/>
              <w:rPr>
                <w:b/>
                <w:sz w:val="24"/>
              </w:rPr>
            </w:pPr>
            <w:r>
              <w:rPr>
                <w:b/>
                <w:sz w:val="24"/>
              </w:rPr>
              <w:t>[-1;5]</w:t>
            </w:r>
          </w:p>
        </w:tc>
        <w:tc>
          <w:tcPr>
            <w:tcW w:w="1676" w:type="dxa"/>
          </w:tcPr>
          <w:p w:rsidR="003E7CF5" w:rsidRDefault="00024B00">
            <w:pPr>
              <w:pStyle w:val="TableParagraph"/>
              <w:spacing w:before="111"/>
              <w:ind w:left="491" w:right="404"/>
              <w:jc w:val="center"/>
              <w:rPr>
                <w:sz w:val="24"/>
              </w:rPr>
            </w:pPr>
            <w:r>
              <w:rPr>
                <w:sz w:val="24"/>
              </w:rPr>
              <w:t>0,0059</w:t>
            </w:r>
          </w:p>
        </w:tc>
        <w:tc>
          <w:tcPr>
            <w:tcW w:w="1588" w:type="dxa"/>
          </w:tcPr>
          <w:p w:rsidR="003E7CF5" w:rsidRDefault="00024B00">
            <w:pPr>
              <w:pStyle w:val="TableParagraph"/>
              <w:spacing w:before="111"/>
              <w:ind w:left="406" w:right="402"/>
              <w:jc w:val="center"/>
              <w:rPr>
                <w:sz w:val="24"/>
              </w:rPr>
            </w:pPr>
            <w:r>
              <w:rPr>
                <w:sz w:val="24"/>
              </w:rPr>
              <w:t>-0,0173</w:t>
            </w:r>
          </w:p>
        </w:tc>
        <w:tc>
          <w:tcPr>
            <w:tcW w:w="1493" w:type="dxa"/>
          </w:tcPr>
          <w:p w:rsidR="003E7CF5" w:rsidRDefault="00024B00">
            <w:pPr>
              <w:pStyle w:val="TableParagraph"/>
              <w:spacing w:before="111"/>
              <w:ind w:left="403" w:right="309"/>
              <w:jc w:val="center"/>
              <w:rPr>
                <w:sz w:val="24"/>
              </w:rPr>
            </w:pPr>
            <w:r>
              <w:rPr>
                <w:sz w:val="24"/>
              </w:rPr>
              <w:t>0,0038</w:t>
            </w:r>
          </w:p>
        </w:tc>
        <w:tc>
          <w:tcPr>
            <w:tcW w:w="1740" w:type="dxa"/>
          </w:tcPr>
          <w:p w:rsidR="003E7CF5" w:rsidRDefault="00024B00">
            <w:pPr>
              <w:pStyle w:val="TableParagraph"/>
              <w:spacing w:before="111"/>
              <w:ind w:left="541" w:right="499"/>
              <w:jc w:val="center"/>
              <w:rPr>
                <w:sz w:val="24"/>
              </w:rPr>
            </w:pPr>
            <w:r>
              <w:rPr>
                <w:sz w:val="24"/>
              </w:rPr>
              <w:t>0,0470</w:t>
            </w:r>
          </w:p>
        </w:tc>
        <w:tc>
          <w:tcPr>
            <w:tcW w:w="1529" w:type="dxa"/>
          </w:tcPr>
          <w:p w:rsidR="003E7CF5" w:rsidRDefault="00024B00">
            <w:pPr>
              <w:pStyle w:val="TableParagraph"/>
              <w:spacing w:before="111"/>
              <w:ind w:left="387" w:right="441"/>
              <w:jc w:val="center"/>
              <w:rPr>
                <w:sz w:val="24"/>
              </w:rPr>
            </w:pPr>
            <w:r>
              <w:rPr>
                <w:sz w:val="24"/>
              </w:rPr>
              <w:t>0,0555</w:t>
            </w:r>
          </w:p>
        </w:tc>
      </w:tr>
      <w:tr w:rsidR="003E7CF5">
        <w:trPr>
          <w:trHeight w:val="525"/>
        </w:trPr>
        <w:tc>
          <w:tcPr>
            <w:tcW w:w="1507" w:type="dxa"/>
            <w:tcBorders>
              <w:bottom w:val="single" w:sz="12" w:space="0" w:color="000000"/>
            </w:tcBorders>
          </w:tcPr>
          <w:p w:rsidR="003E7CF5" w:rsidRDefault="00024B00">
            <w:pPr>
              <w:pStyle w:val="TableParagraph"/>
              <w:spacing w:before="64"/>
              <w:ind w:left="117"/>
              <w:rPr>
                <w:i/>
                <w:sz w:val="20"/>
              </w:rPr>
            </w:pPr>
            <w:r>
              <w:rPr>
                <w:i/>
                <w:sz w:val="20"/>
              </w:rPr>
              <w:t>t-value</w:t>
            </w:r>
          </w:p>
        </w:tc>
        <w:tc>
          <w:tcPr>
            <w:tcW w:w="1676" w:type="dxa"/>
            <w:tcBorders>
              <w:bottom w:val="single" w:sz="12" w:space="0" w:color="000000"/>
            </w:tcBorders>
          </w:tcPr>
          <w:p w:rsidR="003E7CF5" w:rsidRDefault="00024B00">
            <w:pPr>
              <w:pStyle w:val="TableParagraph"/>
              <w:spacing w:before="64"/>
              <w:ind w:left="491" w:right="404"/>
              <w:jc w:val="center"/>
              <w:rPr>
                <w:i/>
                <w:sz w:val="20"/>
              </w:rPr>
            </w:pPr>
            <w:r>
              <w:rPr>
                <w:i/>
                <w:sz w:val="20"/>
              </w:rPr>
              <w:t>1,2522</w:t>
            </w:r>
          </w:p>
        </w:tc>
        <w:tc>
          <w:tcPr>
            <w:tcW w:w="1588" w:type="dxa"/>
            <w:tcBorders>
              <w:bottom w:val="single" w:sz="12" w:space="0" w:color="000000"/>
            </w:tcBorders>
          </w:tcPr>
          <w:p w:rsidR="003E7CF5" w:rsidRDefault="00024B00">
            <w:pPr>
              <w:pStyle w:val="TableParagraph"/>
              <w:spacing w:before="64"/>
              <w:ind w:left="402" w:right="402"/>
              <w:jc w:val="center"/>
              <w:rPr>
                <w:i/>
                <w:sz w:val="20"/>
              </w:rPr>
            </w:pPr>
            <w:r>
              <w:rPr>
                <w:i/>
                <w:sz w:val="20"/>
              </w:rPr>
              <w:t>-3,6860</w:t>
            </w:r>
          </w:p>
        </w:tc>
        <w:tc>
          <w:tcPr>
            <w:tcW w:w="1493" w:type="dxa"/>
            <w:tcBorders>
              <w:bottom w:val="single" w:sz="12" w:space="0" w:color="000000"/>
            </w:tcBorders>
          </w:tcPr>
          <w:p w:rsidR="003E7CF5" w:rsidRDefault="00024B00">
            <w:pPr>
              <w:pStyle w:val="TableParagraph"/>
              <w:spacing w:before="64"/>
              <w:ind w:left="403" w:right="309"/>
              <w:jc w:val="center"/>
              <w:rPr>
                <w:i/>
                <w:sz w:val="20"/>
              </w:rPr>
            </w:pPr>
            <w:r>
              <w:rPr>
                <w:i/>
                <w:sz w:val="20"/>
              </w:rPr>
              <w:t>0,8053</w:t>
            </w:r>
          </w:p>
        </w:tc>
        <w:tc>
          <w:tcPr>
            <w:tcW w:w="1740" w:type="dxa"/>
            <w:tcBorders>
              <w:bottom w:val="single" w:sz="12" w:space="0" w:color="000000"/>
            </w:tcBorders>
          </w:tcPr>
          <w:p w:rsidR="003E7CF5" w:rsidRDefault="00024B00">
            <w:pPr>
              <w:pStyle w:val="TableParagraph"/>
              <w:spacing w:before="64"/>
              <w:ind w:left="541" w:right="499"/>
              <w:jc w:val="center"/>
              <w:rPr>
                <w:i/>
                <w:sz w:val="20"/>
              </w:rPr>
            </w:pPr>
            <w:r>
              <w:rPr>
                <w:i/>
                <w:sz w:val="20"/>
              </w:rPr>
              <w:t>9,9885</w:t>
            </w:r>
          </w:p>
        </w:tc>
        <w:tc>
          <w:tcPr>
            <w:tcW w:w="1529" w:type="dxa"/>
            <w:tcBorders>
              <w:bottom w:val="single" w:sz="12" w:space="0" w:color="000000"/>
            </w:tcBorders>
          </w:tcPr>
          <w:p w:rsidR="003E7CF5" w:rsidRDefault="00024B00">
            <w:pPr>
              <w:pStyle w:val="TableParagraph"/>
              <w:spacing w:before="64"/>
              <w:ind w:left="387" w:right="441"/>
              <w:jc w:val="center"/>
              <w:rPr>
                <w:i/>
                <w:sz w:val="20"/>
              </w:rPr>
            </w:pPr>
            <w:r>
              <w:rPr>
                <w:i/>
                <w:sz w:val="20"/>
              </w:rPr>
              <w:t>8,0181</w:t>
            </w:r>
          </w:p>
        </w:tc>
      </w:tr>
    </w:tbl>
    <w:p w:rsidR="003E7CF5" w:rsidRDefault="003E7CF5">
      <w:pPr>
        <w:pStyle w:val="Corpsdetexte"/>
        <w:rPr>
          <w:sz w:val="22"/>
        </w:rPr>
      </w:pPr>
    </w:p>
    <w:p w:rsidR="003E7CF5" w:rsidRPr="00A5268B" w:rsidRDefault="00024B00" w:rsidP="008C59C3">
      <w:pPr>
        <w:pStyle w:val="Corpsdetexte"/>
        <w:spacing w:before="240" w:after="240" w:line="360" w:lineRule="auto"/>
        <w:ind w:left="142" w:right="50"/>
        <w:jc w:val="both"/>
      </w:pPr>
      <w:r>
        <w:t>L’hypothèse</w:t>
      </w:r>
      <w:r>
        <w:rPr>
          <w:spacing w:val="-8"/>
        </w:rPr>
        <w:t xml:space="preserve"> </w:t>
      </w:r>
      <w:r>
        <w:t>4</w:t>
      </w:r>
      <w:r>
        <w:rPr>
          <w:spacing w:val="-7"/>
        </w:rPr>
        <w:t xml:space="preserve"> </w:t>
      </w:r>
      <w:r>
        <w:t>selon</w:t>
      </w:r>
      <w:r>
        <w:rPr>
          <w:spacing w:val="-7"/>
        </w:rPr>
        <w:t xml:space="preserve"> </w:t>
      </w:r>
      <w:r>
        <w:t>laquelle</w:t>
      </w:r>
      <w:r>
        <w:rPr>
          <w:spacing w:val="-8"/>
        </w:rPr>
        <w:t xml:space="preserve"> </w:t>
      </w:r>
      <w:r>
        <w:t>une</w:t>
      </w:r>
      <w:r>
        <w:rPr>
          <w:spacing w:val="-3"/>
        </w:rPr>
        <w:t xml:space="preserve"> </w:t>
      </w:r>
      <w:r>
        <w:t>atteinte</w:t>
      </w:r>
      <w:r>
        <w:rPr>
          <w:spacing w:val="-8"/>
        </w:rPr>
        <w:t xml:space="preserve"> </w:t>
      </w:r>
      <w:r>
        <w:t>à</w:t>
      </w:r>
      <w:r>
        <w:rPr>
          <w:spacing w:val="-1"/>
        </w:rPr>
        <w:t xml:space="preserve"> </w:t>
      </w:r>
      <w:r>
        <w:t>la</w:t>
      </w:r>
      <w:r>
        <w:rPr>
          <w:spacing w:val="-8"/>
        </w:rPr>
        <w:t xml:space="preserve"> </w:t>
      </w:r>
      <w:r>
        <w:t>sécurité</w:t>
      </w:r>
      <w:r>
        <w:rPr>
          <w:spacing w:val="-3"/>
        </w:rPr>
        <w:t xml:space="preserve"> </w:t>
      </w:r>
      <w:r>
        <w:t>des</w:t>
      </w:r>
      <w:r>
        <w:rPr>
          <w:spacing w:val="-5"/>
        </w:rPr>
        <w:t xml:space="preserve"> </w:t>
      </w:r>
      <w:r>
        <w:t>systèmes</w:t>
      </w:r>
      <w:r>
        <w:rPr>
          <w:spacing w:val="-5"/>
        </w:rPr>
        <w:t xml:space="preserve"> </w:t>
      </w:r>
      <w:r>
        <w:t>d’information</w:t>
      </w:r>
      <w:r>
        <w:rPr>
          <w:spacing w:val="-7"/>
        </w:rPr>
        <w:t xml:space="preserve"> </w:t>
      </w:r>
      <w:r>
        <w:t>d’une</w:t>
      </w:r>
      <w:r>
        <w:rPr>
          <w:spacing w:val="-3"/>
        </w:rPr>
        <w:t xml:space="preserve"> </w:t>
      </w:r>
      <w:r>
        <w:t>entreprise entraîne une rentabilité anormalement négative de la valeur de ses actions lorsqu’elle est rendue publique en fonction du type de données touchées ou ciblées est vérifiée. On a pu observer que lorsque les données ne sont pas atteintes les rendements restent cohérents avec les tendances observées sur la période. En revanche, si des données sont atteintes des comportements</w:t>
      </w:r>
      <w:r>
        <w:rPr>
          <w:spacing w:val="23"/>
        </w:rPr>
        <w:t xml:space="preserve"> </w:t>
      </w:r>
      <w:r>
        <w:t>différents</w:t>
      </w:r>
      <w:r w:rsidR="008C59C3">
        <w:t xml:space="preserve"> </w:t>
      </w:r>
      <w:r>
        <w:t>sont constatés et peuvent être expliqués par plusieurs facteurs, dont le volume de données, ou leur niveau de confidentialité.</w:t>
      </w:r>
    </w:p>
    <w:p w:rsidR="003E7CF5" w:rsidRPr="00481040" w:rsidRDefault="00024B00" w:rsidP="008C59C3">
      <w:pPr>
        <w:pStyle w:val="Corpsdetexte"/>
        <w:spacing w:before="240" w:after="240" w:line="360" w:lineRule="auto"/>
        <w:ind w:left="142" w:right="50"/>
        <w:jc w:val="both"/>
        <w:rPr>
          <w:b/>
        </w:rPr>
      </w:pPr>
      <w:bookmarkStart w:id="37" w:name="Analyse_de_l’évolution_de_l’impact_des_c"/>
      <w:bookmarkEnd w:id="37"/>
      <w:r w:rsidRPr="00481040">
        <w:rPr>
          <w:b/>
        </w:rPr>
        <w:t>Analyse de l’évolution de l’impact des cyberattaques dans le temps</w:t>
      </w:r>
    </w:p>
    <w:p w:rsidR="003E7CF5" w:rsidRDefault="00024B00" w:rsidP="008C59C3">
      <w:pPr>
        <w:pStyle w:val="Corpsdetexte"/>
        <w:spacing w:before="240" w:after="240" w:line="360" w:lineRule="auto"/>
        <w:ind w:left="142" w:right="50"/>
        <w:jc w:val="both"/>
      </w:pPr>
      <w:r>
        <w:t>Globalement,</w:t>
      </w:r>
      <w:r>
        <w:rPr>
          <w:spacing w:val="-3"/>
        </w:rPr>
        <w:t xml:space="preserve"> </w:t>
      </w:r>
      <w:r>
        <w:t>jusqu’à</w:t>
      </w:r>
      <w:r>
        <w:rPr>
          <w:spacing w:val="-8"/>
        </w:rPr>
        <w:t xml:space="preserve"> </w:t>
      </w:r>
      <w:r>
        <w:t>présent</w:t>
      </w:r>
      <w:r>
        <w:rPr>
          <w:spacing w:val="-9"/>
        </w:rPr>
        <w:t xml:space="preserve"> </w:t>
      </w:r>
      <w:r>
        <w:t>nous</w:t>
      </w:r>
      <w:r>
        <w:rPr>
          <w:spacing w:val="-1"/>
        </w:rPr>
        <w:t xml:space="preserve"> </w:t>
      </w:r>
      <w:r>
        <w:t>avons</w:t>
      </w:r>
      <w:r>
        <w:rPr>
          <w:spacing w:val="-6"/>
        </w:rPr>
        <w:t xml:space="preserve"> </w:t>
      </w:r>
      <w:r>
        <w:t>pu</w:t>
      </w:r>
      <w:r>
        <w:rPr>
          <w:spacing w:val="-8"/>
        </w:rPr>
        <w:t xml:space="preserve"> </w:t>
      </w:r>
      <w:r>
        <w:t>valider</w:t>
      </w:r>
      <w:r>
        <w:rPr>
          <w:spacing w:val="-8"/>
        </w:rPr>
        <w:t xml:space="preserve"> </w:t>
      </w:r>
      <w:r>
        <w:t>l’ensemble</w:t>
      </w:r>
      <w:r>
        <w:rPr>
          <w:spacing w:val="-4"/>
        </w:rPr>
        <w:t xml:space="preserve"> </w:t>
      </w:r>
      <w:r>
        <w:t>des</w:t>
      </w:r>
      <w:r>
        <w:rPr>
          <w:spacing w:val="-6"/>
        </w:rPr>
        <w:t xml:space="preserve"> </w:t>
      </w:r>
      <w:r>
        <w:t>hypothèses</w:t>
      </w:r>
      <w:r>
        <w:rPr>
          <w:spacing w:val="-6"/>
        </w:rPr>
        <w:t xml:space="preserve"> </w:t>
      </w:r>
      <w:r>
        <w:t>à</w:t>
      </w:r>
      <w:r>
        <w:rPr>
          <w:spacing w:val="-4"/>
        </w:rPr>
        <w:t xml:space="preserve"> </w:t>
      </w:r>
      <w:r>
        <w:t>plusieurs</w:t>
      </w:r>
      <w:r>
        <w:rPr>
          <w:spacing w:val="-1"/>
        </w:rPr>
        <w:t xml:space="preserve"> </w:t>
      </w:r>
      <w:r>
        <w:t>degrés. Un très grand nombre d’observations ont démontré des RAMC négatifs selon différents critères</w:t>
      </w:r>
      <w:r>
        <w:rPr>
          <w:spacing w:val="-30"/>
        </w:rPr>
        <w:t xml:space="preserve"> </w:t>
      </w:r>
      <w:r>
        <w:t xml:space="preserve">et sur plusieurs fenêtres d’évènements. Notre dernière analyse cherche à démontrer si les cyberattaques entraînent des RAMC différents ces deux dernières années que les années </w:t>
      </w:r>
      <w:r>
        <w:lastRenderedPageBreak/>
        <w:t>précédentes.</w:t>
      </w:r>
      <w:r>
        <w:rPr>
          <w:spacing w:val="-3"/>
        </w:rPr>
        <w:t xml:space="preserve"> </w:t>
      </w:r>
      <w:r>
        <w:t>On</w:t>
      </w:r>
      <w:r>
        <w:rPr>
          <w:spacing w:val="-3"/>
        </w:rPr>
        <w:t xml:space="preserve"> </w:t>
      </w:r>
      <w:r>
        <w:t>a</w:t>
      </w:r>
      <w:r>
        <w:rPr>
          <w:spacing w:val="-5"/>
        </w:rPr>
        <w:t xml:space="preserve"> </w:t>
      </w:r>
      <w:r>
        <w:t>pu</w:t>
      </w:r>
      <w:r>
        <w:rPr>
          <w:spacing w:val="-3"/>
        </w:rPr>
        <w:t xml:space="preserve"> </w:t>
      </w:r>
      <w:r>
        <w:t>développer</w:t>
      </w:r>
      <w:r>
        <w:rPr>
          <w:spacing w:val="-3"/>
        </w:rPr>
        <w:t xml:space="preserve"> </w:t>
      </w:r>
      <w:r>
        <w:t>précédemment</w:t>
      </w:r>
      <w:r>
        <w:rPr>
          <w:spacing w:val="-5"/>
        </w:rPr>
        <w:t xml:space="preserve"> </w:t>
      </w:r>
      <w:r>
        <w:t>dans</w:t>
      </w:r>
      <w:r>
        <w:rPr>
          <w:spacing w:val="3"/>
        </w:rPr>
        <w:t xml:space="preserve"> </w:t>
      </w:r>
      <w:r>
        <w:t>cette</w:t>
      </w:r>
      <w:r>
        <w:rPr>
          <w:spacing w:val="-5"/>
        </w:rPr>
        <w:t xml:space="preserve"> </w:t>
      </w:r>
      <w:r>
        <w:t>étude</w:t>
      </w:r>
      <w:r>
        <w:rPr>
          <w:spacing w:val="-5"/>
        </w:rPr>
        <w:t xml:space="preserve"> </w:t>
      </w:r>
      <w:r>
        <w:t>la</w:t>
      </w:r>
      <w:r>
        <w:rPr>
          <w:spacing w:val="-5"/>
        </w:rPr>
        <w:t xml:space="preserve"> </w:t>
      </w:r>
      <w:r>
        <w:t>prise</w:t>
      </w:r>
      <w:r>
        <w:rPr>
          <w:spacing w:val="-5"/>
        </w:rPr>
        <w:t xml:space="preserve"> </w:t>
      </w:r>
      <w:r>
        <w:t>de</w:t>
      </w:r>
      <w:r>
        <w:rPr>
          <w:spacing w:val="-5"/>
        </w:rPr>
        <w:t xml:space="preserve"> </w:t>
      </w:r>
      <w:r>
        <w:t>conscience</w:t>
      </w:r>
      <w:r>
        <w:rPr>
          <w:spacing w:val="-5"/>
        </w:rPr>
        <w:t xml:space="preserve"> </w:t>
      </w:r>
      <w:r>
        <w:rPr>
          <w:spacing w:val="3"/>
        </w:rPr>
        <w:t>de</w:t>
      </w:r>
      <w:r>
        <w:rPr>
          <w:spacing w:val="-4"/>
        </w:rPr>
        <w:t xml:space="preserve"> </w:t>
      </w:r>
      <w:r>
        <w:t>tous</w:t>
      </w:r>
      <w:r>
        <w:rPr>
          <w:spacing w:val="-3"/>
        </w:rPr>
        <w:t xml:space="preserve"> </w:t>
      </w:r>
      <w:r>
        <w:t>les acteurs</w:t>
      </w:r>
      <w:r>
        <w:rPr>
          <w:spacing w:val="-3"/>
        </w:rPr>
        <w:t xml:space="preserve"> </w:t>
      </w:r>
      <w:r>
        <w:t>quant</w:t>
      </w:r>
      <w:r>
        <w:rPr>
          <w:spacing w:val="-5"/>
        </w:rPr>
        <w:t xml:space="preserve"> </w:t>
      </w:r>
      <w:r>
        <w:t>au</w:t>
      </w:r>
      <w:r>
        <w:rPr>
          <w:spacing w:val="-4"/>
        </w:rPr>
        <w:t xml:space="preserve"> </w:t>
      </w:r>
      <w:r>
        <w:t>risque</w:t>
      </w:r>
      <w:r>
        <w:rPr>
          <w:spacing w:val="-6"/>
        </w:rPr>
        <w:t xml:space="preserve"> </w:t>
      </w:r>
      <w:r>
        <w:t>cyber,</w:t>
      </w:r>
      <w:r>
        <w:rPr>
          <w:spacing w:val="-4"/>
        </w:rPr>
        <w:t xml:space="preserve"> </w:t>
      </w:r>
      <w:r>
        <w:t>à</w:t>
      </w:r>
      <w:r>
        <w:rPr>
          <w:spacing w:val="-6"/>
        </w:rPr>
        <w:t xml:space="preserve"> </w:t>
      </w:r>
      <w:r>
        <w:t>ses</w:t>
      </w:r>
      <w:r>
        <w:rPr>
          <w:spacing w:val="-3"/>
        </w:rPr>
        <w:t xml:space="preserve"> </w:t>
      </w:r>
      <w:r>
        <w:t>coûts</w:t>
      </w:r>
      <w:r>
        <w:rPr>
          <w:spacing w:val="-3"/>
        </w:rPr>
        <w:t xml:space="preserve"> </w:t>
      </w:r>
      <w:r>
        <w:t>et</w:t>
      </w:r>
      <w:r>
        <w:rPr>
          <w:spacing w:val="-6"/>
        </w:rPr>
        <w:t xml:space="preserve"> </w:t>
      </w:r>
      <w:r>
        <w:t>mesures</w:t>
      </w:r>
      <w:r>
        <w:rPr>
          <w:spacing w:val="-8"/>
        </w:rPr>
        <w:t xml:space="preserve"> </w:t>
      </w:r>
      <w:r>
        <w:t>pour</w:t>
      </w:r>
      <w:r>
        <w:rPr>
          <w:spacing w:val="-4"/>
        </w:rPr>
        <w:t xml:space="preserve"> </w:t>
      </w:r>
      <w:r>
        <w:t>les</w:t>
      </w:r>
      <w:r>
        <w:rPr>
          <w:spacing w:val="-3"/>
        </w:rPr>
        <w:t xml:space="preserve"> </w:t>
      </w:r>
      <w:r>
        <w:t>minimiser</w:t>
      </w:r>
      <w:r>
        <w:rPr>
          <w:spacing w:val="-4"/>
        </w:rPr>
        <w:t xml:space="preserve"> </w:t>
      </w:r>
      <w:r>
        <w:t>dans</w:t>
      </w:r>
      <w:r>
        <w:rPr>
          <w:spacing w:val="-3"/>
        </w:rPr>
        <w:t xml:space="preserve"> </w:t>
      </w:r>
      <w:r>
        <w:t>toutes</w:t>
      </w:r>
      <w:r>
        <w:rPr>
          <w:spacing w:val="-3"/>
        </w:rPr>
        <w:t xml:space="preserve"> </w:t>
      </w:r>
      <w:r>
        <w:t>les</w:t>
      </w:r>
      <w:r>
        <w:rPr>
          <w:spacing w:val="-3"/>
        </w:rPr>
        <w:t xml:space="preserve"> </w:t>
      </w:r>
      <w:r>
        <w:t>entreprises et institutions françaises et</w:t>
      </w:r>
      <w:r>
        <w:rPr>
          <w:spacing w:val="-3"/>
        </w:rPr>
        <w:t xml:space="preserve"> </w:t>
      </w:r>
      <w:r>
        <w:t>européennes.</w:t>
      </w:r>
    </w:p>
    <w:p w:rsidR="003E7CF5" w:rsidRDefault="00024B00" w:rsidP="008C59C3">
      <w:pPr>
        <w:pStyle w:val="Corpsdetexte"/>
        <w:spacing w:before="240" w:after="240" w:line="360" w:lineRule="auto"/>
        <w:ind w:left="142" w:right="50"/>
        <w:jc w:val="both"/>
      </w:pPr>
      <w:r>
        <w:t>À la lecture de ce dernier tableau d’analyse, on observe que sur les fenêtres très proches de l’annonce [0 ;1] et [-1 ; 1], les RAMC sont plus négatifs sur les évènements de notre échantillon sur la période allant de 2011 à 2017. Au contraire, sur les mêmes fenêtres observées, les attaques ayant eu lieu en 2018 et 2019 accusent des RAMC négatifs plus faibles voir très faible pour 2019 (0,48% et 0,31%).</w:t>
      </w:r>
    </w:p>
    <w:p w:rsidR="003E7CF5" w:rsidRDefault="00024B00" w:rsidP="008C59C3">
      <w:pPr>
        <w:pStyle w:val="Corpsdetexte"/>
        <w:spacing w:before="240" w:after="240" w:line="360" w:lineRule="auto"/>
        <w:ind w:left="142" w:right="50"/>
        <w:jc w:val="both"/>
      </w:pPr>
      <w:r>
        <w:t>Sur les fenêtres d’une durée supérieure à 5 jours, les RAMC des annonces de cyberattaques sur la période 2011 à 2017 deviennent alors anormalement positifs.</w:t>
      </w:r>
    </w:p>
    <w:p w:rsidR="003E7CF5" w:rsidRDefault="00024B00" w:rsidP="008C59C3">
      <w:pPr>
        <w:pStyle w:val="Corpsdetexte"/>
        <w:spacing w:before="240" w:after="240" w:line="360" w:lineRule="auto"/>
        <w:ind w:left="142" w:right="50"/>
        <w:jc w:val="both"/>
      </w:pPr>
      <w:r>
        <w:t>Sur</w:t>
      </w:r>
      <w:r>
        <w:rPr>
          <w:spacing w:val="-8"/>
        </w:rPr>
        <w:t xml:space="preserve"> </w:t>
      </w:r>
      <w:r>
        <w:t>2018</w:t>
      </w:r>
      <w:r>
        <w:rPr>
          <w:spacing w:val="-9"/>
        </w:rPr>
        <w:t xml:space="preserve"> </w:t>
      </w:r>
      <w:r>
        <w:t>et</w:t>
      </w:r>
      <w:r>
        <w:rPr>
          <w:spacing w:val="-9"/>
        </w:rPr>
        <w:t xml:space="preserve"> </w:t>
      </w:r>
      <w:r>
        <w:t>plus</w:t>
      </w:r>
      <w:r>
        <w:rPr>
          <w:spacing w:val="-7"/>
        </w:rPr>
        <w:t xml:space="preserve"> </w:t>
      </w:r>
      <w:r>
        <w:t>particulièrement</w:t>
      </w:r>
      <w:r>
        <w:rPr>
          <w:spacing w:val="-9"/>
        </w:rPr>
        <w:t xml:space="preserve"> </w:t>
      </w:r>
      <w:r>
        <w:t>sur</w:t>
      </w:r>
      <w:r>
        <w:rPr>
          <w:spacing w:val="-8"/>
        </w:rPr>
        <w:t xml:space="preserve"> </w:t>
      </w:r>
      <w:r>
        <w:t>2019,</w:t>
      </w:r>
      <w:r>
        <w:rPr>
          <w:spacing w:val="-8"/>
        </w:rPr>
        <w:t xml:space="preserve"> </w:t>
      </w:r>
      <w:r>
        <w:t>on</w:t>
      </w:r>
      <w:r>
        <w:rPr>
          <w:spacing w:val="-9"/>
        </w:rPr>
        <w:t xml:space="preserve"> </w:t>
      </w:r>
      <w:r>
        <w:t>observe</w:t>
      </w:r>
      <w:r>
        <w:rPr>
          <w:spacing w:val="-9"/>
        </w:rPr>
        <w:t xml:space="preserve"> </w:t>
      </w:r>
      <w:r>
        <w:t>des</w:t>
      </w:r>
      <w:r>
        <w:rPr>
          <w:spacing w:val="-7"/>
        </w:rPr>
        <w:t xml:space="preserve"> </w:t>
      </w:r>
      <w:r>
        <w:t>RAMC</w:t>
      </w:r>
      <w:r>
        <w:rPr>
          <w:spacing w:val="-8"/>
        </w:rPr>
        <w:t xml:space="preserve"> </w:t>
      </w:r>
      <w:r>
        <w:t>négatifs</w:t>
      </w:r>
      <w:r>
        <w:rPr>
          <w:spacing w:val="-7"/>
        </w:rPr>
        <w:t xml:space="preserve"> </w:t>
      </w:r>
      <w:r>
        <w:t>plus</w:t>
      </w:r>
      <w:r>
        <w:rPr>
          <w:spacing w:val="-7"/>
        </w:rPr>
        <w:t xml:space="preserve"> </w:t>
      </w:r>
      <w:r>
        <w:t>importants</w:t>
      </w:r>
      <w:r>
        <w:rPr>
          <w:spacing w:val="-6"/>
        </w:rPr>
        <w:t xml:space="preserve"> </w:t>
      </w:r>
      <w:r>
        <w:t>sur</w:t>
      </w:r>
      <w:r>
        <w:rPr>
          <w:spacing w:val="-8"/>
        </w:rPr>
        <w:t xml:space="preserve"> </w:t>
      </w:r>
      <w:r>
        <w:t>des fenêtres</w:t>
      </w:r>
      <w:r>
        <w:rPr>
          <w:spacing w:val="-7"/>
        </w:rPr>
        <w:t xml:space="preserve"> </w:t>
      </w:r>
      <w:r>
        <w:t>plus</w:t>
      </w:r>
      <w:r>
        <w:rPr>
          <w:spacing w:val="-6"/>
        </w:rPr>
        <w:t xml:space="preserve"> </w:t>
      </w:r>
      <w:r>
        <w:t>longues</w:t>
      </w:r>
      <w:r>
        <w:rPr>
          <w:spacing w:val="-6"/>
        </w:rPr>
        <w:t xml:space="preserve"> </w:t>
      </w:r>
      <w:r>
        <w:t>et</w:t>
      </w:r>
      <w:r>
        <w:rPr>
          <w:spacing w:val="-7"/>
        </w:rPr>
        <w:t xml:space="preserve"> </w:t>
      </w:r>
      <w:r>
        <w:t>supérieures</w:t>
      </w:r>
      <w:r>
        <w:rPr>
          <w:spacing w:val="-6"/>
        </w:rPr>
        <w:t xml:space="preserve"> </w:t>
      </w:r>
      <w:r>
        <w:t>à</w:t>
      </w:r>
      <w:r>
        <w:rPr>
          <w:spacing w:val="-9"/>
        </w:rPr>
        <w:t xml:space="preserve"> </w:t>
      </w:r>
      <w:r>
        <w:t>+1</w:t>
      </w:r>
      <w:r>
        <w:rPr>
          <w:spacing w:val="-3"/>
        </w:rPr>
        <w:t xml:space="preserve"> </w:t>
      </w:r>
      <w:r>
        <w:t>jour</w:t>
      </w:r>
      <w:r>
        <w:rPr>
          <w:spacing w:val="-7"/>
        </w:rPr>
        <w:t xml:space="preserve"> </w:t>
      </w:r>
      <w:r>
        <w:t>suite</w:t>
      </w:r>
      <w:r>
        <w:rPr>
          <w:spacing w:val="-9"/>
        </w:rPr>
        <w:t xml:space="preserve"> </w:t>
      </w:r>
      <w:r>
        <w:t>à</w:t>
      </w:r>
      <w:r>
        <w:rPr>
          <w:spacing w:val="-4"/>
        </w:rPr>
        <w:t xml:space="preserve"> </w:t>
      </w:r>
      <w:r>
        <w:t>l’annonce</w:t>
      </w:r>
      <w:r>
        <w:rPr>
          <w:spacing w:val="-9"/>
        </w:rPr>
        <w:t xml:space="preserve"> </w:t>
      </w:r>
      <w:r>
        <w:t>de</w:t>
      </w:r>
      <w:r>
        <w:rPr>
          <w:spacing w:val="-9"/>
        </w:rPr>
        <w:t xml:space="preserve"> </w:t>
      </w:r>
      <w:r>
        <w:t>faille</w:t>
      </w:r>
      <w:r>
        <w:rPr>
          <w:spacing w:val="-9"/>
        </w:rPr>
        <w:t xml:space="preserve"> </w:t>
      </w:r>
      <w:r>
        <w:t>de</w:t>
      </w:r>
      <w:r>
        <w:rPr>
          <w:spacing w:val="-9"/>
        </w:rPr>
        <w:t xml:space="preserve"> </w:t>
      </w:r>
      <w:r>
        <w:t>sécurité.</w:t>
      </w:r>
      <w:r>
        <w:rPr>
          <w:spacing w:val="-8"/>
        </w:rPr>
        <w:t xml:space="preserve"> </w:t>
      </w:r>
      <w:r>
        <w:t>Cependant,</w:t>
      </w:r>
      <w:r>
        <w:rPr>
          <w:spacing w:val="-2"/>
        </w:rPr>
        <w:t xml:space="preserve"> </w:t>
      </w:r>
      <w:r>
        <w:t>les RAMC négatifs sont relativement faibles sur l’année 2019 alors que le nombre de cyberattaques ne cesse d’augmenter chaque année en</w:t>
      </w:r>
      <w:r>
        <w:rPr>
          <w:spacing w:val="-5"/>
        </w:rPr>
        <w:t xml:space="preserve"> </w:t>
      </w:r>
      <w:r>
        <w:t>France.</w:t>
      </w:r>
    </w:p>
    <w:p w:rsidR="003E7CF5" w:rsidRDefault="003E7CF5">
      <w:pPr>
        <w:pStyle w:val="Corpsdetexte"/>
        <w:spacing w:before="2"/>
        <w:rPr>
          <w:sz w:val="27"/>
        </w:rPr>
      </w:pPr>
    </w:p>
    <w:p w:rsidR="003E7CF5" w:rsidRDefault="00024B00">
      <w:pPr>
        <w:spacing w:before="92"/>
        <w:ind w:left="335"/>
        <w:jc w:val="both"/>
        <w:rPr>
          <w:sz w:val="20"/>
        </w:rPr>
      </w:pPr>
      <w:bookmarkStart w:id="38" w:name="_bookmark35"/>
      <w:bookmarkEnd w:id="38"/>
      <w:r>
        <w:rPr>
          <w:sz w:val="20"/>
        </w:rPr>
        <w:t>Tableau 8 : Résultats d’analyse d’évolution de la RAMC dans le temps</w:t>
      </w:r>
    </w:p>
    <w:p w:rsidR="003E7CF5" w:rsidRDefault="003E7CF5">
      <w:pPr>
        <w:pStyle w:val="Corpsdetexte"/>
        <w:spacing w:before="7"/>
        <w:rPr>
          <w:sz w:val="13"/>
        </w:rPr>
      </w:pPr>
    </w:p>
    <w:tbl>
      <w:tblPr>
        <w:tblStyle w:val="TableNormal"/>
        <w:tblW w:w="0" w:type="auto"/>
        <w:tblInd w:w="335" w:type="dxa"/>
        <w:tblLayout w:type="fixed"/>
        <w:tblLook w:val="01E0" w:firstRow="1" w:lastRow="1" w:firstColumn="1" w:lastColumn="1" w:noHBand="0" w:noVBand="0"/>
      </w:tblPr>
      <w:tblGrid>
        <w:gridCol w:w="2974"/>
        <w:gridCol w:w="2556"/>
        <w:gridCol w:w="1768"/>
        <w:gridCol w:w="1871"/>
      </w:tblGrid>
      <w:tr w:rsidR="003E7CF5">
        <w:trPr>
          <w:trHeight w:val="510"/>
        </w:trPr>
        <w:tc>
          <w:tcPr>
            <w:tcW w:w="2974" w:type="dxa"/>
            <w:tcBorders>
              <w:top w:val="single" w:sz="12" w:space="0" w:color="000000"/>
              <w:bottom w:val="single" w:sz="12" w:space="0" w:color="4471C4"/>
            </w:tcBorders>
            <w:shd w:val="clear" w:color="auto" w:fill="D0CECE"/>
          </w:tcPr>
          <w:p w:rsidR="003E7CF5" w:rsidRDefault="00024B00">
            <w:pPr>
              <w:pStyle w:val="TableParagraph"/>
              <w:spacing w:before="64"/>
              <w:ind w:left="77"/>
              <w:rPr>
                <w:b/>
              </w:rPr>
            </w:pPr>
            <w:r>
              <w:rPr>
                <w:b/>
              </w:rPr>
              <w:t>Fenêtre d'évènement</w:t>
            </w:r>
          </w:p>
        </w:tc>
        <w:tc>
          <w:tcPr>
            <w:tcW w:w="2556" w:type="dxa"/>
            <w:tcBorders>
              <w:top w:val="single" w:sz="12" w:space="0" w:color="000000"/>
              <w:bottom w:val="single" w:sz="12" w:space="0" w:color="4471C4"/>
            </w:tcBorders>
            <w:shd w:val="clear" w:color="auto" w:fill="D0CECE"/>
          </w:tcPr>
          <w:p w:rsidR="003E7CF5" w:rsidRDefault="00024B00">
            <w:pPr>
              <w:pStyle w:val="TableParagraph"/>
              <w:spacing w:before="51"/>
              <w:ind w:left="915" w:right="441"/>
              <w:jc w:val="center"/>
              <w:rPr>
                <w:b/>
                <w:sz w:val="24"/>
              </w:rPr>
            </w:pPr>
            <w:r>
              <w:rPr>
                <w:b/>
                <w:sz w:val="24"/>
              </w:rPr>
              <w:t>2011 - 2017</w:t>
            </w:r>
          </w:p>
        </w:tc>
        <w:tc>
          <w:tcPr>
            <w:tcW w:w="1768" w:type="dxa"/>
            <w:tcBorders>
              <w:top w:val="single" w:sz="12" w:space="0" w:color="000000"/>
              <w:bottom w:val="single" w:sz="12" w:space="0" w:color="4471C4"/>
            </w:tcBorders>
            <w:shd w:val="clear" w:color="auto" w:fill="D0CECE"/>
          </w:tcPr>
          <w:p w:rsidR="003E7CF5" w:rsidRDefault="00024B00">
            <w:pPr>
              <w:pStyle w:val="TableParagraph"/>
              <w:spacing w:before="51"/>
              <w:ind w:left="440" w:right="547"/>
              <w:jc w:val="center"/>
              <w:rPr>
                <w:b/>
                <w:sz w:val="24"/>
              </w:rPr>
            </w:pPr>
            <w:r>
              <w:rPr>
                <w:b/>
                <w:sz w:val="24"/>
              </w:rPr>
              <w:t>2018</w:t>
            </w:r>
          </w:p>
        </w:tc>
        <w:tc>
          <w:tcPr>
            <w:tcW w:w="1871" w:type="dxa"/>
            <w:tcBorders>
              <w:top w:val="single" w:sz="12" w:space="0" w:color="000000"/>
              <w:bottom w:val="single" w:sz="12" w:space="0" w:color="4471C4"/>
            </w:tcBorders>
            <w:shd w:val="clear" w:color="auto" w:fill="D0CECE"/>
          </w:tcPr>
          <w:p w:rsidR="003E7CF5" w:rsidRDefault="00024B00">
            <w:pPr>
              <w:pStyle w:val="TableParagraph"/>
              <w:spacing w:before="51"/>
              <w:ind w:left="548" w:right="543"/>
              <w:jc w:val="center"/>
              <w:rPr>
                <w:b/>
                <w:sz w:val="24"/>
              </w:rPr>
            </w:pPr>
            <w:r>
              <w:rPr>
                <w:b/>
                <w:sz w:val="24"/>
              </w:rPr>
              <w:t>2019</w:t>
            </w:r>
          </w:p>
        </w:tc>
      </w:tr>
      <w:tr w:rsidR="003E7CF5">
        <w:trPr>
          <w:trHeight w:val="272"/>
        </w:trPr>
        <w:tc>
          <w:tcPr>
            <w:tcW w:w="2974" w:type="dxa"/>
            <w:tcBorders>
              <w:top w:val="single" w:sz="12" w:space="0" w:color="4471C4"/>
            </w:tcBorders>
          </w:tcPr>
          <w:p w:rsidR="003E7CF5" w:rsidRDefault="00024B00">
            <w:pPr>
              <w:pStyle w:val="TableParagraph"/>
              <w:spacing w:before="7"/>
              <w:ind w:left="77"/>
              <w:rPr>
                <w:i/>
                <w:sz w:val="18"/>
              </w:rPr>
            </w:pPr>
            <w:r>
              <w:rPr>
                <w:i/>
                <w:sz w:val="18"/>
              </w:rPr>
              <w:t>Nombre de Type d'attaque</w:t>
            </w:r>
          </w:p>
        </w:tc>
        <w:tc>
          <w:tcPr>
            <w:tcW w:w="2556" w:type="dxa"/>
            <w:tcBorders>
              <w:top w:val="single" w:sz="12" w:space="0" w:color="4471C4"/>
            </w:tcBorders>
          </w:tcPr>
          <w:p w:rsidR="003E7CF5" w:rsidRDefault="00024B00">
            <w:pPr>
              <w:pStyle w:val="TableParagraph"/>
              <w:spacing w:before="7"/>
              <w:ind w:left="911" w:right="441"/>
              <w:jc w:val="center"/>
              <w:rPr>
                <w:i/>
                <w:sz w:val="18"/>
              </w:rPr>
            </w:pPr>
            <w:r>
              <w:rPr>
                <w:i/>
                <w:sz w:val="18"/>
              </w:rPr>
              <w:t>43,40%</w:t>
            </w:r>
          </w:p>
        </w:tc>
        <w:tc>
          <w:tcPr>
            <w:tcW w:w="1768" w:type="dxa"/>
            <w:tcBorders>
              <w:top w:val="single" w:sz="12" w:space="0" w:color="4471C4"/>
            </w:tcBorders>
          </w:tcPr>
          <w:p w:rsidR="003E7CF5" w:rsidRDefault="00024B00">
            <w:pPr>
              <w:pStyle w:val="TableParagraph"/>
              <w:spacing w:before="7"/>
              <w:ind w:left="436" w:right="547"/>
              <w:jc w:val="center"/>
              <w:rPr>
                <w:i/>
                <w:sz w:val="18"/>
              </w:rPr>
            </w:pPr>
            <w:r>
              <w:rPr>
                <w:i/>
                <w:sz w:val="18"/>
              </w:rPr>
              <w:t>22,64%</w:t>
            </w:r>
          </w:p>
        </w:tc>
        <w:tc>
          <w:tcPr>
            <w:tcW w:w="1871" w:type="dxa"/>
            <w:tcBorders>
              <w:top w:val="single" w:sz="12" w:space="0" w:color="4471C4"/>
            </w:tcBorders>
          </w:tcPr>
          <w:p w:rsidR="003E7CF5" w:rsidRDefault="00024B00">
            <w:pPr>
              <w:pStyle w:val="TableParagraph"/>
              <w:spacing w:before="7"/>
              <w:ind w:left="543" w:right="543"/>
              <w:jc w:val="center"/>
              <w:rPr>
                <w:i/>
                <w:sz w:val="18"/>
              </w:rPr>
            </w:pPr>
            <w:r>
              <w:rPr>
                <w:i/>
                <w:sz w:val="18"/>
              </w:rPr>
              <w:t>33,96%</w:t>
            </w:r>
          </w:p>
        </w:tc>
      </w:tr>
      <w:tr w:rsidR="003E7CF5">
        <w:trPr>
          <w:trHeight w:val="397"/>
        </w:trPr>
        <w:tc>
          <w:tcPr>
            <w:tcW w:w="2974" w:type="dxa"/>
          </w:tcPr>
          <w:p w:rsidR="003E7CF5" w:rsidRDefault="00024B00">
            <w:pPr>
              <w:pStyle w:val="TableParagraph"/>
              <w:spacing w:before="48"/>
              <w:ind w:left="77"/>
              <w:rPr>
                <w:sz w:val="24"/>
              </w:rPr>
            </w:pPr>
            <w:r>
              <w:rPr>
                <w:sz w:val="24"/>
              </w:rPr>
              <w:t>[0;1]</w:t>
            </w:r>
          </w:p>
        </w:tc>
        <w:tc>
          <w:tcPr>
            <w:tcW w:w="2556" w:type="dxa"/>
          </w:tcPr>
          <w:p w:rsidR="003E7CF5" w:rsidRDefault="00024B00">
            <w:pPr>
              <w:pStyle w:val="TableParagraph"/>
              <w:spacing w:before="48"/>
              <w:ind w:left="915" w:right="440"/>
              <w:jc w:val="center"/>
              <w:rPr>
                <w:sz w:val="24"/>
              </w:rPr>
            </w:pPr>
            <w:r>
              <w:rPr>
                <w:sz w:val="24"/>
              </w:rPr>
              <w:t>-0,0114</w:t>
            </w:r>
          </w:p>
        </w:tc>
        <w:tc>
          <w:tcPr>
            <w:tcW w:w="1768" w:type="dxa"/>
          </w:tcPr>
          <w:p w:rsidR="003E7CF5" w:rsidRDefault="00024B00">
            <w:pPr>
              <w:pStyle w:val="TableParagraph"/>
              <w:spacing w:before="48"/>
              <w:ind w:left="440" w:right="547"/>
              <w:jc w:val="center"/>
              <w:rPr>
                <w:sz w:val="24"/>
              </w:rPr>
            </w:pPr>
            <w:r>
              <w:rPr>
                <w:sz w:val="24"/>
              </w:rPr>
              <w:t>-0,0108</w:t>
            </w:r>
          </w:p>
        </w:tc>
        <w:tc>
          <w:tcPr>
            <w:tcW w:w="1871" w:type="dxa"/>
          </w:tcPr>
          <w:p w:rsidR="003E7CF5" w:rsidRDefault="00024B00">
            <w:pPr>
              <w:pStyle w:val="TableParagraph"/>
              <w:spacing w:before="48"/>
              <w:ind w:left="548" w:right="543"/>
              <w:jc w:val="center"/>
              <w:rPr>
                <w:sz w:val="24"/>
              </w:rPr>
            </w:pPr>
            <w:r>
              <w:rPr>
                <w:sz w:val="24"/>
              </w:rPr>
              <w:t>-0,0048</w:t>
            </w:r>
          </w:p>
        </w:tc>
      </w:tr>
      <w:tr w:rsidR="003E7CF5">
        <w:trPr>
          <w:trHeight w:val="415"/>
        </w:trPr>
        <w:tc>
          <w:tcPr>
            <w:tcW w:w="2974" w:type="dxa"/>
          </w:tcPr>
          <w:p w:rsidR="003E7CF5" w:rsidRDefault="00024B00">
            <w:pPr>
              <w:pStyle w:val="TableParagraph"/>
              <w:spacing w:before="64"/>
              <w:ind w:left="77"/>
              <w:rPr>
                <w:sz w:val="20"/>
              </w:rPr>
            </w:pPr>
            <w:r>
              <w:rPr>
                <w:sz w:val="20"/>
              </w:rPr>
              <w:t>t-value</w:t>
            </w:r>
          </w:p>
        </w:tc>
        <w:tc>
          <w:tcPr>
            <w:tcW w:w="2556" w:type="dxa"/>
          </w:tcPr>
          <w:p w:rsidR="003E7CF5" w:rsidRDefault="00024B00">
            <w:pPr>
              <w:pStyle w:val="TableParagraph"/>
              <w:spacing w:before="64"/>
              <w:ind w:left="911" w:right="441"/>
              <w:jc w:val="center"/>
              <w:rPr>
                <w:sz w:val="20"/>
              </w:rPr>
            </w:pPr>
            <w:r>
              <w:rPr>
                <w:sz w:val="20"/>
              </w:rPr>
              <w:t>-2,4325</w:t>
            </w:r>
          </w:p>
        </w:tc>
        <w:tc>
          <w:tcPr>
            <w:tcW w:w="1768" w:type="dxa"/>
          </w:tcPr>
          <w:p w:rsidR="003E7CF5" w:rsidRDefault="00024B00">
            <w:pPr>
              <w:pStyle w:val="TableParagraph"/>
              <w:spacing w:before="64"/>
              <w:ind w:left="435" w:right="547"/>
              <w:jc w:val="center"/>
              <w:rPr>
                <w:sz w:val="20"/>
              </w:rPr>
            </w:pPr>
            <w:r>
              <w:rPr>
                <w:sz w:val="20"/>
              </w:rPr>
              <w:t>-2,2957</w:t>
            </w:r>
          </w:p>
        </w:tc>
        <w:tc>
          <w:tcPr>
            <w:tcW w:w="1871" w:type="dxa"/>
          </w:tcPr>
          <w:p w:rsidR="003E7CF5" w:rsidRDefault="00024B00">
            <w:pPr>
              <w:pStyle w:val="TableParagraph"/>
              <w:spacing w:before="64"/>
              <w:ind w:left="543" w:right="543"/>
              <w:jc w:val="center"/>
              <w:rPr>
                <w:sz w:val="20"/>
              </w:rPr>
            </w:pPr>
            <w:r>
              <w:rPr>
                <w:sz w:val="20"/>
              </w:rPr>
              <w:t>-1,0163</w:t>
            </w:r>
          </w:p>
        </w:tc>
      </w:tr>
      <w:tr w:rsidR="003E7CF5">
        <w:trPr>
          <w:trHeight w:val="459"/>
        </w:trPr>
        <w:tc>
          <w:tcPr>
            <w:tcW w:w="2974" w:type="dxa"/>
          </w:tcPr>
          <w:p w:rsidR="003E7CF5" w:rsidRDefault="00024B00">
            <w:pPr>
              <w:pStyle w:val="TableParagraph"/>
              <w:spacing w:before="111"/>
              <w:ind w:left="77"/>
              <w:rPr>
                <w:sz w:val="24"/>
              </w:rPr>
            </w:pPr>
            <w:r>
              <w:rPr>
                <w:sz w:val="24"/>
              </w:rPr>
              <w:t>[0;3]</w:t>
            </w:r>
          </w:p>
        </w:tc>
        <w:tc>
          <w:tcPr>
            <w:tcW w:w="2556" w:type="dxa"/>
          </w:tcPr>
          <w:p w:rsidR="003E7CF5" w:rsidRDefault="00024B00">
            <w:pPr>
              <w:pStyle w:val="TableParagraph"/>
              <w:spacing w:before="111"/>
              <w:ind w:left="915" w:right="440"/>
              <w:jc w:val="center"/>
              <w:rPr>
                <w:sz w:val="24"/>
              </w:rPr>
            </w:pPr>
            <w:r>
              <w:rPr>
                <w:sz w:val="24"/>
              </w:rPr>
              <w:t>-0,0083</w:t>
            </w:r>
          </w:p>
        </w:tc>
        <w:tc>
          <w:tcPr>
            <w:tcW w:w="1768" w:type="dxa"/>
          </w:tcPr>
          <w:p w:rsidR="003E7CF5" w:rsidRDefault="00024B00">
            <w:pPr>
              <w:pStyle w:val="TableParagraph"/>
              <w:spacing w:before="111"/>
              <w:ind w:left="440" w:right="547"/>
              <w:jc w:val="center"/>
              <w:rPr>
                <w:sz w:val="24"/>
              </w:rPr>
            </w:pPr>
            <w:r>
              <w:rPr>
                <w:sz w:val="24"/>
              </w:rPr>
              <w:t>-0,0185</w:t>
            </w:r>
          </w:p>
        </w:tc>
        <w:tc>
          <w:tcPr>
            <w:tcW w:w="1871" w:type="dxa"/>
          </w:tcPr>
          <w:p w:rsidR="003E7CF5" w:rsidRDefault="00024B00">
            <w:pPr>
              <w:pStyle w:val="TableParagraph"/>
              <w:spacing w:before="111"/>
              <w:ind w:left="548" w:right="543"/>
              <w:jc w:val="center"/>
              <w:rPr>
                <w:sz w:val="24"/>
              </w:rPr>
            </w:pPr>
            <w:r>
              <w:rPr>
                <w:sz w:val="24"/>
              </w:rPr>
              <w:t>0,0003</w:t>
            </w:r>
          </w:p>
        </w:tc>
      </w:tr>
      <w:tr w:rsidR="003E7CF5">
        <w:trPr>
          <w:trHeight w:val="415"/>
        </w:trPr>
        <w:tc>
          <w:tcPr>
            <w:tcW w:w="2974" w:type="dxa"/>
          </w:tcPr>
          <w:p w:rsidR="003E7CF5" w:rsidRDefault="00024B00">
            <w:pPr>
              <w:pStyle w:val="TableParagraph"/>
              <w:spacing w:before="64"/>
              <w:ind w:left="77"/>
              <w:rPr>
                <w:sz w:val="20"/>
              </w:rPr>
            </w:pPr>
            <w:r>
              <w:rPr>
                <w:sz w:val="20"/>
              </w:rPr>
              <w:t>t-value</w:t>
            </w:r>
          </w:p>
        </w:tc>
        <w:tc>
          <w:tcPr>
            <w:tcW w:w="2556" w:type="dxa"/>
          </w:tcPr>
          <w:p w:rsidR="003E7CF5" w:rsidRDefault="00024B00">
            <w:pPr>
              <w:pStyle w:val="TableParagraph"/>
              <w:spacing w:before="64"/>
              <w:ind w:left="911" w:right="441"/>
              <w:jc w:val="center"/>
              <w:rPr>
                <w:sz w:val="20"/>
              </w:rPr>
            </w:pPr>
            <w:r>
              <w:rPr>
                <w:sz w:val="20"/>
              </w:rPr>
              <w:t>-1,7683</w:t>
            </w:r>
          </w:p>
        </w:tc>
        <w:tc>
          <w:tcPr>
            <w:tcW w:w="1768" w:type="dxa"/>
          </w:tcPr>
          <w:p w:rsidR="003E7CF5" w:rsidRDefault="00024B00">
            <w:pPr>
              <w:pStyle w:val="TableParagraph"/>
              <w:spacing w:before="64"/>
              <w:ind w:left="435" w:right="547"/>
              <w:jc w:val="center"/>
              <w:rPr>
                <w:sz w:val="20"/>
              </w:rPr>
            </w:pPr>
            <w:r>
              <w:rPr>
                <w:sz w:val="20"/>
              </w:rPr>
              <w:t>-3,9272</w:t>
            </w:r>
          </w:p>
        </w:tc>
        <w:tc>
          <w:tcPr>
            <w:tcW w:w="1871" w:type="dxa"/>
          </w:tcPr>
          <w:p w:rsidR="003E7CF5" w:rsidRDefault="00024B00">
            <w:pPr>
              <w:pStyle w:val="TableParagraph"/>
              <w:spacing w:before="64"/>
              <w:ind w:left="548" w:right="543"/>
              <w:jc w:val="center"/>
              <w:rPr>
                <w:sz w:val="20"/>
              </w:rPr>
            </w:pPr>
            <w:r>
              <w:rPr>
                <w:sz w:val="20"/>
              </w:rPr>
              <w:t>0,0650</w:t>
            </w:r>
          </w:p>
        </w:tc>
      </w:tr>
      <w:tr w:rsidR="003E7CF5">
        <w:trPr>
          <w:trHeight w:val="457"/>
        </w:trPr>
        <w:tc>
          <w:tcPr>
            <w:tcW w:w="2974" w:type="dxa"/>
          </w:tcPr>
          <w:p w:rsidR="003E7CF5" w:rsidRDefault="00024B00">
            <w:pPr>
              <w:pStyle w:val="TableParagraph"/>
              <w:spacing w:before="111"/>
              <w:ind w:left="77"/>
              <w:rPr>
                <w:sz w:val="24"/>
              </w:rPr>
            </w:pPr>
            <w:r>
              <w:rPr>
                <w:sz w:val="24"/>
              </w:rPr>
              <w:t>[-1;1]</w:t>
            </w:r>
          </w:p>
        </w:tc>
        <w:tc>
          <w:tcPr>
            <w:tcW w:w="2556" w:type="dxa"/>
          </w:tcPr>
          <w:p w:rsidR="003E7CF5" w:rsidRDefault="00024B00">
            <w:pPr>
              <w:pStyle w:val="TableParagraph"/>
              <w:spacing w:before="111"/>
              <w:ind w:left="915" w:right="440"/>
              <w:jc w:val="center"/>
              <w:rPr>
                <w:sz w:val="24"/>
              </w:rPr>
            </w:pPr>
            <w:r>
              <w:rPr>
                <w:sz w:val="24"/>
              </w:rPr>
              <w:t>-0,0109</w:t>
            </w:r>
          </w:p>
        </w:tc>
        <w:tc>
          <w:tcPr>
            <w:tcW w:w="1768" w:type="dxa"/>
          </w:tcPr>
          <w:p w:rsidR="003E7CF5" w:rsidRDefault="00024B00">
            <w:pPr>
              <w:pStyle w:val="TableParagraph"/>
              <w:spacing w:before="111"/>
              <w:ind w:left="440" w:right="547"/>
              <w:jc w:val="center"/>
              <w:rPr>
                <w:sz w:val="24"/>
              </w:rPr>
            </w:pPr>
            <w:r>
              <w:rPr>
                <w:sz w:val="24"/>
              </w:rPr>
              <w:t>-0,0026</w:t>
            </w:r>
          </w:p>
        </w:tc>
        <w:tc>
          <w:tcPr>
            <w:tcW w:w="1871" w:type="dxa"/>
          </w:tcPr>
          <w:p w:rsidR="003E7CF5" w:rsidRDefault="00024B00">
            <w:pPr>
              <w:pStyle w:val="TableParagraph"/>
              <w:spacing w:before="111"/>
              <w:ind w:left="548" w:right="543"/>
              <w:jc w:val="center"/>
              <w:rPr>
                <w:sz w:val="24"/>
              </w:rPr>
            </w:pPr>
            <w:r>
              <w:rPr>
                <w:sz w:val="24"/>
              </w:rPr>
              <w:t>-0,0031</w:t>
            </w:r>
          </w:p>
        </w:tc>
      </w:tr>
      <w:tr w:rsidR="003E7CF5">
        <w:trPr>
          <w:trHeight w:val="413"/>
        </w:trPr>
        <w:tc>
          <w:tcPr>
            <w:tcW w:w="2974" w:type="dxa"/>
          </w:tcPr>
          <w:p w:rsidR="003E7CF5" w:rsidRDefault="00024B00">
            <w:pPr>
              <w:pStyle w:val="TableParagraph"/>
              <w:spacing w:before="61"/>
              <w:ind w:left="77"/>
              <w:rPr>
                <w:sz w:val="20"/>
              </w:rPr>
            </w:pPr>
            <w:r>
              <w:rPr>
                <w:sz w:val="20"/>
              </w:rPr>
              <w:t>t-value</w:t>
            </w:r>
          </w:p>
        </w:tc>
        <w:tc>
          <w:tcPr>
            <w:tcW w:w="2556" w:type="dxa"/>
          </w:tcPr>
          <w:p w:rsidR="003E7CF5" w:rsidRDefault="00024B00">
            <w:pPr>
              <w:pStyle w:val="TableParagraph"/>
              <w:spacing w:before="61"/>
              <w:ind w:left="911" w:right="441"/>
              <w:jc w:val="center"/>
              <w:rPr>
                <w:sz w:val="20"/>
              </w:rPr>
            </w:pPr>
            <w:r>
              <w:rPr>
                <w:sz w:val="20"/>
              </w:rPr>
              <w:t>-2,3175</w:t>
            </w:r>
          </w:p>
        </w:tc>
        <w:tc>
          <w:tcPr>
            <w:tcW w:w="1768" w:type="dxa"/>
          </w:tcPr>
          <w:p w:rsidR="003E7CF5" w:rsidRDefault="00024B00">
            <w:pPr>
              <w:pStyle w:val="TableParagraph"/>
              <w:spacing w:before="61"/>
              <w:ind w:left="435" w:right="547"/>
              <w:jc w:val="center"/>
              <w:rPr>
                <w:sz w:val="20"/>
              </w:rPr>
            </w:pPr>
            <w:r>
              <w:rPr>
                <w:sz w:val="20"/>
              </w:rPr>
              <w:t>-0,5582</w:t>
            </w:r>
          </w:p>
        </w:tc>
        <w:tc>
          <w:tcPr>
            <w:tcW w:w="1871" w:type="dxa"/>
          </w:tcPr>
          <w:p w:rsidR="003E7CF5" w:rsidRDefault="00024B00">
            <w:pPr>
              <w:pStyle w:val="TableParagraph"/>
              <w:spacing w:before="61"/>
              <w:ind w:left="543" w:right="543"/>
              <w:jc w:val="center"/>
              <w:rPr>
                <w:sz w:val="20"/>
              </w:rPr>
            </w:pPr>
            <w:r>
              <w:rPr>
                <w:sz w:val="20"/>
              </w:rPr>
              <w:t>-0,6502</w:t>
            </w:r>
          </w:p>
        </w:tc>
      </w:tr>
      <w:tr w:rsidR="003E7CF5">
        <w:trPr>
          <w:trHeight w:val="459"/>
        </w:trPr>
        <w:tc>
          <w:tcPr>
            <w:tcW w:w="2974" w:type="dxa"/>
          </w:tcPr>
          <w:p w:rsidR="003E7CF5" w:rsidRDefault="00024B00">
            <w:pPr>
              <w:pStyle w:val="TableParagraph"/>
              <w:spacing w:before="111"/>
              <w:ind w:left="77"/>
              <w:rPr>
                <w:sz w:val="24"/>
              </w:rPr>
            </w:pPr>
            <w:r>
              <w:rPr>
                <w:sz w:val="24"/>
              </w:rPr>
              <w:t>[-1;5]</w:t>
            </w:r>
          </w:p>
        </w:tc>
        <w:tc>
          <w:tcPr>
            <w:tcW w:w="2556" w:type="dxa"/>
          </w:tcPr>
          <w:p w:rsidR="003E7CF5" w:rsidRDefault="00024B00">
            <w:pPr>
              <w:pStyle w:val="TableParagraph"/>
              <w:spacing w:before="111"/>
              <w:ind w:left="915" w:right="440"/>
              <w:jc w:val="center"/>
              <w:rPr>
                <w:sz w:val="24"/>
              </w:rPr>
            </w:pPr>
            <w:r>
              <w:rPr>
                <w:sz w:val="24"/>
              </w:rPr>
              <w:t>0,0066</w:t>
            </w:r>
          </w:p>
        </w:tc>
        <w:tc>
          <w:tcPr>
            <w:tcW w:w="1768" w:type="dxa"/>
          </w:tcPr>
          <w:p w:rsidR="003E7CF5" w:rsidRDefault="00024B00">
            <w:pPr>
              <w:pStyle w:val="TableParagraph"/>
              <w:spacing w:before="111"/>
              <w:ind w:left="440" w:right="547"/>
              <w:jc w:val="center"/>
              <w:rPr>
                <w:sz w:val="24"/>
              </w:rPr>
            </w:pPr>
            <w:r>
              <w:rPr>
                <w:sz w:val="24"/>
              </w:rPr>
              <w:t>-0,0081</w:t>
            </w:r>
          </w:p>
        </w:tc>
        <w:tc>
          <w:tcPr>
            <w:tcW w:w="1871" w:type="dxa"/>
          </w:tcPr>
          <w:p w:rsidR="003E7CF5" w:rsidRDefault="00024B00">
            <w:pPr>
              <w:pStyle w:val="TableParagraph"/>
              <w:spacing w:before="111"/>
              <w:ind w:left="548" w:right="543"/>
              <w:jc w:val="center"/>
              <w:rPr>
                <w:sz w:val="24"/>
              </w:rPr>
            </w:pPr>
            <w:r>
              <w:rPr>
                <w:sz w:val="24"/>
              </w:rPr>
              <w:t>0,0073</w:t>
            </w:r>
          </w:p>
        </w:tc>
      </w:tr>
      <w:tr w:rsidR="003E7CF5">
        <w:trPr>
          <w:trHeight w:val="415"/>
        </w:trPr>
        <w:tc>
          <w:tcPr>
            <w:tcW w:w="2974" w:type="dxa"/>
          </w:tcPr>
          <w:p w:rsidR="003E7CF5" w:rsidRDefault="00024B00">
            <w:pPr>
              <w:pStyle w:val="TableParagraph"/>
              <w:spacing w:before="64"/>
              <w:ind w:left="77"/>
              <w:rPr>
                <w:sz w:val="20"/>
              </w:rPr>
            </w:pPr>
            <w:r>
              <w:rPr>
                <w:sz w:val="20"/>
              </w:rPr>
              <w:t>t-value</w:t>
            </w:r>
          </w:p>
        </w:tc>
        <w:tc>
          <w:tcPr>
            <w:tcW w:w="2556" w:type="dxa"/>
          </w:tcPr>
          <w:p w:rsidR="003E7CF5" w:rsidRDefault="00024B00">
            <w:pPr>
              <w:pStyle w:val="TableParagraph"/>
              <w:spacing w:before="64"/>
              <w:ind w:left="915" w:right="440"/>
              <w:jc w:val="center"/>
              <w:rPr>
                <w:sz w:val="20"/>
              </w:rPr>
            </w:pPr>
            <w:r>
              <w:rPr>
                <w:sz w:val="20"/>
              </w:rPr>
              <w:t>1,4047</w:t>
            </w:r>
          </w:p>
        </w:tc>
        <w:tc>
          <w:tcPr>
            <w:tcW w:w="1768" w:type="dxa"/>
          </w:tcPr>
          <w:p w:rsidR="003E7CF5" w:rsidRDefault="00024B00">
            <w:pPr>
              <w:pStyle w:val="TableParagraph"/>
              <w:spacing w:before="64"/>
              <w:ind w:left="435" w:right="547"/>
              <w:jc w:val="center"/>
              <w:rPr>
                <w:sz w:val="20"/>
              </w:rPr>
            </w:pPr>
            <w:r>
              <w:rPr>
                <w:sz w:val="20"/>
              </w:rPr>
              <w:t>-1,7171</w:t>
            </w:r>
          </w:p>
        </w:tc>
        <w:tc>
          <w:tcPr>
            <w:tcW w:w="1871" w:type="dxa"/>
          </w:tcPr>
          <w:p w:rsidR="003E7CF5" w:rsidRDefault="00024B00">
            <w:pPr>
              <w:pStyle w:val="TableParagraph"/>
              <w:spacing w:before="64"/>
              <w:ind w:left="548" w:right="543"/>
              <w:jc w:val="center"/>
              <w:rPr>
                <w:sz w:val="20"/>
              </w:rPr>
            </w:pPr>
            <w:r>
              <w:rPr>
                <w:sz w:val="20"/>
              </w:rPr>
              <w:t>1,5486</w:t>
            </w:r>
          </w:p>
        </w:tc>
      </w:tr>
      <w:tr w:rsidR="003E7CF5">
        <w:trPr>
          <w:trHeight w:val="459"/>
        </w:trPr>
        <w:tc>
          <w:tcPr>
            <w:tcW w:w="2974" w:type="dxa"/>
          </w:tcPr>
          <w:p w:rsidR="003E7CF5" w:rsidRDefault="00024B00">
            <w:pPr>
              <w:pStyle w:val="TableParagraph"/>
              <w:spacing w:before="111"/>
              <w:ind w:left="77"/>
              <w:rPr>
                <w:sz w:val="24"/>
              </w:rPr>
            </w:pPr>
            <w:r>
              <w:rPr>
                <w:sz w:val="24"/>
              </w:rPr>
              <w:t>[-1;10]</w:t>
            </w:r>
          </w:p>
        </w:tc>
        <w:tc>
          <w:tcPr>
            <w:tcW w:w="2556" w:type="dxa"/>
          </w:tcPr>
          <w:p w:rsidR="003E7CF5" w:rsidRDefault="00024B00">
            <w:pPr>
              <w:pStyle w:val="TableParagraph"/>
              <w:spacing w:before="111"/>
              <w:ind w:left="915" w:right="440"/>
              <w:jc w:val="center"/>
              <w:rPr>
                <w:sz w:val="24"/>
              </w:rPr>
            </w:pPr>
            <w:r>
              <w:rPr>
                <w:sz w:val="24"/>
              </w:rPr>
              <w:t>0,0037</w:t>
            </w:r>
          </w:p>
        </w:tc>
        <w:tc>
          <w:tcPr>
            <w:tcW w:w="1768" w:type="dxa"/>
          </w:tcPr>
          <w:p w:rsidR="003E7CF5" w:rsidRDefault="00024B00">
            <w:pPr>
              <w:pStyle w:val="TableParagraph"/>
              <w:spacing w:before="111"/>
              <w:ind w:left="440" w:right="547"/>
              <w:jc w:val="center"/>
              <w:rPr>
                <w:sz w:val="24"/>
              </w:rPr>
            </w:pPr>
            <w:r>
              <w:rPr>
                <w:sz w:val="24"/>
              </w:rPr>
              <w:t>-0,0108</w:t>
            </w:r>
          </w:p>
        </w:tc>
        <w:tc>
          <w:tcPr>
            <w:tcW w:w="1871" w:type="dxa"/>
          </w:tcPr>
          <w:p w:rsidR="003E7CF5" w:rsidRDefault="00024B00">
            <w:pPr>
              <w:pStyle w:val="TableParagraph"/>
              <w:spacing w:before="111"/>
              <w:ind w:left="548" w:right="543"/>
              <w:jc w:val="center"/>
              <w:rPr>
                <w:sz w:val="24"/>
              </w:rPr>
            </w:pPr>
            <w:r>
              <w:rPr>
                <w:sz w:val="24"/>
              </w:rPr>
              <w:t>0,0050</w:t>
            </w:r>
          </w:p>
        </w:tc>
      </w:tr>
      <w:tr w:rsidR="003E7CF5">
        <w:trPr>
          <w:trHeight w:val="525"/>
        </w:trPr>
        <w:tc>
          <w:tcPr>
            <w:tcW w:w="2974" w:type="dxa"/>
            <w:tcBorders>
              <w:bottom w:val="single" w:sz="12" w:space="0" w:color="000000"/>
            </w:tcBorders>
          </w:tcPr>
          <w:p w:rsidR="003E7CF5" w:rsidRDefault="00024B00">
            <w:pPr>
              <w:pStyle w:val="TableParagraph"/>
              <w:spacing w:before="64"/>
              <w:ind w:left="77"/>
              <w:rPr>
                <w:sz w:val="20"/>
              </w:rPr>
            </w:pPr>
            <w:r>
              <w:rPr>
                <w:sz w:val="20"/>
              </w:rPr>
              <w:t>t-value</w:t>
            </w:r>
          </w:p>
        </w:tc>
        <w:tc>
          <w:tcPr>
            <w:tcW w:w="2556" w:type="dxa"/>
            <w:tcBorders>
              <w:bottom w:val="single" w:sz="12" w:space="0" w:color="000000"/>
            </w:tcBorders>
          </w:tcPr>
          <w:p w:rsidR="003E7CF5" w:rsidRDefault="00024B00">
            <w:pPr>
              <w:pStyle w:val="TableParagraph"/>
              <w:spacing w:before="64"/>
              <w:ind w:left="915" w:right="440"/>
              <w:jc w:val="center"/>
              <w:rPr>
                <w:sz w:val="20"/>
              </w:rPr>
            </w:pPr>
            <w:r>
              <w:rPr>
                <w:sz w:val="20"/>
              </w:rPr>
              <w:t>0,7756</w:t>
            </w:r>
          </w:p>
        </w:tc>
        <w:tc>
          <w:tcPr>
            <w:tcW w:w="1768" w:type="dxa"/>
            <w:tcBorders>
              <w:bottom w:val="single" w:sz="12" w:space="0" w:color="000000"/>
            </w:tcBorders>
          </w:tcPr>
          <w:p w:rsidR="003E7CF5" w:rsidRDefault="00024B00">
            <w:pPr>
              <w:pStyle w:val="TableParagraph"/>
              <w:spacing w:before="64"/>
              <w:ind w:left="435" w:right="547"/>
              <w:jc w:val="center"/>
              <w:rPr>
                <w:sz w:val="20"/>
              </w:rPr>
            </w:pPr>
            <w:r>
              <w:rPr>
                <w:sz w:val="20"/>
              </w:rPr>
              <w:t>-2,2914</w:t>
            </w:r>
          </w:p>
        </w:tc>
        <w:tc>
          <w:tcPr>
            <w:tcW w:w="1871" w:type="dxa"/>
            <w:tcBorders>
              <w:bottom w:val="single" w:sz="12" w:space="0" w:color="000000"/>
            </w:tcBorders>
          </w:tcPr>
          <w:p w:rsidR="003E7CF5" w:rsidRDefault="00024B00">
            <w:pPr>
              <w:pStyle w:val="TableParagraph"/>
              <w:spacing w:before="64"/>
              <w:ind w:left="548" w:right="543"/>
              <w:jc w:val="center"/>
              <w:rPr>
                <w:sz w:val="20"/>
              </w:rPr>
            </w:pPr>
            <w:r>
              <w:rPr>
                <w:sz w:val="20"/>
              </w:rPr>
              <w:t>1,0618</w:t>
            </w:r>
          </w:p>
        </w:tc>
      </w:tr>
    </w:tbl>
    <w:p w:rsidR="003E7CF5" w:rsidRDefault="003E7CF5">
      <w:pPr>
        <w:pStyle w:val="Corpsdetexte"/>
        <w:rPr>
          <w:sz w:val="22"/>
        </w:rPr>
      </w:pPr>
    </w:p>
    <w:p w:rsidR="003E7CF5" w:rsidRDefault="00024B00" w:rsidP="002E2D4C">
      <w:pPr>
        <w:pStyle w:val="Corpsdetexte"/>
        <w:spacing w:before="240" w:after="240" w:line="360" w:lineRule="auto"/>
        <w:ind w:right="-91"/>
        <w:jc w:val="both"/>
      </w:pPr>
      <w:r>
        <w:t>L’hypothèse</w:t>
      </w:r>
      <w:r>
        <w:rPr>
          <w:spacing w:val="-9"/>
        </w:rPr>
        <w:t xml:space="preserve"> </w:t>
      </w:r>
      <w:r>
        <w:t>5</w:t>
      </w:r>
      <w:r>
        <w:rPr>
          <w:spacing w:val="-7"/>
        </w:rPr>
        <w:t xml:space="preserve"> </w:t>
      </w:r>
      <w:r>
        <w:t>selon</w:t>
      </w:r>
      <w:r>
        <w:rPr>
          <w:spacing w:val="-7"/>
        </w:rPr>
        <w:t xml:space="preserve"> </w:t>
      </w:r>
      <w:r>
        <w:t>laquelle</w:t>
      </w:r>
      <w:r>
        <w:rPr>
          <w:spacing w:val="-8"/>
        </w:rPr>
        <w:t xml:space="preserve"> </w:t>
      </w:r>
      <w:r>
        <w:t>une</w:t>
      </w:r>
      <w:r>
        <w:rPr>
          <w:spacing w:val="-3"/>
        </w:rPr>
        <w:t xml:space="preserve"> </w:t>
      </w:r>
      <w:r>
        <w:t>atteinte</w:t>
      </w:r>
      <w:r>
        <w:rPr>
          <w:spacing w:val="-8"/>
        </w:rPr>
        <w:t xml:space="preserve"> </w:t>
      </w:r>
      <w:r>
        <w:t>à</w:t>
      </w:r>
      <w:r>
        <w:rPr>
          <w:spacing w:val="-4"/>
        </w:rPr>
        <w:t xml:space="preserve"> </w:t>
      </w:r>
      <w:r>
        <w:t>la</w:t>
      </w:r>
      <w:r>
        <w:rPr>
          <w:spacing w:val="-8"/>
        </w:rPr>
        <w:t xml:space="preserve"> </w:t>
      </w:r>
      <w:r>
        <w:t>sécurité</w:t>
      </w:r>
      <w:r>
        <w:rPr>
          <w:spacing w:val="-3"/>
        </w:rPr>
        <w:t xml:space="preserve"> </w:t>
      </w:r>
      <w:r>
        <w:t>des</w:t>
      </w:r>
      <w:r>
        <w:rPr>
          <w:spacing w:val="-5"/>
        </w:rPr>
        <w:t xml:space="preserve"> </w:t>
      </w:r>
      <w:r>
        <w:t>systèmes</w:t>
      </w:r>
      <w:r>
        <w:rPr>
          <w:spacing w:val="-5"/>
        </w:rPr>
        <w:t xml:space="preserve"> </w:t>
      </w:r>
      <w:r>
        <w:t>d’information</w:t>
      </w:r>
      <w:r>
        <w:rPr>
          <w:spacing w:val="-8"/>
        </w:rPr>
        <w:t xml:space="preserve"> </w:t>
      </w:r>
      <w:r>
        <w:t>d’une</w:t>
      </w:r>
      <w:r>
        <w:rPr>
          <w:spacing w:val="-3"/>
        </w:rPr>
        <w:t xml:space="preserve"> </w:t>
      </w:r>
      <w:r>
        <w:t>entreprise entraîne une rentabilité anormalement négative si elle a eu lieu ces deux dernières années compte tenu</w:t>
      </w:r>
      <w:r>
        <w:rPr>
          <w:spacing w:val="-8"/>
        </w:rPr>
        <w:t xml:space="preserve"> </w:t>
      </w:r>
      <w:r>
        <w:t>de</w:t>
      </w:r>
      <w:r>
        <w:rPr>
          <w:spacing w:val="-4"/>
        </w:rPr>
        <w:t xml:space="preserve"> </w:t>
      </w:r>
      <w:r>
        <w:t>la</w:t>
      </w:r>
      <w:r>
        <w:rPr>
          <w:spacing w:val="-9"/>
        </w:rPr>
        <w:t xml:space="preserve"> </w:t>
      </w:r>
      <w:r>
        <w:t>prise</w:t>
      </w:r>
      <w:r>
        <w:rPr>
          <w:spacing w:val="-8"/>
        </w:rPr>
        <w:t xml:space="preserve"> </w:t>
      </w:r>
      <w:r>
        <w:t>de</w:t>
      </w:r>
      <w:r>
        <w:rPr>
          <w:spacing w:val="-9"/>
        </w:rPr>
        <w:t xml:space="preserve"> </w:t>
      </w:r>
      <w:r>
        <w:t>conscience</w:t>
      </w:r>
      <w:r>
        <w:rPr>
          <w:spacing w:val="-4"/>
        </w:rPr>
        <w:t xml:space="preserve"> </w:t>
      </w:r>
      <w:r>
        <w:t>des</w:t>
      </w:r>
      <w:r>
        <w:rPr>
          <w:spacing w:val="-1"/>
        </w:rPr>
        <w:t xml:space="preserve"> </w:t>
      </w:r>
      <w:r>
        <w:t>acteurs</w:t>
      </w:r>
      <w:r>
        <w:rPr>
          <w:spacing w:val="-5"/>
        </w:rPr>
        <w:t xml:space="preserve"> </w:t>
      </w:r>
      <w:r>
        <w:t>n’est</w:t>
      </w:r>
      <w:r>
        <w:rPr>
          <w:spacing w:val="-9"/>
        </w:rPr>
        <w:t xml:space="preserve"> </w:t>
      </w:r>
      <w:r>
        <w:t>pas</w:t>
      </w:r>
      <w:r>
        <w:rPr>
          <w:spacing w:val="-5"/>
        </w:rPr>
        <w:t xml:space="preserve"> </w:t>
      </w:r>
      <w:r>
        <w:t>réellement</w:t>
      </w:r>
      <w:r>
        <w:rPr>
          <w:spacing w:val="-9"/>
        </w:rPr>
        <w:t xml:space="preserve"> </w:t>
      </w:r>
      <w:r>
        <w:t>vérifiée.</w:t>
      </w:r>
      <w:r>
        <w:rPr>
          <w:spacing w:val="-8"/>
        </w:rPr>
        <w:t xml:space="preserve"> </w:t>
      </w:r>
      <w:r>
        <w:t>En</w:t>
      </w:r>
      <w:r>
        <w:rPr>
          <w:spacing w:val="-3"/>
        </w:rPr>
        <w:t xml:space="preserve"> </w:t>
      </w:r>
      <w:r>
        <w:t>effet,</w:t>
      </w:r>
      <w:r>
        <w:rPr>
          <w:spacing w:val="-2"/>
        </w:rPr>
        <w:t xml:space="preserve"> </w:t>
      </w:r>
      <w:r>
        <w:t>c’est</w:t>
      </w:r>
      <w:r>
        <w:rPr>
          <w:spacing w:val="-9"/>
        </w:rPr>
        <w:t xml:space="preserve"> </w:t>
      </w:r>
      <w:r>
        <w:t>plutôt</w:t>
      </w:r>
      <w:r>
        <w:rPr>
          <w:spacing w:val="-4"/>
        </w:rPr>
        <w:t xml:space="preserve"> </w:t>
      </w:r>
      <w:r>
        <w:t>l’effet contraire qui est constaté. On peut alors supposer que les exigences réglementaires qui pèsent sur les entreprises se révèlent efficaces. Les établissements cotés ont saisi les enjeux et investi massivement dans des programmes et outils pour réduire le risque inhérent au cyberespace. On peut</w:t>
      </w:r>
      <w:r>
        <w:rPr>
          <w:spacing w:val="-11"/>
        </w:rPr>
        <w:t xml:space="preserve"> </w:t>
      </w:r>
      <w:r>
        <w:t>également</w:t>
      </w:r>
      <w:r>
        <w:rPr>
          <w:spacing w:val="-11"/>
        </w:rPr>
        <w:t xml:space="preserve"> </w:t>
      </w:r>
      <w:r>
        <w:t>penser</w:t>
      </w:r>
      <w:r>
        <w:rPr>
          <w:spacing w:val="-9"/>
        </w:rPr>
        <w:t xml:space="preserve"> </w:t>
      </w:r>
      <w:r>
        <w:t>qu’avec</w:t>
      </w:r>
      <w:r>
        <w:rPr>
          <w:spacing w:val="-11"/>
        </w:rPr>
        <w:t xml:space="preserve"> </w:t>
      </w:r>
      <w:r>
        <w:t>les</w:t>
      </w:r>
      <w:r>
        <w:rPr>
          <w:spacing w:val="-8"/>
        </w:rPr>
        <w:t xml:space="preserve"> </w:t>
      </w:r>
      <w:r>
        <w:t>années</w:t>
      </w:r>
      <w:r>
        <w:rPr>
          <w:spacing w:val="-8"/>
        </w:rPr>
        <w:t xml:space="preserve"> </w:t>
      </w:r>
      <w:r>
        <w:t>et</w:t>
      </w:r>
      <w:r>
        <w:rPr>
          <w:spacing w:val="-10"/>
        </w:rPr>
        <w:t xml:space="preserve"> </w:t>
      </w:r>
      <w:r>
        <w:t>l’expérience</w:t>
      </w:r>
      <w:r>
        <w:rPr>
          <w:spacing w:val="-11"/>
        </w:rPr>
        <w:t xml:space="preserve"> </w:t>
      </w:r>
      <w:r>
        <w:t>des</w:t>
      </w:r>
      <w:r>
        <w:rPr>
          <w:spacing w:val="-8"/>
        </w:rPr>
        <w:t xml:space="preserve"> </w:t>
      </w:r>
      <w:r>
        <w:t>précédentes</w:t>
      </w:r>
      <w:r>
        <w:rPr>
          <w:spacing w:val="-7"/>
        </w:rPr>
        <w:t xml:space="preserve"> </w:t>
      </w:r>
      <w:r>
        <w:t>cyberattaques</w:t>
      </w:r>
      <w:r>
        <w:rPr>
          <w:spacing w:val="-8"/>
        </w:rPr>
        <w:t xml:space="preserve"> </w:t>
      </w:r>
      <w:r>
        <w:t>subies,</w:t>
      </w:r>
      <w:r>
        <w:rPr>
          <w:spacing w:val="-10"/>
        </w:rPr>
        <w:t xml:space="preserve"> </w:t>
      </w:r>
      <w:r>
        <w:t>les actionnaires sont moins sensibles à ces annonces de faille de sécurité. En effet, aujourd’hui nous sommes tous concernés par ce risque cyber devenu systémique, les marchés réagissent peut-être moins intensément. Les réactions observées sur les marchés ne retranscrivent pas, dans ce cas précis, la tendance observée dans les entreprises sur les coûts des cyberattaques. Sur ces deux dernières années, le coût des cyberattaques a augmenté d’environ 12% chaque année (Accenture, 2019) et devrait augmenter de 72% dans les cinq années à</w:t>
      </w:r>
      <w:r>
        <w:rPr>
          <w:spacing w:val="-8"/>
        </w:rPr>
        <w:t xml:space="preserve"> </w:t>
      </w:r>
      <w:r>
        <w:t>venir.</w:t>
      </w:r>
    </w:p>
    <w:p w:rsidR="00A5268B" w:rsidRPr="00481040" w:rsidRDefault="00024B00" w:rsidP="002E2D4C">
      <w:pPr>
        <w:pStyle w:val="Titre1"/>
        <w:spacing w:before="240" w:after="240" w:line="360" w:lineRule="auto"/>
        <w:ind w:right="-91"/>
        <w:jc w:val="left"/>
        <w:rPr>
          <w:sz w:val="24"/>
          <w:szCs w:val="24"/>
        </w:rPr>
      </w:pPr>
      <w:bookmarkStart w:id="39" w:name="Conclusion"/>
      <w:bookmarkStart w:id="40" w:name="_bookmark36"/>
      <w:bookmarkEnd w:id="39"/>
      <w:bookmarkEnd w:id="40"/>
      <w:r w:rsidRPr="00481040">
        <w:rPr>
          <w:sz w:val="24"/>
          <w:szCs w:val="24"/>
        </w:rPr>
        <w:t>Conclusion</w:t>
      </w:r>
    </w:p>
    <w:p w:rsidR="003E7CF5" w:rsidRDefault="00024B00" w:rsidP="002E2D4C">
      <w:pPr>
        <w:pStyle w:val="Corpsdetexte"/>
        <w:spacing w:before="240" w:after="240" w:line="360" w:lineRule="auto"/>
        <w:ind w:right="-91"/>
        <w:jc w:val="both"/>
      </w:pPr>
      <w:r>
        <w:t xml:space="preserve">L’impact d’une annonce de faille de sécurité informatique </w:t>
      </w:r>
      <w:r>
        <w:rPr>
          <w:spacing w:val="2"/>
        </w:rPr>
        <w:t xml:space="preserve">sur </w:t>
      </w:r>
      <w:r>
        <w:t>la rentabilité d’un portefeuille d’action est un sujet qui a intéressé beaucoup de chercheurs depuis la fin des années 1990. Les premières études ne parvenaient pas à aboutir à une affirmation claire et étaient centrées sur des évènements</w:t>
      </w:r>
      <w:r>
        <w:rPr>
          <w:spacing w:val="-6"/>
        </w:rPr>
        <w:t xml:space="preserve"> </w:t>
      </w:r>
      <w:r>
        <w:t>impactant</w:t>
      </w:r>
      <w:r>
        <w:rPr>
          <w:spacing w:val="-4"/>
        </w:rPr>
        <w:t xml:space="preserve"> </w:t>
      </w:r>
      <w:r>
        <w:t>les</w:t>
      </w:r>
      <w:r>
        <w:rPr>
          <w:spacing w:val="-1"/>
        </w:rPr>
        <w:t xml:space="preserve"> </w:t>
      </w:r>
      <w:r>
        <w:t>entreprises</w:t>
      </w:r>
      <w:r>
        <w:rPr>
          <w:spacing w:val="-6"/>
        </w:rPr>
        <w:t xml:space="preserve"> </w:t>
      </w:r>
      <w:r>
        <w:t>américaines.</w:t>
      </w:r>
      <w:r>
        <w:rPr>
          <w:spacing w:val="-8"/>
        </w:rPr>
        <w:t xml:space="preserve"> </w:t>
      </w:r>
      <w:r>
        <w:t>Avec</w:t>
      </w:r>
      <w:r>
        <w:rPr>
          <w:spacing w:val="-9"/>
        </w:rPr>
        <w:t xml:space="preserve"> </w:t>
      </w:r>
      <w:r>
        <w:t>le</w:t>
      </w:r>
      <w:r>
        <w:rPr>
          <w:spacing w:val="-9"/>
        </w:rPr>
        <w:t xml:space="preserve"> </w:t>
      </w:r>
      <w:r>
        <w:t>temps,</w:t>
      </w:r>
      <w:r>
        <w:rPr>
          <w:spacing w:val="-2"/>
        </w:rPr>
        <w:t xml:space="preserve"> </w:t>
      </w:r>
      <w:r>
        <w:t>les</w:t>
      </w:r>
      <w:r>
        <w:rPr>
          <w:spacing w:val="-6"/>
        </w:rPr>
        <w:t xml:space="preserve"> </w:t>
      </w:r>
      <w:r>
        <w:t>études</w:t>
      </w:r>
      <w:r>
        <w:rPr>
          <w:spacing w:val="-6"/>
        </w:rPr>
        <w:t xml:space="preserve"> </w:t>
      </w:r>
      <w:r>
        <w:t>se</w:t>
      </w:r>
      <w:r>
        <w:rPr>
          <w:spacing w:val="-9"/>
        </w:rPr>
        <w:t xml:space="preserve"> </w:t>
      </w:r>
      <w:r>
        <w:t>sont</w:t>
      </w:r>
      <w:r>
        <w:rPr>
          <w:spacing w:val="-4"/>
        </w:rPr>
        <w:t xml:space="preserve"> </w:t>
      </w:r>
      <w:r>
        <w:t>diversifiées</w:t>
      </w:r>
      <w:r>
        <w:rPr>
          <w:spacing w:val="-2"/>
        </w:rPr>
        <w:t xml:space="preserve"> </w:t>
      </w:r>
      <w:r>
        <w:t>et complexifiées prenant en compte de plus en plus de facteurs propres à l’informatique comme le type de cyberattaque. Avec la mondialisation et l’expansion des réseaux informatiques et</w:t>
      </w:r>
      <w:r>
        <w:rPr>
          <w:spacing w:val="-39"/>
        </w:rPr>
        <w:t xml:space="preserve"> </w:t>
      </w:r>
      <w:r>
        <w:t>télécom, l’hyper</w:t>
      </w:r>
      <w:r>
        <w:rPr>
          <w:spacing w:val="-9"/>
        </w:rPr>
        <w:t xml:space="preserve"> </w:t>
      </w:r>
      <w:r>
        <w:t>connectivité</w:t>
      </w:r>
      <w:r>
        <w:rPr>
          <w:spacing w:val="-7"/>
        </w:rPr>
        <w:t xml:space="preserve"> </w:t>
      </w:r>
      <w:r>
        <w:t>et</w:t>
      </w:r>
      <w:r>
        <w:rPr>
          <w:spacing w:val="-9"/>
        </w:rPr>
        <w:t xml:space="preserve"> </w:t>
      </w:r>
      <w:r>
        <w:t>le</w:t>
      </w:r>
      <w:r>
        <w:rPr>
          <w:spacing w:val="-9"/>
        </w:rPr>
        <w:t xml:space="preserve"> </w:t>
      </w:r>
      <w:r>
        <w:t>développement</w:t>
      </w:r>
      <w:r>
        <w:rPr>
          <w:spacing w:val="-9"/>
        </w:rPr>
        <w:t xml:space="preserve"> </w:t>
      </w:r>
      <w:r>
        <w:t>de</w:t>
      </w:r>
      <w:r>
        <w:rPr>
          <w:spacing w:val="-4"/>
        </w:rPr>
        <w:t xml:space="preserve"> </w:t>
      </w:r>
      <w:r>
        <w:t>l’internet</w:t>
      </w:r>
      <w:r>
        <w:rPr>
          <w:spacing w:val="-4"/>
        </w:rPr>
        <w:t xml:space="preserve"> </w:t>
      </w:r>
      <w:r>
        <w:t>des</w:t>
      </w:r>
      <w:r>
        <w:rPr>
          <w:spacing w:val="-6"/>
        </w:rPr>
        <w:t xml:space="preserve"> </w:t>
      </w:r>
      <w:r>
        <w:t>objets,</w:t>
      </w:r>
      <w:r>
        <w:rPr>
          <w:spacing w:val="-8"/>
        </w:rPr>
        <w:t xml:space="preserve"> </w:t>
      </w:r>
      <w:r>
        <w:t>des</w:t>
      </w:r>
      <w:r>
        <w:rPr>
          <w:spacing w:val="-6"/>
        </w:rPr>
        <w:t xml:space="preserve"> </w:t>
      </w:r>
      <w:r>
        <w:t>études</w:t>
      </w:r>
      <w:r>
        <w:rPr>
          <w:spacing w:val="-6"/>
        </w:rPr>
        <w:t xml:space="preserve"> </w:t>
      </w:r>
      <w:r>
        <w:t>ont</w:t>
      </w:r>
      <w:r>
        <w:rPr>
          <w:spacing w:val="-9"/>
        </w:rPr>
        <w:t xml:space="preserve"> </w:t>
      </w:r>
      <w:r>
        <w:t>pu</w:t>
      </w:r>
      <w:r>
        <w:rPr>
          <w:spacing w:val="-8"/>
        </w:rPr>
        <w:t xml:space="preserve"> </w:t>
      </w:r>
      <w:r>
        <w:t>être</w:t>
      </w:r>
      <w:r>
        <w:rPr>
          <w:spacing w:val="-9"/>
        </w:rPr>
        <w:t xml:space="preserve"> </w:t>
      </w:r>
      <w:r>
        <w:t>menées</w:t>
      </w:r>
      <w:r>
        <w:rPr>
          <w:spacing w:val="-6"/>
        </w:rPr>
        <w:t xml:space="preserve"> </w:t>
      </w:r>
      <w:r>
        <w:t>sur des</w:t>
      </w:r>
      <w:r>
        <w:rPr>
          <w:spacing w:val="-13"/>
        </w:rPr>
        <w:t xml:space="preserve"> </w:t>
      </w:r>
      <w:r>
        <w:t>populations</w:t>
      </w:r>
      <w:r>
        <w:rPr>
          <w:spacing w:val="-13"/>
        </w:rPr>
        <w:t xml:space="preserve"> </w:t>
      </w:r>
      <w:r>
        <w:t>plus</w:t>
      </w:r>
      <w:r>
        <w:rPr>
          <w:spacing w:val="-13"/>
        </w:rPr>
        <w:t xml:space="preserve"> </w:t>
      </w:r>
      <w:r>
        <w:t>diverses.</w:t>
      </w:r>
      <w:r>
        <w:rPr>
          <w:spacing w:val="-15"/>
        </w:rPr>
        <w:t xml:space="preserve"> </w:t>
      </w:r>
      <w:r>
        <w:t>Aujourd’hui,</w:t>
      </w:r>
      <w:r>
        <w:rPr>
          <w:spacing w:val="-15"/>
        </w:rPr>
        <w:t xml:space="preserve"> </w:t>
      </w:r>
      <w:r>
        <w:t>notre</w:t>
      </w:r>
      <w:r>
        <w:rPr>
          <w:spacing w:val="-16"/>
        </w:rPr>
        <w:t xml:space="preserve"> </w:t>
      </w:r>
      <w:r>
        <w:t>étude</w:t>
      </w:r>
      <w:r>
        <w:rPr>
          <w:spacing w:val="-15"/>
        </w:rPr>
        <w:t xml:space="preserve"> </w:t>
      </w:r>
      <w:r>
        <w:t>s’est</w:t>
      </w:r>
      <w:r>
        <w:rPr>
          <w:spacing w:val="-11"/>
        </w:rPr>
        <w:t xml:space="preserve"> </w:t>
      </w:r>
      <w:r>
        <w:t>focalisée</w:t>
      </w:r>
      <w:r>
        <w:rPr>
          <w:spacing w:val="-16"/>
        </w:rPr>
        <w:t xml:space="preserve"> </w:t>
      </w:r>
      <w:r>
        <w:t>sur</w:t>
      </w:r>
      <w:r>
        <w:rPr>
          <w:spacing w:val="-14"/>
        </w:rPr>
        <w:t xml:space="preserve"> </w:t>
      </w:r>
      <w:r>
        <w:t>les</w:t>
      </w:r>
      <w:r>
        <w:rPr>
          <w:spacing w:val="-13"/>
        </w:rPr>
        <w:t xml:space="preserve"> </w:t>
      </w:r>
      <w:r>
        <w:t>entreprises</w:t>
      </w:r>
      <w:r>
        <w:rPr>
          <w:spacing w:val="-13"/>
        </w:rPr>
        <w:t xml:space="preserve"> </w:t>
      </w:r>
      <w:r>
        <w:t>du</w:t>
      </w:r>
      <w:r>
        <w:rPr>
          <w:spacing w:val="-15"/>
        </w:rPr>
        <w:t xml:space="preserve"> </w:t>
      </w:r>
      <w:r>
        <w:t>marché boursier français, car peu d’études se sont attardées à analyser uniquement cette</w:t>
      </w:r>
      <w:r>
        <w:rPr>
          <w:spacing w:val="-15"/>
        </w:rPr>
        <w:t xml:space="preserve"> </w:t>
      </w:r>
      <w:r>
        <w:t>population.</w:t>
      </w:r>
    </w:p>
    <w:p w:rsidR="003E7CF5" w:rsidRDefault="00024B00" w:rsidP="002E2D4C">
      <w:pPr>
        <w:pStyle w:val="Corpsdetexte"/>
        <w:spacing w:before="240" w:after="240" w:line="360" w:lineRule="auto"/>
        <w:ind w:right="-91"/>
        <w:jc w:val="both"/>
      </w:pPr>
      <w:r>
        <w:t>À travers notre travail empirique, nous avons cherché à démontrer dans quelle mesure l’annonce d’une faille informatique, d’une cyberattaque pouvait influencer la rentabilité des cours boursiers. L’une</w:t>
      </w:r>
      <w:r>
        <w:rPr>
          <w:spacing w:val="-16"/>
        </w:rPr>
        <w:t xml:space="preserve"> </w:t>
      </w:r>
      <w:r>
        <w:t>des</w:t>
      </w:r>
      <w:r>
        <w:rPr>
          <w:spacing w:val="-12"/>
        </w:rPr>
        <w:t xml:space="preserve"> </w:t>
      </w:r>
      <w:r>
        <w:t>difficultés</w:t>
      </w:r>
      <w:r>
        <w:rPr>
          <w:spacing w:val="-13"/>
        </w:rPr>
        <w:t xml:space="preserve"> </w:t>
      </w:r>
      <w:r>
        <w:t>majeures</w:t>
      </w:r>
      <w:r>
        <w:rPr>
          <w:spacing w:val="-13"/>
        </w:rPr>
        <w:t xml:space="preserve"> </w:t>
      </w:r>
      <w:r>
        <w:t>de</w:t>
      </w:r>
      <w:r>
        <w:rPr>
          <w:spacing w:val="-15"/>
        </w:rPr>
        <w:t xml:space="preserve"> </w:t>
      </w:r>
      <w:r>
        <w:t>cette</w:t>
      </w:r>
      <w:r>
        <w:rPr>
          <w:spacing w:val="-15"/>
        </w:rPr>
        <w:t xml:space="preserve"> </w:t>
      </w:r>
      <w:r>
        <w:t>étude</w:t>
      </w:r>
      <w:r>
        <w:rPr>
          <w:spacing w:val="-16"/>
        </w:rPr>
        <w:t xml:space="preserve"> </w:t>
      </w:r>
      <w:r>
        <w:t>a</w:t>
      </w:r>
      <w:r>
        <w:rPr>
          <w:spacing w:val="-15"/>
        </w:rPr>
        <w:t xml:space="preserve"> </w:t>
      </w:r>
      <w:r>
        <w:t>été</w:t>
      </w:r>
      <w:r>
        <w:rPr>
          <w:spacing w:val="-16"/>
        </w:rPr>
        <w:t xml:space="preserve"> </w:t>
      </w:r>
      <w:r>
        <w:t>de</w:t>
      </w:r>
      <w:r>
        <w:rPr>
          <w:spacing w:val="-15"/>
        </w:rPr>
        <w:t xml:space="preserve"> </w:t>
      </w:r>
      <w:r>
        <w:t>collecter</w:t>
      </w:r>
      <w:r>
        <w:rPr>
          <w:spacing w:val="-13"/>
        </w:rPr>
        <w:t xml:space="preserve"> </w:t>
      </w:r>
      <w:r>
        <w:t>des</w:t>
      </w:r>
      <w:r>
        <w:rPr>
          <w:spacing w:val="-13"/>
        </w:rPr>
        <w:t xml:space="preserve"> </w:t>
      </w:r>
      <w:r>
        <w:t>données</w:t>
      </w:r>
      <w:r>
        <w:rPr>
          <w:spacing w:val="-13"/>
        </w:rPr>
        <w:t xml:space="preserve"> </w:t>
      </w:r>
      <w:r>
        <w:t>pertinentes</w:t>
      </w:r>
      <w:r>
        <w:rPr>
          <w:spacing w:val="-12"/>
        </w:rPr>
        <w:t xml:space="preserve"> </w:t>
      </w:r>
      <w:r>
        <w:t>et</w:t>
      </w:r>
      <w:r>
        <w:rPr>
          <w:spacing w:val="-16"/>
        </w:rPr>
        <w:t xml:space="preserve"> </w:t>
      </w:r>
      <w:r>
        <w:t>de</w:t>
      </w:r>
      <w:r>
        <w:rPr>
          <w:spacing w:val="-15"/>
        </w:rPr>
        <w:t xml:space="preserve"> </w:t>
      </w:r>
      <w:r>
        <w:t>qualité. En</w:t>
      </w:r>
      <w:r>
        <w:rPr>
          <w:spacing w:val="-13"/>
        </w:rPr>
        <w:t xml:space="preserve"> </w:t>
      </w:r>
      <w:r>
        <w:t>effet,</w:t>
      </w:r>
      <w:r>
        <w:rPr>
          <w:spacing w:val="-13"/>
        </w:rPr>
        <w:t xml:space="preserve"> </w:t>
      </w:r>
      <w:r>
        <w:t>les</w:t>
      </w:r>
      <w:r>
        <w:rPr>
          <w:spacing w:val="-9"/>
        </w:rPr>
        <w:t xml:space="preserve"> </w:t>
      </w:r>
      <w:r>
        <w:t>cyberattaques</w:t>
      </w:r>
      <w:r>
        <w:rPr>
          <w:spacing w:val="-10"/>
        </w:rPr>
        <w:t xml:space="preserve"> </w:t>
      </w:r>
      <w:r>
        <w:t>entraînent</w:t>
      </w:r>
      <w:r>
        <w:rPr>
          <w:spacing w:val="-14"/>
        </w:rPr>
        <w:t xml:space="preserve"> </w:t>
      </w:r>
      <w:r>
        <w:t>des</w:t>
      </w:r>
      <w:r>
        <w:rPr>
          <w:spacing w:val="-6"/>
        </w:rPr>
        <w:t xml:space="preserve"> </w:t>
      </w:r>
      <w:r>
        <w:t>coûts</w:t>
      </w:r>
      <w:r>
        <w:rPr>
          <w:spacing w:val="-11"/>
        </w:rPr>
        <w:t xml:space="preserve"> </w:t>
      </w:r>
      <w:r>
        <w:t>pour</w:t>
      </w:r>
      <w:r>
        <w:rPr>
          <w:spacing w:val="-7"/>
        </w:rPr>
        <w:t xml:space="preserve"> </w:t>
      </w:r>
      <w:r>
        <w:t>les</w:t>
      </w:r>
      <w:r>
        <w:rPr>
          <w:spacing w:val="-11"/>
        </w:rPr>
        <w:t xml:space="preserve"> </w:t>
      </w:r>
      <w:r>
        <w:t>entreprises</w:t>
      </w:r>
      <w:r>
        <w:rPr>
          <w:spacing w:val="-11"/>
        </w:rPr>
        <w:t xml:space="preserve"> </w:t>
      </w:r>
      <w:r>
        <w:t>et</w:t>
      </w:r>
      <w:r>
        <w:rPr>
          <w:spacing w:val="-9"/>
        </w:rPr>
        <w:t xml:space="preserve"> </w:t>
      </w:r>
      <w:r>
        <w:t>il</w:t>
      </w:r>
      <w:r>
        <w:rPr>
          <w:spacing w:val="-8"/>
        </w:rPr>
        <w:t xml:space="preserve"> </w:t>
      </w:r>
      <w:r>
        <w:t>n’est</w:t>
      </w:r>
      <w:r>
        <w:rPr>
          <w:spacing w:val="-9"/>
        </w:rPr>
        <w:t xml:space="preserve"> </w:t>
      </w:r>
      <w:r>
        <w:t>jamais</w:t>
      </w:r>
      <w:r>
        <w:rPr>
          <w:spacing w:val="-11"/>
        </w:rPr>
        <w:t xml:space="preserve"> </w:t>
      </w:r>
      <w:r>
        <w:t>très</w:t>
      </w:r>
      <w:r>
        <w:rPr>
          <w:spacing w:val="-11"/>
        </w:rPr>
        <w:t xml:space="preserve"> </w:t>
      </w:r>
      <w:r>
        <w:t>bien</w:t>
      </w:r>
      <w:r>
        <w:rPr>
          <w:spacing w:val="-8"/>
        </w:rPr>
        <w:t xml:space="preserve"> </w:t>
      </w:r>
      <w:r>
        <w:t xml:space="preserve">perçu de subir une attaque de ce type. Les obligations de déclarations sont très récentes et ne concernent </w:t>
      </w:r>
      <w:r>
        <w:lastRenderedPageBreak/>
        <w:t xml:space="preserve">que certains types de données compromises. Ainsi, beaucoup de cyberattaques sont laissées en silence, traitées en interne dans la plus grande discrétion. </w:t>
      </w:r>
      <w:r>
        <w:rPr>
          <w:spacing w:val="2"/>
        </w:rPr>
        <w:t xml:space="preserve">Le </w:t>
      </w:r>
      <w:r>
        <w:t>portefeuille d’évènement du travail empirique fait tout de même état de 53 attaques. Ce chiffre peut être jugé satisfaisant pour la réalisation d’un travail de recherche, d’autant que des précédents travaux sur la même thématique ont précédemment été menés avec de plus petits échantillons. Cependant, cela reste assez faible pour</w:t>
      </w:r>
      <w:r>
        <w:rPr>
          <w:spacing w:val="-12"/>
        </w:rPr>
        <w:t xml:space="preserve"> </w:t>
      </w:r>
      <w:r>
        <w:t>une</w:t>
      </w:r>
      <w:r>
        <w:rPr>
          <w:spacing w:val="-13"/>
        </w:rPr>
        <w:t xml:space="preserve"> </w:t>
      </w:r>
      <w:r>
        <w:t>étude</w:t>
      </w:r>
      <w:r>
        <w:rPr>
          <w:spacing w:val="-13"/>
        </w:rPr>
        <w:t xml:space="preserve"> </w:t>
      </w:r>
      <w:r>
        <w:t>d’évènement</w:t>
      </w:r>
      <w:r>
        <w:rPr>
          <w:spacing w:val="-8"/>
        </w:rPr>
        <w:t xml:space="preserve"> </w:t>
      </w:r>
      <w:r>
        <w:t>et</w:t>
      </w:r>
      <w:r>
        <w:rPr>
          <w:spacing w:val="-9"/>
        </w:rPr>
        <w:t xml:space="preserve"> </w:t>
      </w:r>
      <w:r>
        <w:t>a</w:t>
      </w:r>
      <w:r>
        <w:rPr>
          <w:spacing w:val="-13"/>
        </w:rPr>
        <w:t xml:space="preserve"> </w:t>
      </w:r>
      <w:r>
        <w:t>probablement</w:t>
      </w:r>
      <w:r>
        <w:rPr>
          <w:spacing w:val="-8"/>
        </w:rPr>
        <w:t xml:space="preserve"> </w:t>
      </w:r>
      <w:r>
        <w:t>pu</w:t>
      </w:r>
      <w:r>
        <w:rPr>
          <w:spacing w:val="-12"/>
        </w:rPr>
        <w:t xml:space="preserve"> </w:t>
      </w:r>
      <w:r>
        <w:t>créer</w:t>
      </w:r>
      <w:r>
        <w:rPr>
          <w:spacing w:val="-12"/>
        </w:rPr>
        <w:t xml:space="preserve"> </w:t>
      </w:r>
      <w:r>
        <w:t>certains</w:t>
      </w:r>
      <w:r>
        <w:rPr>
          <w:spacing w:val="-10"/>
        </w:rPr>
        <w:t xml:space="preserve"> </w:t>
      </w:r>
      <w:r>
        <w:t>biais</w:t>
      </w:r>
      <w:r>
        <w:rPr>
          <w:spacing w:val="-10"/>
        </w:rPr>
        <w:t xml:space="preserve"> </w:t>
      </w:r>
      <w:r>
        <w:t>notamment dans</w:t>
      </w:r>
      <w:r>
        <w:rPr>
          <w:spacing w:val="-10"/>
        </w:rPr>
        <w:t xml:space="preserve"> </w:t>
      </w:r>
      <w:r>
        <w:t>l’estimation des rendements</w:t>
      </w:r>
      <w:r>
        <w:rPr>
          <w:spacing w:val="1"/>
        </w:rPr>
        <w:t xml:space="preserve"> </w:t>
      </w:r>
      <w:r>
        <w:t>anormaux.</w:t>
      </w:r>
    </w:p>
    <w:p w:rsidR="003E7CF5" w:rsidRDefault="00024B00" w:rsidP="002E2D4C">
      <w:pPr>
        <w:pStyle w:val="Corpsdetexte"/>
        <w:spacing w:before="240" w:after="240" w:line="360" w:lineRule="auto"/>
        <w:ind w:right="-91"/>
        <w:jc w:val="both"/>
      </w:pPr>
      <w:r>
        <w:t>L’hypothèse principale de l’étude selon laquelle une atteinte à la sécurité des systèmes d’information d’une entreprise entraîne une rentabilité anormalement négative de la valeur de ses actions lorsqu’elle est rendue publique est validée. En effet, on a pu constater des rendements négatifs sur les deux tiers des fenêtres analysées. Les rendements positifs sont constatés sur les fenêtres</w:t>
      </w:r>
      <w:r>
        <w:rPr>
          <w:spacing w:val="-7"/>
        </w:rPr>
        <w:t xml:space="preserve"> </w:t>
      </w:r>
      <w:r>
        <w:t>de</w:t>
      </w:r>
      <w:r>
        <w:rPr>
          <w:spacing w:val="-10"/>
        </w:rPr>
        <w:t xml:space="preserve"> </w:t>
      </w:r>
      <w:r>
        <w:t>plus</w:t>
      </w:r>
      <w:r>
        <w:rPr>
          <w:spacing w:val="-7"/>
        </w:rPr>
        <w:t xml:space="preserve"> </w:t>
      </w:r>
      <w:r>
        <w:t>de</w:t>
      </w:r>
      <w:r>
        <w:rPr>
          <w:spacing w:val="-10"/>
        </w:rPr>
        <w:t xml:space="preserve"> </w:t>
      </w:r>
      <w:r>
        <w:t>6</w:t>
      </w:r>
      <w:r>
        <w:rPr>
          <w:spacing w:val="-9"/>
        </w:rPr>
        <w:t xml:space="preserve"> </w:t>
      </w:r>
      <w:r>
        <w:t>jours</w:t>
      </w:r>
      <w:r>
        <w:rPr>
          <w:spacing w:val="-7"/>
        </w:rPr>
        <w:t xml:space="preserve"> </w:t>
      </w:r>
      <w:r>
        <w:t>et</w:t>
      </w:r>
      <w:r>
        <w:rPr>
          <w:spacing w:val="-10"/>
        </w:rPr>
        <w:t xml:space="preserve"> </w:t>
      </w:r>
      <w:r>
        <w:t>avec</w:t>
      </w:r>
      <w:r>
        <w:rPr>
          <w:spacing w:val="-7"/>
        </w:rPr>
        <w:t xml:space="preserve"> </w:t>
      </w:r>
      <w:r>
        <w:t>des</w:t>
      </w:r>
      <w:r>
        <w:rPr>
          <w:spacing w:val="-7"/>
        </w:rPr>
        <w:t xml:space="preserve"> </w:t>
      </w:r>
      <w:r>
        <w:t>anticipations</w:t>
      </w:r>
      <w:r>
        <w:rPr>
          <w:spacing w:val="-7"/>
        </w:rPr>
        <w:t xml:space="preserve"> </w:t>
      </w:r>
      <w:r>
        <w:t>à</w:t>
      </w:r>
      <w:r>
        <w:rPr>
          <w:spacing w:val="-9"/>
        </w:rPr>
        <w:t xml:space="preserve"> </w:t>
      </w:r>
      <w:r>
        <w:t>J</w:t>
      </w:r>
      <w:r>
        <w:rPr>
          <w:spacing w:val="-5"/>
        </w:rPr>
        <w:t xml:space="preserve"> </w:t>
      </w:r>
      <w:r>
        <w:t>-3</w:t>
      </w:r>
      <w:r>
        <w:rPr>
          <w:spacing w:val="-9"/>
        </w:rPr>
        <w:t xml:space="preserve"> </w:t>
      </w:r>
      <w:r>
        <w:t>et</w:t>
      </w:r>
      <w:r>
        <w:rPr>
          <w:spacing w:val="-10"/>
        </w:rPr>
        <w:t xml:space="preserve"> </w:t>
      </w:r>
      <w:r>
        <w:t>J-5.</w:t>
      </w:r>
      <w:r>
        <w:rPr>
          <w:spacing w:val="-14"/>
        </w:rPr>
        <w:t xml:space="preserve"> </w:t>
      </w:r>
      <w:r>
        <w:t>Ces</w:t>
      </w:r>
      <w:r>
        <w:rPr>
          <w:spacing w:val="-7"/>
        </w:rPr>
        <w:t xml:space="preserve"> </w:t>
      </w:r>
      <w:r>
        <w:t>résultats</w:t>
      </w:r>
      <w:r>
        <w:rPr>
          <w:spacing w:val="-7"/>
        </w:rPr>
        <w:t xml:space="preserve"> </w:t>
      </w:r>
      <w:r>
        <w:t>ont</w:t>
      </w:r>
      <w:r>
        <w:rPr>
          <w:spacing w:val="-10"/>
        </w:rPr>
        <w:t xml:space="preserve"> </w:t>
      </w:r>
      <w:r>
        <w:t>permis</w:t>
      </w:r>
      <w:r>
        <w:rPr>
          <w:spacing w:val="-6"/>
        </w:rPr>
        <w:t xml:space="preserve"> </w:t>
      </w:r>
      <w:r>
        <w:t>d’affirmer que</w:t>
      </w:r>
      <w:r>
        <w:rPr>
          <w:spacing w:val="-15"/>
        </w:rPr>
        <w:t xml:space="preserve"> </w:t>
      </w:r>
      <w:r>
        <w:t>les</w:t>
      </w:r>
      <w:r>
        <w:rPr>
          <w:spacing w:val="-12"/>
        </w:rPr>
        <w:t xml:space="preserve"> </w:t>
      </w:r>
      <w:r>
        <w:t>marchés</w:t>
      </w:r>
      <w:r>
        <w:rPr>
          <w:spacing w:val="-12"/>
        </w:rPr>
        <w:t xml:space="preserve"> </w:t>
      </w:r>
      <w:r>
        <w:t>ne</w:t>
      </w:r>
      <w:r>
        <w:rPr>
          <w:spacing w:val="-15"/>
        </w:rPr>
        <w:t xml:space="preserve"> </w:t>
      </w:r>
      <w:r>
        <w:t>peuvent</w:t>
      </w:r>
      <w:r>
        <w:rPr>
          <w:spacing w:val="-15"/>
        </w:rPr>
        <w:t xml:space="preserve"> </w:t>
      </w:r>
      <w:r>
        <w:t>pas</w:t>
      </w:r>
      <w:r>
        <w:rPr>
          <w:spacing w:val="-12"/>
        </w:rPr>
        <w:t xml:space="preserve"> </w:t>
      </w:r>
      <w:r>
        <w:t>anticiper</w:t>
      </w:r>
      <w:r>
        <w:rPr>
          <w:spacing w:val="-13"/>
        </w:rPr>
        <w:t xml:space="preserve"> </w:t>
      </w:r>
      <w:r>
        <w:t>les</w:t>
      </w:r>
      <w:r>
        <w:rPr>
          <w:spacing w:val="-12"/>
        </w:rPr>
        <w:t xml:space="preserve"> </w:t>
      </w:r>
      <w:r>
        <w:t>cyberattaques</w:t>
      </w:r>
      <w:r>
        <w:rPr>
          <w:spacing w:val="-12"/>
        </w:rPr>
        <w:t xml:space="preserve"> </w:t>
      </w:r>
      <w:r>
        <w:t>ni</w:t>
      </w:r>
      <w:r>
        <w:rPr>
          <w:spacing w:val="-15"/>
        </w:rPr>
        <w:t xml:space="preserve"> </w:t>
      </w:r>
      <w:r>
        <w:t>leurs</w:t>
      </w:r>
      <w:r>
        <w:rPr>
          <w:spacing w:val="-12"/>
        </w:rPr>
        <w:t xml:space="preserve"> </w:t>
      </w:r>
      <w:r>
        <w:t>annonces</w:t>
      </w:r>
      <w:r>
        <w:rPr>
          <w:spacing w:val="-12"/>
        </w:rPr>
        <w:t xml:space="preserve"> </w:t>
      </w:r>
      <w:r>
        <w:t>et</w:t>
      </w:r>
      <w:r>
        <w:rPr>
          <w:spacing w:val="-6"/>
        </w:rPr>
        <w:t xml:space="preserve"> </w:t>
      </w:r>
      <w:r>
        <w:t>que</w:t>
      </w:r>
      <w:r>
        <w:rPr>
          <w:spacing w:val="-15"/>
        </w:rPr>
        <w:t xml:space="preserve"> </w:t>
      </w:r>
      <w:r>
        <w:t>l’impact</w:t>
      </w:r>
      <w:r>
        <w:rPr>
          <w:spacing w:val="-15"/>
        </w:rPr>
        <w:t xml:space="preserve"> </w:t>
      </w:r>
      <w:r>
        <w:t>négatif est généralement absorbé sous 3 à 5 jours. Globalement, les quatre autres hypothèses</w:t>
      </w:r>
      <w:r>
        <w:rPr>
          <w:spacing w:val="53"/>
        </w:rPr>
        <w:t xml:space="preserve"> </w:t>
      </w:r>
      <w:r>
        <w:t>plus</w:t>
      </w:r>
      <w:r w:rsidR="00A5268B">
        <w:t xml:space="preserve"> </w:t>
      </w:r>
      <w:r>
        <w:t>spécifiques ont été également validées avec des niveaux différents. Les résultats sont cohérents</w:t>
      </w:r>
      <w:r>
        <w:rPr>
          <w:spacing w:val="-31"/>
        </w:rPr>
        <w:t xml:space="preserve"> </w:t>
      </w:r>
      <w:r>
        <w:t>au vu des études actuelles notamment sur les tendances des cyberattaques, les méthodes et impacts ces dernières</w:t>
      </w:r>
      <w:r>
        <w:rPr>
          <w:spacing w:val="1"/>
        </w:rPr>
        <w:t xml:space="preserve"> </w:t>
      </w:r>
      <w:r>
        <w:t>années.</w:t>
      </w:r>
    </w:p>
    <w:p w:rsidR="003E7CF5" w:rsidRDefault="00024B00" w:rsidP="002E2D4C">
      <w:pPr>
        <w:pStyle w:val="Corpsdetexte"/>
        <w:spacing w:before="240" w:after="240" w:line="360" w:lineRule="auto"/>
        <w:ind w:right="-91"/>
        <w:jc w:val="both"/>
      </w:pPr>
      <w:r>
        <w:t>Selon</w:t>
      </w:r>
      <w:r>
        <w:rPr>
          <w:spacing w:val="-8"/>
        </w:rPr>
        <w:t xml:space="preserve"> </w:t>
      </w:r>
      <w:r>
        <w:t>les</w:t>
      </w:r>
      <w:r>
        <w:rPr>
          <w:spacing w:val="-6"/>
        </w:rPr>
        <w:t xml:space="preserve"> </w:t>
      </w:r>
      <w:r>
        <w:t>résultats</w:t>
      </w:r>
      <w:r>
        <w:rPr>
          <w:spacing w:val="-5"/>
        </w:rPr>
        <w:t xml:space="preserve"> </w:t>
      </w:r>
      <w:r>
        <w:t>établis</w:t>
      </w:r>
      <w:r>
        <w:rPr>
          <w:spacing w:val="-6"/>
        </w:rPr>
        <w:t xml:space="preserve"> </w:t>
      </w:r>
      <w:r>
        <w:t>dans</w:t>
      </w:r>
      <w:r>
        <w:rPr>
          <w:spacing w:val="-6"/>
        </w:rPr>
        <w:t xml:space="preserve"> </w:t>
      </w:r>
      <w:r>
        <w:t>l’hypothèse</w:t>
      </w:r>
      <w:r>
        <w:rPr>
          <w:spacing w:val="-8"/>
        </w:rPr>
        <w:t xml:space="preserve"> </w:t>
      </w:r>
      <w:r>
        <w:t>5,</w:t>
      </w:r>
      <w:r>
        <w:rPr>
          <w:spacing w:val="-3"/>
        </w:rPr>
        <w:t xml:space="preserve"> </w:t>
      </w:r>
      <w:r>
        <w:t>il</w:t>
      </w:r>
      <w:r>
        <w:rPr>
          <w:spacing w:val="-4"/>
        </w:rPr>
        <w:t xml:space="preserve"> </w:t>
      </w:r>
      <w:r>
        <w:t>apparaît</w:t>
      </w:r>
      <w:r>
        <w:rPr>
          <w:spacing w:val="-8"/>
        </w:rPr>
        <w:t xml:space="preserve"> </w:t>
      </w:r>
      <w:r>
        <w:t>qu’en</w:t>
      </w:r>
      <w:r>
        <w:rPr>
          <w:spacing w:val="-8"/>
        </w:rPr>
        <w:t xml:space="preserve"> </w:t>
      </w:r>
      <w:r>
        <w:t>2019,</w:t>
      </w:r>
      <w:r>
        <w:rPr>
          <w:spacing w:val="-2"/>
        </w:rPr>
        <w:t xml:space="preserve"> </w:t>
      </w:r>
      <w:r>
        <w:t>les</w:t>
      </w:r>
      <w:r>
        <w:rPr>
          <w:spacing w:val="-5"/>
        </w:rPr>
        <w:t xml:space="preserve"> </w:t>
      </w:r>
      <w:r>
        <w:t>rendements</w:t>
      </w:r>
      <w:r>
        <w:rPr>
          <w:spacing w:val="-5"/>
        </w:rPr>
        <w:t xml:space="preserve"> </w:t>
      </w:r>
      <w:r>
        <w:t>ont</w:t>
      </w:r>
      <w:r>
        <w:rPr>
          <w:spacing w:val="-8"/>
        </w:rPr>
        <w:t xml:space="preserve"> </w:t>
      </w:r>
      <w:r>
        <w:t>été</w:t>
      </w:r>
      <w:r>
        <w:rPr>
          <w:spacing w:val="-9"/>
        </w:rPr>
        <w:t xml:space="preserve"> </w:t>
      </w:r>
      <w:r>
        <w:t>un</w:t>
      </w:r>
      <w:r>
        <w:rPr>
          <w:spacing w:val="-8"/>
        </w:rPr>
        <w:t xml:space="preserve"> </w:t>
      </w:r>
      <w:r>
        <w:t>peu moins négativement impactés que les années précédentes. Cette dernière statistique est intéressante, car assez contradictoire avec les tendances de ces dernières années. En effet, on a pu lire</w:t>
      </w:r>
      <w:r>
        <w:rPr>
          <w:spacing w:val="-18"/>
        </w:rPr>
        <w:t xml:space="preserve"> </w:t>
      </w:r>
      <w:r>
        <w:t>précédemment</w:t>
      </w:r>
      <w:r>
        <w:rPr>
          <w:spacing w:val="-18"/>
        </w:rPr>
        <w:t xml:space="preserve"> </w:t>
      </w:r>
      <w:r>
        <w:t>dans</w:t>
      </w:r>
      <w:r>
        <w:rPr>
          <w:spacing w:val="-14"/>
        </w:rPr>
        <w:t xml:space="preserve"> </w:t>
      </w:r>
      <w:r>
        <w:t>l’étude</w:t>
      </w:r>
      <w:r>
        <w:rPr>
          <w:spacing w:val="-14"/>
        </w:rPr>
        <w:t xml:space="preserve"> </w:t>
      </w:r>
      <w:r>
        <w:t>que</w:t>
      </w:r>
      <w:r>
        <w:rPr>
          <w:spacing w:val="-18"/>
        </w:rPr>
        <w:t xml:space="preserve"> </w:t>
      </w:r>
      <w:r>
        <w:t>les</w:t>
      </w:r>
      <w:r>
        <w:rPr>
          <w:spacing w:val="-14"/>
        </w:rPr>
        <w:t xml:space="preserve"> </w:t>
      </w:r>
      <w:r>
        <w:t>coûts</w:t>
      </w:r>
      <w:r>
        <w:rPr>
          <w:spacing w:val="-15"/>
        </w:rPr>
        <w:t xml:space="preserve"> </w:t>
      </w:r>
      <w:r>
        <w:t>des</w:t>
      </w:r>
      <w:r>
        <w:rPr>
          <w:spacing w:val="-15"/>
        </w:rPr>
        <w:t xml:space="preserve"> </w:t>
      </w:r>
      <w:r>
        <w:t>cyberattaques</w:t>
      </w:r>
      <w:r>
        <w:rPr>
          <w:spacing w:val="-14"/>
        </w:rPr>
        <w:t xml:space="preserve"> </w:t>
      </w:r>
      <w:r>
        <w:t>ne</w:t>
      </w:r>
      <w:r>
        <w:rPr>
          <w:spacing w:val="-13"/>
        </w:rPr>
        <w:t xml:space="preserve"> </w:t>
      </w:r>
      <w:r>
        <w:t>cessent</w:t>
      </w:r>
      <w:r>
        <w:rPr>
          <w:spacing w:val="-17"/>
        </w:rPr>
        <w:t xml:space="preserve"> </w:t>
      </w:r>
      <w:r>
        <w:t>d’augmenter</w:t>
      </w:r>
      <w:r>
        <w:rPr>
          <w:spacing w:val="-11"/>
        </w:rPr>
        <w:t xml:space="preserve"> </w:t>
      </w:r>
      <w:r>
        <w:t>et</w:t>
      </w:r>
      <w:r>
        <w:rPr>
          <w:spacing w:val="-17"/>
        </w:rPr>
        <w:t xml:space="preserve"> </w:t>
      </w:r>
      <w:r>
        <w:t>devraient augmenter</w:t>
      </w:r>
      <w:r>
        <w:rPr>
          <w:spacing w:val="-8"/>
        </w:rPr>
        <w:t xml:space="preserve"> </w:t>
      </w:r>
      <w:r>
        <w:t>de</w:t>
      </w:r>
      <w:r>
        <w:rPr>
          <w:spacing w:val="-4"/>
        </w:rPr>
        <w:t xml:space="preserve"> </w:t>
      </w:r>
      <w:r>
        <w:t>72%</w:t>
      </w:r>
      <w:r>
        <w:rPr>
          <w:spacing w:val="-6"/>
        </w:rPr>
        <w:t xml:space="preserve"> </w:t>
      </w:r>
      <w:r>
        <w:t>dans</w:t>
      </w:r>
      <w:r>
        <w:rPr>
          <w:spacing w:val="-1"/>
        </w:rPr>
        <w:t xml:space="preserve"> </w:t>
      </w:r>
      <w:r>
        <w:t>les</w:t>
      </w:r>
      <w:r>
        <w:rPr>
          <w:spacing w:val="-6"/>
        </w:rPr>
        <w:t xml:space="preserve"> </w:t>
      </w:r>
      <w:r>
        <w:t>cinq</w:t>
      </w:r>
      <w:r>
        <w:rPr>
          <w:spacing w:val="-2"/>
        </w:rPr>
        <w:t xml:space="preserve"> </w:t>
      </w:r>
      <w:r>
        <w:t>années</w:t>
      </w:r>
      <w:r>
        <w:rPr>
          <w:spacing w:val="-6"/>
        </w:rPr>
        <w:t xml:space="preserve"> </w:t>
      </w:r>
      <w:r>
        <w:t>à</w:t>
      </w:r>
      <w:r>
        <w:rPr>
          <w:spacing w:val="-8"/>
        </w:rPr>
        <w:t xml:space="preserve"> </w:t>
      </w:r>
      <w:r>
        <w:t>venir.</w:t>
      </w:r>
      <w:r>
        <w:rPr>
          <w:spacing w:val="3"/>
        </w:rPr>
        <w:t xml:space="preserve"> </w:t>
      </w:r>
      <w:r>
        <w:t>Face</w:t>
      </w:r>
      <w:r>
        <w:rPr>
          <w:spacing w:val="-4"/>
        </w:rPr>
        <w:t xml:space="preserve"> </w:t>
      </w:r>
      <w:r>
        <w:t>à</w:t>
      </w:r>
      <w:r>
        <w:rPr>
          <w:spacing w:val="-7"/>
        </w:rPr>
        <w:t xml:space="preserve"> </w:t>
      </w:r>
      <w:r>
        <w:t>l’hostilité</w:t>
      </w:r>
      <w:r>
        <w:rPr>
          <w:spacing w:val="-9"/>
        </w:rPr>
        <w:t xml:space="preserve"> </w:t>
      </w:r>
      <w:r>
        <w:t>du</w:t>
      </w:r>
      <w:r>
        <w:rPr>
          <w:spacing w:val="-2"/>
        </w:rPr>
        <w:t xml:space="preserve"> </w:t>
      </w:r>
      <w:r>
        <w:t>cyberespace</w:t>
      </w:r>
      <w:r>
        <w:rPr>
          <w:spacing w:val="-1"/>
        </w:rPr>
        <w:t xml:space="preserve"> </w:t>
      </w:r>
      <w:r>
        <w:t>et</w:t>
      </w:r>
      <w:r>
        <w:rPr>
          <w:spacing w:val="-4"/>
        </w:rPr>
        <w:t xml:space="preserve"> </w:t>
      </w:r>
      <w:r>
        <w:t>la</w:t>
      </w:r>
      <w:r>
        <w:rPr>
          <w:spacing w:val="-7"/>
        </w:rPr>
        <w:t xml:space="preserve"> </w:t>
      </w:r>
      <w:r>
        <w:t>nécessité</w:t>
      </w:r>
      <w:r>
        <w:rPr>
          <w:spacing w:val="-7"/>
        </w:rPr>
        <w:t xml:space="preserve"> </w:t>
      </w:r>
      <w:r>
        <w:t>de prendre</w:t>
      </w:r>
      <w:r>
        <w:rPr>
          <w:spacing w:val="-10"/>
        </w:rPr>
        <w:t xml:space="preserve"> </w:t>
      </w:r>
      <w:r>
        <w:t>part</w:t>
      </w:r>
      <w:r>
        <w:rPr>
          <w:spacing w:val="-4"/>
        </w:rPr>
        <w:t xml:space="preserve"> </w:t>
      </w:r>
      <w:r>
        <w:t>aux</w:t>
      </w:r>
      <w:r>
        <w:rPr>
          <w:spacing w:val="-7"/>
        </w:rPr>
        <w:t xml:space="preserve"> </w:t>
      </w:r>
      <w:r>
        <w:t>différentes transitions</w:t>
      </w:r>
      <w:r>
        <w:rPr>
          <w:spacing w:val="-6"/>
        </w:rPr>
        <w:t xml:space="preserve"> </w:t>
      </w:r>
      <w:r>
        <w:t>numériques,</w:t>
      </w:r>
      <w:r>
        <w:rPr>
          <w:spacing w:val="-9"/>
        </w:rPr>
        <w:t xml:space="preserve"> </w:t>
      </w:r>
      <w:r>
        <w:t>les</w:t>
      </w:r>
      <w:r>
        <w:rPr>
          <w:spacing w:val="-6"/>
        </w:rPr>
        <w:t xml:space="preserve"> </w:t>
      </w:r>
      <w:r>
        <w:t>entreprises</w:t>
      </w:r>
      <w:r>
        <w:rPr>
          <w:spacing w:val="-2"/>
        </w:rPr>
        <w:t xml:space="preserve"> </w:t>
      </w:r>
      <w:r>
        <w:t>ont</w:t>
      </w:r>
      <w:r>
        <w:rPr>
          <w:spacing w:val="-4"/>
        </w:rPr>
        <w:t xml:space="preserve"> </w:t>
      </w:r>
      <w:r>
        <w:t>renforcé</w:t>
      </w:r>
      <w:r>
        <w:rPr>
          <w:spacing w:val="-5"/>
        </w:rPr>
        <w:t xml:space="preserve"> </w:t>
      </w:r>
      <w:r>
        <w:t>la</w:t>
      </w:r>
      <w:r>
        <w:rPr>
          <w:spacing w:val="-9"/>
        </w:rPr>
        <w:t xml:space="preserve"> </w:t>
      </w:r>
      <w:r>
        <w:t>sécurité</w:t>
      </w:r>
      <w:r>
        <w:rPr>
          <w:spacing w:val="-6"/>
        </w:rPr>
        <w:t xml:space="preserve"> </w:t>
      </w:r>
      <w:r>
        <w:t>de</w:t>
      </w:r>
      <w:r>
        <w:rPr>
          <w:spacing w:val="-9"/>
        </w:rPr>
        <w:t xml:space="preserve"> </w:t>
      </w:r>
      <w:r>
        <w:t>leurs systèmes d’information. Ce mouvement est très fortement encouragé par la législation française</w:t>
      </w:r>
      <w:r>
        <w:rPr>
          <w:spacing w:val="-39"/>
        </w:rPr>
        <w:t xml:space="preserve"> </w:t>
      </w:r>
      <w:r>
        <w:t>et européenne mise en place à l’égard du numérique et accompagnée par une stratégie globale de l’État.</w:t>
      </w:r>
      <w:r>
        <w:rPr>
          <w:spacing w:val="-8"/>
        </w:rPr>
        <w:t xml:space="preserve"> </w:t>
      </w:r>
      <w:r>
        <w:t>Les</w:t>
      </w:r>
      <w:r>
        <w:rPr>
          <w:spacing w:val="-6"/>
        </w:rPr>
        <w:t xml:space="preserve"> </w:t>
      </w:r>
      <w:r>
        <w:t>entreprises</w:t>
      </w:r>
      <w:r>
        <w:rPr>
          <w:spacing w:val="-6"/>
        </w:rPr>
        <w:t xml:space="preserve"> </w:t>
      </w:r>
      <w:r>
        <w:t>françaises</w:t>
      </w:r>
      <w:r>
        <w:rPr>
          <w:spacing w:val="-6"/>
        </w:rPr>
        <w:t xml:space="preserve"> </w:t>
      </w:r>
      <w:r>
        <w:t>ont</w:t>
      </w:r>
      <w:r>
        <w:rPr>
          <w:spacing w:val="-9"/>
        </w:rPr>
        <w:t xml:space="preserve"> </w:t>
      </w:r>
      <w:r>
        <w:t>intégré</w:t>
      </w:r>
      <w:r>
        <w:rPr>
          <w:spacing w:val="-4"/>
        </w:rPr>
        <w:t xml:space="preserve"> </w:t>
      </w:r>
      <w:r>
        <w:t>le</w:t>
      </w:r>
      <w:r>
        <w:rPr>
          <w:spacing w:val="-9"/>
        </w:rPr>
        <w:t xml:space="preserve"> </w:t>
      </w:r>
      <w:r>
        <w:t>risque</w:t>
      </w:r>
      <w:r>
        <w:rPr>
          <w:spacing w:val="-4"/>
        </w:rPr>
        <w:t xml:space="preserve"> </w:t>
      </w:r>
      <w:r>
        <w:t>cyber</w:t>
      </w:r>
      <w:r>
        <w:rPr>
          <w:spacing w:val="-7"/>
        </w:rPr>
        <w:t xml:space="preserve"> </w:t>
      </w:r>
      <w:r>
        <w:t>à</w:t>
      </w:r>
      <w:r>
        <w:rPr>
          <w:spacing w:val="-9"/>
        </w:rPr>
        <w:t xml:space="preserve"> </w:t>
      </w:r>
      <w:r>
        <w:t>leur</w:t>
      </w:r>
      <w:r>
        <w:rPr>
          <w:spacing w:val="-2"/>
        </w:rPr>
        <w:t xml:space="preserve"> </w:t>
      </w:r>
      <w:r>
        <w:t>approche</w:t>
      </w:r>
      <w:r>
        <w:rPr>
          <w:spacing w:val="-9"/>
        </w:rPr>
        <w:t xml:space="preserve"> </w:t>
      </w:r>
      <w:r>
        <w:t>globale</w:t>
      </w:r>
      <w:r>
        <w:rPr>
          <w:spacing w:val="-9"/>
        </w:rPr>
        <w:t xml:space="preserve"> </w:t>
      </w:r>
      <w:r>
        <w:t>par</w:t>
      </w:r>
      <w:r>
        <w:rPr>
          <w:spacing w:val="-8"/>
        </w:rPr>
        <w:t xml:space="preserve"> </w:t>
      </w:r>
      <w:r>
        <w:t>les</w:t>
      </w:r>
      <w:r>
        <w:rPr>
          <w:spacing w:val="-7"/>
        </w:rPr>
        <w:t xml:space="preserve"> </w:t>
      </w:r>
      <w:r>
        <w:t>risques, ainsi</w:t>
      </w:r>
      <w:r>
        <w:rPr>
          <w:spacing w:val="-14"/>
        </w:rPr>
        <w:t xml:space="preserve"> </w:t>
      </w:r>
      <w:r>
        <w:t>qu’à</w:t>
      </w:r>
      <w:r>
        <w:rPr>
          <w:spacing w:val="-9"/>
        </w:rPr>
        <w:t xml:space="preserve"> </w:t>
      </w:r>
      <w:r>
        <w:t>leurs</w:t>
      </w:r>
      <w:r>
        <w:rPr>
          <w:spacing w:val="-11"/>
        </w:rPr>
        <w:t xml:space="preserve"> </w:t>
      </w:r>
      <w:r>
        <w:t>cartographies</w:t>
      </w:r>
      <w:r>
        <w:rPr>
          <w:spacing w:val="-11"/>
        </w:rPr>
        <w:t xml:space="preserve"> </w:t>
      </w:r>
      <w:r>
        <w:t>des</w:t>
      </w:r>
      <w:r>
        <w:rPr>
          <w:spacing w:val="-11"/>
        </w:rPr>
        <w:t xml:space="preserve"> </w:t>
      </w:r>
      <w:r>
        <w:t>risques.</w:t>
      </w:r>
      <w:r>
        <w:rPr>
          <w:spacing w:val="-8"/>
        </w:rPr>
        <w:t xml:space="preserve"> </w:t>
      </w:r>
      <w:r>
        <w:t>Des</w:t>
      </w:r>
      <w:r>
        <w:rPr>
          <w:spacing w:val="-11"/>
        </w:rPr>
        <w:t xml:space="preserve"> </w:t>
      </w:r>
      <w:r>
        <w:t>méthodes</w:t>
      </w:r>
      <w:r>
        <w:rPr>
          <w:spacing w:val="-11"/>
        </w:rPr>
        <w:t xml:space="preserve"> </w:t>
      </w:r>
      <w:r>
        <w:t>d’analyse</w:t>
      </w:r>
      <w:r>
        <w:rPr>
          <w:spacing w:val="-13"/>
        </w:rPr>
        <w:t xml:space="preserve"> </w:t>
      </w:r>
      <w:r>
        <w:t>plus</w:t>
      </w:r>
      <w:r>
        <w:rPr>
          <w:spacing w:val="-11"/>
        </w:rPr>
        <w:t xml:space="preserve"> </w:t>
      </w:r>
      <w:r>
        <w:t>spécifiques</w:t>
      </w:r>
      <w:r>
        <w:rPr>
          <w:spacing w:val="-11"/>
        </w:rPr>
        <w:t xml:space="preserve"> </w:t>
      </w:r>
      <w:r>
        <w:t>au</w:t>
      </w:r>
      <w:r>
        <w:rPr>
          <w:spacing w:val="-8"/>
        </w:rPr>
        <w:t xml:space="preserve"> </w:t>
      </w:r>
      <w:r>
        <w:t>risque</w:t>
      </w:r>
      <w:r>
        <w:rPr>
          <w:spacing w:val="-14"/>
        </w:rPr>
        <w:t xml:space="preserve"> </w:t>
      </w:r>
      <w:r>
        <w:t xml:space="preserve">cyber sont également utilisées et visent à mieux connaître ses systèmes d’information, les menaces auxquels ils sont exposés afin de mieux se protéger, anticiper et répondre aux attaques. Des outils techniques sont déployés pour faire face aux vulnérabilités des SI et les minimiser. </w:t>
      </w:r>
      <w:r>
        <w:rPr>
          <w:spacing w:val="2"/>
        </w:rPr>
        <w:t xml:space="preserve">Ces </w:t>
      </w:r>
      <w:r>
        <w:t xml:space="preserve">solutions peuvent être </w:t>
      </w:r>
      <w:r>
        <w:lastRenderedPageBreak/>
        <w:t>très largement utilisées, c’est le cas des passerelles de sécurité mail (85%), des passerelles VPN/SSL (85%), et des proxy (83%) qui figurent parmi les solutions les plus mises</w:t>
      </w:r>
      <w:r>
        <w:rPr>
          <w:spacing w:val="-32"/>
        </w:rPr>
        <w:t xml:space="preserve"> </w:t>
      </w:r>
      <w:r>
        <w:t>en place. (CESIN, 2020) D’autres solutions peuvent s’avérer efficaces, particulièrement dans la lutte pour la protection des données comme les systèmes de chiffrement (45%) ou dans l’analyse comportementale avec la mise en place</w:t>
      </w:r>
      <w:r>
        <w:rPr>
          <w:spacing w:val="-4"/>
        </w:rPr>
        <w:t xml:space="preserve"> </w:t>
      </w:r>
      <w:r>
        <w:t>d’EDR.</w:t>
      </w:r>
    </w:p>
    <w:p w:rsidR="003E7CF5" w:rsidRDefault="00024B00" w:rsidP="002E2D4C">
      <w:pPr>
        <w:pStyle w:val="Corpsdetexte"/>
        <w:spacing w:before="240" w:after="240" w:line="360" w:lineRule="auto"/>
        <w:ind w:right="-91"/>
        <w:jc w:val="both"/>
      </w:pPr>
      <w:r>
        <w:t>Malgré tous ces investissements, les entreprises font face à de plus en plus d’attaques et doivent répondre aux menaces. La question n’est alors plus de savoir si une entreprise va se faire attaquer, mais plutôt se préparer à y faire face et minimiser les impacts opérationnels et financiers. Elles passent alors d’une dimension de cybersécurité à une dimension plus large qu’est la</w:t>
      </w:r>
      <w:r>
        <w:rPr>
          <w:spacing w:val="29"/>
        </w:rPr>
        <w:t xml:space="preserve"> </w:t>
      </w:r>
      <w:r>
        <w:t>cyber résilience. Le National Institute of Standards and Technology (NIST) définit la cyber résilience comme</w:t>
      </w:r>
      <w:r>
        <w:rPr>
          <w:spacing w:val="-5"/>
        </w:rPr>
        <w:t xml:space="preserve"> </w:t>
      </w:r>
      <w:r>
        <w:t>la</w:t>
      </w:r>
      <w:r>
        <w:rPr>
          <w:spacing w:val="-9"/>
        </w:rPr>
        <w:t xml:space="preserve"> </w:t>
      </w:r>
      <w:r>
        <w:t>capacité</w:t>
      </w:r>
      <w:r>
        <w:rPr>
          <w:spacing w:val="-7"/>
        </w:rPr>
        <w:t xml:space="preserve"> </w:t>
      </w:r>
      <w:r>
        <w:t>à</w:t>
      </w:r>
      <w:r>
        <w:rPr>
          <w:spacing w:val="-4"/>
        </w:rPr>
        <w:t xml:space="preserve"> </w:t>
      </w:r>
      <w:r>
        <w:t>concevoir</w:t>
      </w:r>
      <w:r>
        <w:rPr>
          <w:spacing w:val="-7"/>
        </w:rPr>
        <w:t xml:space="preserve"> </w:t>
      </w:r>
      <w:r>
        <w:t>et</w:t>
      </w:r>
      <w:r>
        <w:rPr>
          <w:spacing w:val="-9"/>
        </w:rPr>
        <w:t xml:space="preserve"> </w:t>
      </w:r>
      <w:r>
        <w:t>à</w:t>
      </w:r>
      <w:r>
        <w:rPr>
          <w:spacing w:val="-9"/>
        </w:rPr>
        <w:t xml:space="preserve"> </w:t>
      </w:r>
      <w:r>
        <w:t>développer</w:t>
      </w:r>
      <w:r>
        <w:rPr>
          <w:spacing w:val="-8"/>
        </w:rPr>
        <w:t xml:space="preserve"> </w:t>
      </w:r>
      <w:r>
        <w:t>des</w:t>
      </w:r>
      <w:r>
        <w:rPr>
          <w:spacing w:val="-6"/>
        </w:rPr>
        <w:t xml:space="preserve"> </w:t>
      </w:r>
      <w:r>
        <w:t>systèmes</w:t>
      </w:r>
      <w:r>
        <w:rPr>
          <w:spacing w:val="-6"/>
        </w:rPr>
        <w:t xml:space="preserve"> </w:t>
      </w:r>
      <w:r>
        <w:t>capables</w:t>
      </w:r>
      <w:r>
        <w:rPr>
          <w:spacing w:val="-6"/>
        </w:rPr>
        <w:t xml:space="preserve"> </w:t>
      </w:r>
      <w:r>
        <w:t>d’anticiper,</w:t>
      </w:r>
      <w:r>
        <w:rPr>
          <w:spacing w:val="-8"/>
        </w:rPr>
        <w:t xml:space="preserve"> </w:t>
      </w:r>
      <w:r>
        <w:t>de</w:t>
      </w:r>
      <w:r>
        <w:rPr>
          <w:spacing w:val="-9"/>
        </w:rPr>
        <w:t xml:space="preserve"> </w:t>
      </w:r>
      <w:r>
        <w:t>résister,</w:t>
      </w:r>
      <w:r>
        <w:rPr>
          <w:spacing w:val="-7"/>
        </w:rPr>
        <w:t xml:space="preserve"> </w:t>
      </w:r>
      <w:r>
        <w:t>de</w:t>
      </w:r>
      <w:r>
        <w:rPr>
          <w:spacing w:val="-9"/>
        </w:rPr>
        <w:t xml:space="preserve"> </w:t>
      </w:r>
      <w:r>
        <w:t>se rétablir</w:t>
      </w:r>
      <w:r>
        <w:rPr>
          <w:spacing w:val="-3"/>
        </w:rPr>
        <w:t xml:space="preserve"> </w:t>
      </w:r>
      <w:r>
        <w:t>et</w:t>
      </w:r>
      <w:r>
        <w:rPr>
          <w:spacing w:val="-5"/>
        </w:rPr>
        <w:t xml:space="preserve"> </w:t>
      </w:r>
      <w:r>
        <w:t>de</w:t>
      </w:r>
      <w:r>
        <w:rPr>
          <w:spacing w:val="-5"/>
        </w:rPr>
        <w:t xml:space="preserve"> </w:t>
      </w:r>
      <w:r>
        <w:t>s’adapter</w:t>
      </w:r>
      <w:r>
        <w:rPr>
          <w:spacing w:val="-2"/>
        </w:rPr>
        <w:t xml:space="preserve"> </w:t>
      </w:r>
      <w:r>
        <w:t>à</w:t>
      </w:r>
      <w:r>
        <w:rPr>
          <w:spacing w:val="-5"/>
        </w:rPr>
        <w:t xml:space="preserve"> </w:t>
      </w:r>
      <w:r>
        <w:t>des</w:t>
      </w:r>
      <w:r>
        <w:rPr>
          <w:spacing w:val="-2"/>
        </w:rPr>
        <w:t xml:space="preserve"> </w:t>
      </w:r>
      <w:r>
        <w:t>conditions</w:t>
      </w:r>
      <w:r>
        <w:rPr>
          <w:spacing w:val="-1"/>
        </w:rPr>
        <w:t xml:space="preserve"> </w:t>
      </w:r>
      <w:r>
        <w:t>défavorables,</w:t>
      </w:r>
      <w:r>
        <w:rPr>
          <w:spacing w:val="1"/>
        </w:rPr>
        <w:t xml:space="preserve"> </w:t>
      </w:r>
      <w:r>
        <w:t>à</w:t>
      </w:r>
      <w:r>
        <w:rPr>
          <w:spacing w:val="-5"/>
        </w:rPr>
        <w:t xml:space="preserve"> </w:t>
      </w:r>
      <w:r>
        <w:t>des</w:t>
      </w:r>
      <w:r>
        <w:rPr>
          <w:spacing w:val="-2"/>
        </w:rPr>
        <w:t xml:space="preserve"> </w:t>
      </w:r>
      <w:r>
        <w:t>contraintes,</w:t>
      </w:r>
      <w:r>
        <w:rPr>
          <w:spacing w:val="-3"/>
        </w:rPr>
        <w:t xml:space="preserve"> </w:t>
      </w:r>
      <w:r>
        <w:t>à</w:t>
      </w:r>
      <w:r>
        <w:rPr>
          <w:spacing w:val="-4"/>
        </w:rPr>
        <w:t xml:space="preserve"> </w:t>
      </w:r>
      <w:r>
        <w:t>des</w:t>
      </w:r>
      <w:r>
        <w:rPr>
          <w:spacing w:val="-2"/>
        </w:rPr>
        <w:t xml:space="preserve"> </w:t>
      </w:r>
      <w:r>
        <w:t>attaques</w:t>
      </w:r>
      <w:r>
        <w:rPr>
          <w:spacing w:val="-2"/>
        </w:rPr>
        <w:t xml:space="preserve"> </w:t>
      </w:r>
      <w:r>
        <w:t>utilisant</w:t>
      </w:r>
      <w:r>
        <w:rPr>
          <w:spacing w:val="-4"/>
        </w:rPr>
        <w:t xml:space="preserve"> </w:t>
      </w:r>
      <w:r>
        <w:t>des</w:t>
      </w:r>
      <w:r w:rsidR="00300F7B">
        <w:t xml:space="preserve"> </w:t>
      </w:r>
      <w:r>
        <w:t>ressources cyber. Par cette approche, l’ensemble de l’entreprise est concerné à tous les niveaux hiérarchiques.</w:t>
      </w:r>
      <w:r>
        <w:rPr>
          <w:spacing w:val="-13"/>
        </w:rPr>
        <w:t xml:space="preserve"> </w:t>
      </w:r>
      <w:r>
        <w:t>Des</w:t>
      </w:r>
      <w:r>
        <w:rPr>
          <w:spacing w:val="-11"/>
        </w:rPr>
        <w:t xml:space="preserve"> </w:t>
      </w:r>
      <w:r>
        <w:t>scénarios</w:t>
      </w:r>
      <w:r>
        <w:rPr>
          <w:spacing w:val="-11"/>
        </w:rPr>
        <w:t xml:space="preserve"> </w:t>
      </w:r>
      <w:r>
        <w:t>de</w:t>
      </w:r>
      <w:r>
        <w:rPr>
          <w:spacing w:val="-15"/>
        </w:rPr>
        <w:t xml:space="preserve"> </w:t>
      </w:r>
      <w:r>
        <w:t>risques</w:t>
      </w:r>
      <w:r>
        <w:rPr>
          <w:spacing w:val="-11"/>
        </w:rPr>
        <w:t xml:space="preserve"> </w:t>
      </w:r>
      <w:r>
        <w:t>sont</w:t>
      </w:r>
      <w:r>
        <w:rPr>
          <w:spacing w:val="-10"/>
        </w:rPr>
        <w:t xml:space="preserve"> </w:t>
      </w:r>
      <w:r>
        <w:t>établis,</w:t>
      </w:r>
      <w:r>
        <w:rPr>
          <w:spacing w:val="-14"/>
        </w:rPr>
        <w:t xml:space="preserve"> </w:t>
      </w:r>
      <w:r>
        <w:t>adaptés</w:t>
      </w:r>
      <w:r>
        <w:rPr>
          <w:spacing w:val="-11"/>
        </w:rPr>
        <w:t xml:space="preserve"> </w:t>
      </w:r>
      <w:r>
        <w:t>aux</w:t>
      </w:r>
      <w:r>
        <w:rPr>
          <w:spacing w:val="-13"/>
        </w:rPr>
        <w:t xml:space="preserve"> </w:t>
      </w:r>
      <w:r>
        <w:t>contraintes</w:t>
      </w:r>
      <w:r>
        <w:rPr>
          <w:spacing w:val="-12"/>
        </w:rPr>
        <w:t xml:space="preserve"> </w:t>
      </w:r>
      <w:r>
        <w:t>de</w:t>
      </w:r>
      <w:r>
        <w:rPr>
          <w:spacing w:val="-14"/>
        </w:rPr>
        <w:t xml:space="preserve"> </w:t>
      </w:r>
      <w:r>
        <w:t>l’entreprise</w:t>
      </w:r>
      <w:r>
        <w:rPr>
          <w:spacing w:val="-5"/>
        </w:rPr>
        <w:t xml:space="preserve"> </w:t>
      </w:r>
      <w:r>
        <w:t>et</w:t>
      </w:r>
      <w:r>
        <w:rPr>
          <w:spacing w:val="-15"/>
        </w:rPr>
        <w:t xml:space="preserve"> </w:t>
      </w:r>
      <w:r>
        <w:t>testés à plusieurs échelles afin de simuler la réaction des acteurs, des infrastructures physiques et informatiques. On parle alors de plan de continuité d’activité et plan de secours informatique. Ces documents décrivent les stratégies à mettre en place en cas d’incident pour maintenir un niveau acceptable des activités vitales au bon fonctionnement de l’entreprise. Régulièrement des exercices,</w:t>
      </w:r>
      <w:r>
        <w:rPr>
          <w:spacing w:val="-10"/>
        </w:rPr>
        <w:t xml:space="preserve"> </w:t>
      </w:r>
      <w:r>
        <w:t>notamment</w:t>
      </w:r>
      <w:r>
        <w:rPr>
          <w:spacing w:val="-10"/>
        </w:rPr>
        <w:t xml:space="preserve"> </w:t>
      </w:r>
      <w:r>
        <w:t>de</w:t>
      </w:r>
      <w:r>
        <w:rPr>
          <w:spacing w:val="-11"/>
        </w:rPr>
        <w:t xml:space="preserve"> </w:t>
      </w:r>
      <w:r>
        <w:t>crises</w:t>
      </w:r>
      <w:r>
        <w:rPr>
          <w:spacing w:val="-7"/>
        </w:rPr>
        <w:t xml:space="preserve"> </w:t>
      </w:r>
      <w:r>
        <w:t>cyber,</w:t>
      </w:r>
      <w:r>
        <w:rPr>
          <w:spacing w:val="-9"/>
        </w:rPr>
        <w:t xml:space="preserve"> </w:t>
      </w:r>
      <w:r>
        <w:t>sont</w:t>
      </w:r>
      <w:r>
        <w:rPr>
          <w:spacing w:val="-10"/>
        </w:rPr>
        <w:t xml:space="preserve"> </w:t>
      </w:r>
      <w:r>
        <w:t>simulés</w:t>
      </w:r>
      <w:r>
        <w:rPr>
          <w:spacing w:val="-8"/>
        </w:rPr>
        <w:t xml:space="preserve"> </w:t>
      </w:r>
      <w:r>
        <w:t>afin</w:t>
      </w:r>
      <w:r>
        <w:rPr>
          <w:spacing w:val="-9"/>
        </w:rPr>
        <w:t xml:space="preserve"> </w:t>
      </w:r>
      <w:r>
        <w:t>de</w:t>
      </w:r>
      <w:r>
        <w:rPr>
          <w:spacing w:val="-11"/>
        </w:rPr>
        <w:t xml:space="preserve"> </w:t>
      </w:r>
      <w:r>
        <w:t>préparer</w:t>
      </w:r>
      <w:r>
        <w:rPr>
          <w:spacing w:val="-9"/>
        </w:rPr>
        <w:t xml:space="preserve"> </w:t>
      </w:r>
      <w:r>
        <w:t>au</w:t>
      </w:r>
      <w:r>
        <w:rPr>
          <w:spacing w:val="-10"/>
        </w:rPr>
        <w:t xml:space="preserve"> </w:t>
      </w:r>
      <w:r>
        <w:t>mieux</w:t>
      </w:r>
      <w:r>
        <w:rPr>
          <w:spacing w:val="-9"/>
        </w:rPr>
        <w:t xml:space="preserve"> </w:t>
      </w:r>
      <w:r>
        <w:t>les</w:t>
      </w:r>
      <w:r>
        <w:rPr>
          <w:spacing w:val="-8"/>
        </w:rPr>
        <w:t xml:space="preserve"> </w:t>
      </w:r>
      <w:r>
        <w:t>acteurs</w:t>
      </w:r>
      <w:r>
        <w:rPr>
          <w:spacing w:val="-7"/>
        </w:rPr>
        <w:t xml:space="preserve"> </w:t>
      </w:r>
      <w:r>
        <w:t>concernés à la gestion de crise en situation</w:t>
      </w:r>
      <w:r>
        <w:rPr>
          <w:spacing w:val="-9"/>
        </w:rPr>
        <w:t xml:space="preserve"> </w:t>
      </w:r>
      <w:r>
        <w:t>réelle.</w:t>
      </w:r>
    </w:p>
    <w:p w:rsidR="00300F7B" w:rsidRPr="00300F7B" w:rsidRDefault="00024B00" w:rsidP="002E2D4C">
      <w:pPr>
        <w:pStyle w:val="Corpsdetexte"/>
        <w:spacing w:before="240" w:after="240" w:line="360" w:lineRule="auto"/>
        <w:ind w:right="-91"/>
        <w:jc w:val="both"/>
      </w:pPr>
      <w:r>
        <w:t>Face à cette nouvelle approche, on remarque un changement marquant dans le management du risque depuis cinq ans. Les entreprises ont pris conscience de l’importance que prenaient les cyberattaques par ingénierie sociale comme le phishing. La cybersécurité n’est alors plus exclusivement réservée aux collaborateurs des services informatique mais concerne tous les membres de l’organisation. Afin de renforcer leur cyber résilience, les entreprises françaises mettent en place des programmes de sensibilisation à la cybersécurité. Ces programmes ont pour vocation de faire prendre conscience à tous les acteurs des risques et menaces que peuvent représenter</w:t>
      </w:r>
      <w:r>
        <w:rPr>
          <w:spacing w:val="-9"/>
        </w:rPr>
        <w:t xml:space="preserve"> </w:t>
      </w:r>
      <w:r>
        <w:t>leurs</w:t>
      </w:r>
      <w:r>
        <w:rPr>
          <w:spacing w:val="-10"/>
        </w:rPr>
        <w:t xml:space="preserve"> </w:t>
      </w:r>
      <w:r>
        <w:t>postes</w:t>
      </w:r>
      <w:r>
        <w:rPr>
          <w:spacing w:val="-11"/>
        </w:rPr>
        <w:t xml:space="preserve"> </w:t>
      </w:r>
      <w:r>
        <w:t>de</w:t>
      </w:r>
      <w:r>
        <w:rPr>
          <w:spacing w:val="-10"/>
        </w:rPr>
        <w:t xml:space="preserve"> </w:t>
      </w:r>
      <w:r>
        <w:t>travail,</w:t>
      </w:r>
      <w:r>
        <w:rPr>
          <w:spacing w:val="-8"/>
        </w:rPr>
        <w:t xml:space="preserve"> </w:t>
      </w:r>
      <w:r>
        <w:t>les</w:t>
      </w:r>
      <w:r>
        <w:rPr>
          <w:spacing w:val="-11"/>
        </w:rPr>
        <w:t xml:space="preserve"> </w:t>
      </w:r>
      <w:r>
        <w:t>outils</w:t>
      </w:r>
      <w:r>
        <w:rPr>
          <w:spacing w:val="-11"/>
        </w:rPr>
        <w:t xml:space="preserve"> </w:t>
      </w:r>
      <w:r>
        <w:t>informatiques.</w:t>
      </w:r>
      <w:r>
        <w:rPr>
          <w:spacing w:val="-14"/>
        </w:rPr>
        <w:t xml:space="preserve"> </w:t>
      </w:r>
      <w:r>
        <w:t>L’intérêt</w:t>
      </w:r>
      <w:r>
        <w:rPr>
          <w:spacing w:val="-9"/>
        </w:rPr>
        <w:t xml:space="preserve"> </w:t>
      </w:r>
      <w:r>
        <w:t>est</w:t>
      </w:r>
      <w:r>
        <w:rPr>
          <w:spacing w:val="-14"/>
        </w:rPr>
        <w:t xml:space="preserve"> </w:t>
      </w:r>
      <w:r>
        <w:t>également</w:t>
      </w:r>
      <w:r>
        <w:rPr>
          <w:spacing w:val="-14"/>
        </w:rPr>
        <w:t xml:space="preserve"> </w:t>
      </w:r>
      <w:r>
        <w:t>qu’ils</w:t>
      </w:r>
      <w:r>
        <w:rPr>
          <w:spacing w:val="-8"/>
        </w:rPr>
        <w:t xml:space="preserve"> </w:t>
      </w:r>
      <w:r>
        <w:t>se</w:t>
      </w:r>
      <w:r>
        <w:rPr>
          <w:spacing w:val="-14"/>
        </w:rPr>
        <w:t xml:space="preserve"> </w:t>
      </w:r>
      <w:r>
        <w:t>sentent partie</w:t>
      </w:r>
      <w:r>
        <w:rPr>
          <w:spacing w:val="-9"/>
        </w:rPr>
        <w:t xml:space="preserve"> </w:t>
      </w:r>
      <w:r>
        <w:t>intégrante</w:t>
      </w:r>
      <w:r>
        <w:rPr>
          <w:spacing w:val="-9"/>
        </w:rPr>
        <w:t xml:space="preserve"> </w:t>
      </w:r>
      <w:r>
        <w:t>de</w:t>
      </w:r>
      <w:r>
        <w:rPr>
          <w:spacing w:val="-9"/>
        </w:rPr>
        <w:t xml:space="preserve"> </w:t>
      </w:r>
      <w:r>
        <w:t>la</w:t>
      </w:r>
      <w:r>
        <w:rPr>
          <w:spacing w:val="-8"/>
        </w:rPr>
        <w:t xml:space="preserve"> </w:t>
      </w:r>
      <w:r>
        <w:t>stratégie</w:t>
      </w:r>
      <w:r>
        <w:rPr>
          <w:spacing w:val="-9"/>
        </w:rPr>
        <w:t xml:space="preserve"> </w:t>
      </w:r>
      <w:r>
        <w:t>de</w:t>
      </w:r>
      <w:r>
        <w:rPr>
          <w:spacing w:val="-9"/>
        </w:rPr>
        <w:t xml:space="preserve"> </w:t>
      </w:r>
      <w:r>
        <w:t>cybersécurité</w:t>
      </w:r>
      <w:r>
        <w:rPr>
          <w:spacing w:val="-9"/>
        </w:rPr>
        <w:t xml:space="preserve"> </w:t>
      </w:r>
      <w:r>
        <w:t>de</w:t>
      </w:r>
      <w:r>
        <w:rPr>
          <w:spacing w:val="-8"/>
        </w:rPr>
        <w:t xml:space="preserve"> </w:t>
      </w:r>
      <w:r>
        <w:t>l’entreprise</w:t>
      </w:r>
      <w:r>
        <w:rPr>
          <w:spacing w:val="-9"/>
        </w:rPr>
        <w:t xml:space="preserve"> </w:t>
      </w:r>
      <w:r>
        <w:t>et</w:t>
      </w:r>
      <w:r>
        <w:rPr>
          <w:spacing w:val="-9"/>
        </w:rPr>
        <w:t xml:space="preserve"> </w:t>
      </w:r>
      <w:r>
        <w:t>mesurent</w:t>
      </w:r>
      <w:r>
        <w:rPr>
          <w:spacing w:val="-4"/>
        </w:rPr>
        <w:t xml:space="preserve"> </w:t>
      </w:r>
      <w:r>
        <w:t>l’impact</w:t>
      </w:r>
      <w:r>
        <w:rPr>
          <w:spacing w:val="-9"/>
        </w:rPr>
        <w:t xml:space="preserve"> </w:t>
      </w:r>
      <w:r>
        <w:t>que</w:t>
      </w:r>
      <w:r>
        <w:rPr>
          <w:spacing w:val="-8"/>
        </w:rPr>
        <w:t xml:space="preserve"> </w:t>
      </w:r>
      <w:r>
        <w:t>peut</w:t>
      </w:r>
      <w:r>
        <w:rPr>
          <w:spacing w:val="-9"/>
        </w:rPr>
        <w:t xml:space="preserve"> </w:t>
      </w:r>
      <w:r>
        <w:t>avoir un simple clic, effectué des centaines de fois par jour sans s’en rendre forcément compte, sur l’ensemble</w:t>
      </w:r>
      <w:r>
        <w:rPr>
          <w:spacing w:val="-8"/>
        </w:rPr>
        <w:t xml:space="preserve"> </w:t>
      </w:r>
      <w:r>
        <w:t>de</w:t>
      </w:r>
      <w:r>
        <w:rPr>
          <w:spacing w:val="-2"/>
        </w:rPr>
        <w:t xml:space="preserve"> </w:t>
      </w:r>
      <w:r>
        <w:t>la</w:t>
      </w:r>
      <w:r>
        <w:rPr>
          <w:spacing w:val="-7"/>
        </w:rPr>
        <w:t xml:space="preserve"> </w:t>
      </w:r>
      <w:r>
        <w:lastRenderedPageBreak/>
        <w:t>société.</w:t>
      </w:r>
      <w:r>
        <w:rPr>
          <w:spacing w:val="-5"/>
        </w:rPr>
        <w:t xml:space="preserve"> </w:t>
      </w:r>
      <w:r>
        <w:t>Les</w:t>
      </w:r>
      <w:r>
        <w:rPr>
          <w:spacing w:val="-4"/>
        </w:rPr>
        <w:t xml:space="preserve"> </w:t>
      </w:r>
      <w:r>
        <w:t>programmes</w:t>
      </w:r>
      <w:r>
        <w:rPr>
          <w:spacing w:val="-5"/>
        </w:rPr>
        <w:t xml:space="preserve"> </w:t>
      </w:r>
      <w:r>
        <w:t>de</w:t>
      </w:r>
      <w:r>
        <w:rPr>
          <w:spacing w:val="-7"/>
        </w:rPr>
        <w:t xml:space="preserve"> </w:t>
      </w:r>
      <w:r>
        <w:t>sensibilisations</w:t>
      </w:r>
      <w:r>
        <w:rPr>
          <w:spacing w:val="-1"/>
        </w:rPr>
        <w:t xml:space="preserve"> </w:t>
      </w:r>
      <w:r>
        <w:t>peuvent</w:t>
      </w:r>
      <w:r>
        <w:rPr>
          <w:spacing w:val="-7"/>
        </w:rPr>
        <w:t xml:space="preserve"> </w:t>
      </w:r>
      <w:r>
        <w:t>prendre</w:t>
      </w:r>
      <w:r>
        <w:rPr>
          <w:spacing w:val="-8"/>
        </w:rPr>
        <w:t xml:space="preserve"> </w:t>
      </w:r>
      <w:r>
        <w:t>plusieurs</w:t>
      </w:r>
      <w:r>
        <w:rPr>
          <w:spacing w:val="-4"/>
        </w:rPr>
        <w:t xml:space="preserve"> </w:t>
      </w:r>
      <w:r>
        <w:t>formes,</w:t>
      </w:r>
      <w:r>
        <w:rPr>
          <w:spacing w:val="-7"/>
        </w:rPr>
        <w:t xml:space="preserve"> </w:t>
      </w:r>
      <w:r>
        <w:t>ils se</w:t>
      </w:r>
      <w:r>
        <w:rPr>
          <w:spacing w:val="-9"/>
        </w:rPr>
        <w:t xml:space="preserve"> </w:t>
      </w:r>
      <w:r>
        <w:t>veulent</w:t>
      </w:r>
      <w:r>
        <w:rPr>
          <w:spacing w:val="-9"/>
        </w:rPr>
        <w:t xml:space="preserve"> </w:t>
      </w:r>
      <w:r>
        <w:t>souvent</w:t>
      </w:r>
      <w:r>
        <w:rPr>
          <w:spacing w:val="-9"/>
        </w:rPr>
        <w:t xml:space="preserve"> </w:t>
      </w:r>
      <w:r>
        <w:t>ludiques</w:t>
      </w:r>
      <w:r>
        <w:rPr>
          <w:spacing w:val="-3"/>
        </w:rPr>
        <w:t xml:space="preserve"> </w:t>
      </w:r>
      <w:r>
        <w:t>(e-learning,</w:t>
      </w:r>
      <w:r>
        <w:rPr>
          <w:spacing w:val="-7"/>
        </w:rPr>
        <w:t xml:space="preserve"> </w:t>
      </w:r>
      <w:r>
        <w:t>business</w:t>
      </w:r>
      <w:r>
        <w:rPr>
          <w:spacing w:val="-7"/>
        </w:rPr>
        <w:t xml:space="preserve"> </w:t>
      </w:r>
      <w:r>
        <w:t>game,</w:t>
      </w:r>
      <w:r>
        <w:rPr>
          <w:spacing w:val="-5"/>
        </w:rPr>
        <w:t xml:space="preserve"> </w:t>
      </w:r>
      <w:r>
        <w:t>faux</w:t>
      </w:r>
      <w:r>
        <w:rPr>
          <w:spacing w:val="-8"/>
        </w:rPr>
        <w:t xml:space="preserve"> </w:t>
      </w:r>
      <w:r>
        <w:t>phishing)</w:t>
      </w:r>
      <w:r>
        <w:rPr>
          <w:spacing w:val="-7"/>
        </w:rPr>
        <w:t xml:space="preserve"> </w:t>
      </w:r>
      <w:r>
        <w:t>pour</w:t>
      </w:r>
      <w:r>
        <w:rPr>
          <w:spacing w:val="-2"/>
        </w:rPr>
        <w:t xml:space="preserve"> </w:t>
      </w:r>
      <w:r>
        <w:t>adresser</w:t>
      </w:r>
      <w:r>
        <w:rPr>
          <w:spacing w:val="-6"/>
        </w:rPr>
        <w:t xml:space="preserve"> </w:t>
      </w:r>
      <w:r>
        <w:t>un</w:t>
      </w:r>
      <w:r>
        <w:rPr>
          <w:spacing w:val="-8"/>
        </w:rPr>
        <w:t xml:space="preserve"> </w:t>
      </w:r>
      <w:r>
        <w:t>maximum de collaborateurs. Ainsi, aujourd’hui, 74% des entreprises françaises estiment que leurs salariés sont sensibilisés au risque cyber, et 55% pensent qu’ils respectent les recommandations. On peut constater que du travail reste à fournir sur cet aspect de sensibilisation cependant les programmes mis en place sont coûteux et les entreprises ont du mal à mesurer le retour sur investissement</w:t>
      </w:r>
      <w:r>
        <w:rPr>
          <w:spacing w:val="-37"/>
        </w:rPr>
        <w:t xml:space="preserve"> </w:t>
      </w:r>
      <w:r>
        <w:t>pour le moment. Des procédures sont mises en place pour tester le niveau de maturité des salariés et fournir un reporting pertinent aux membres de comité exécutif. Récemment, on voit apparaitre la notion de cybersécurité et la mise en place de programmes de sensibilisation dans les rapports annuels extra financiers des entreprises du CAC 40. La cybersécurité est alors considéré comme un enjeu stratégique pour la gouvernance des entreprises et leurs conseils d’administration. Elles sont tenues, au titre de la RSE de fournir des informations sur leurs données. L’évaluation qui en est</w:t>
      </w:r>
      <w:r>
        <w:rPr>
          <w:spacing w:val="-13"/>
        </w:rPr>
        <w:t xml:space="preserve"> </w:t>
      </w:r>
      <w:r>
        <w:t>faite</w:t>
      </w:r>
      <w:r>
        <w:rPr>
          <w:spacing w:val="-8"/>
        </w:rPr>
        <w:t xml:space="preserve"> </w:t>
      </w:r>
      <w:r>
        <w:t>devient</w:t>
      </w:r>
      <w:r>
        <w:rPr>
          <w:spacing w:val="-5"/>
        </w:rPr>
        <w:t xml:space="preserve"> </w:t>
      </w:r>
      <w:r>
        <w:t>alors</w:t>
      </w:r>
      <w:r>
        <w:rPr>
          <w:spacing w:val="-10"/>
        </w:rPr>
        <w:t xml:space="preserve"> </w:t>
      </w:r>
      <w:r>
        <w:t>un</w:t>
      </w:r>
      <w:r>
        <w:rPr>
          <w:spacing w:val="-6"/>
        </w:rPr>
        <w:t xml:space="preserve"> </w:t>
      </w:r>
      <w:r>
        <w:t>argument</w:t>
      </w:r>
      <w:r>
        <w:rPr>
          <w:spacing w:val="-13"/>
        </w:rPr>
        <w:t xml:space="preserve"> </w:t>
      </w:r>
      <w:r>
        <w:t>vis-à-vis</w:t>
      </w:r>
      <w:r>
        <w:rPr>
          <w:spacing w:val="-9"/>
        </w:rPr>
        <w:t xml:space="preserve"> </w:t>
      </w:r>
      <w:r>
        <w:t>des</w:t>
      </w:r>
      <w:r>
        <w:rPr>
          <w:spacing w:val="-10"/>
        </w:rPr>
        <w:t xml:space="preserve"> </w:t>
      </w:r>
      <w:r>
        <w:t>clients</w:t>
      </w:r>
      <w:r>
        <w:rPr>
          <w:spacing w:val="-10"/>
        </w:rPr>
        <w:t xml:space="preserve"> </w:t>
      </w:r>
      <w:r>
        <w:t>et</w:t>
      </w:r>
      <w:r>
        <w:rPr>
          <w:spacing w:val="-12"/>
        </w:rPr>
        <w:t xml:space="preserve"> </w:t>
      </w:r>
      <w:r>
        <w:t>des</w:t>
      </w:r>
      <w:r>
        <w:rPr>
          <w:spacing w:val="-10"/>
        </w:rPr>
        <w:t xml:space="preserve"> </w:t>
      </w:r>
      <w:r>
        <w:t>marchés</w:t>
      </w:r>
      <w:r>
        <w:rPr>
          <w:spacing w:val="-9"/>
        </w:rPr>
        <w:t xml:space="preserve"> </w:t>
      </w:r>
      <w:r>
        <w:t>financiers/investisseurs.</w:t>
      </w:r>
      <w:r>
        <w:rPr>
          <w:spacing w:val="-11"/>
        </w:rPr>
        <w:t xml:space="preserve"> </w:t>
      </w:r>
      <w:r>
        <w:t>Les</w:t>
      </w:r>
      <w:r w:rsidR="00A5268B">
        <w:t xml:space="preserve"> </w:t>
      </w:r>
      <w:r>
        <w:t>actionnaires sont informés des mesures mises en place et peuvent apprécier le niveau de maturité de chaque entreprise en fonction de ce qui est évalué. Cependant, il n’existe pas aujourd’hui de référentiel harmonisé pour mesurer le niveau de maturité des entreprises françaises et de ses collaborateurs face au risque cyber. On pourrait se demander s’il n’est pas intéressant de créer un référentiel de reporting commun aux entreprises cotées sur le marché boursier français afin de fournir des indicateurs de performance pertinents aux investisseurs.</w:t>
      </w:r>
      <w:r w:rsidR="00300F7B">
        <w:t xml:space="preserve"> </w:t>
      </w:r>
    </w:p>
    <w:p w:rsidR="003E7CF5" w:rsidRPr="00A97C46" w:rsidRDefault="00024B00" w:rsidP="002E2D4C">
      <w:pPr>
        <w:pStyle w:val="Titre1"/>
        <w:spacing w:before="120" w:after="120" w:line="276" w:lineRule="auto"/>
        <w:ind w:right="51"/>
        <w:jc w:val="left"/>
        <w:rPr>
          <w:sz w:val="24"/>
          <w:szCs w:val="24"/>
          <w:lang w:val="en-US"/>
        </w:rPr>
      </w:pPr>
      <w:bookmarkStart w:id="41" w:name="Références"/>
      <w:bookmarkStart w:id="42" w:name="_bookmark37"/>
      <w:bookmarkEnd w:id="41"/>
      <w:bookmarkEnd w:id="42"/>
      <w:r w:rsidRPr="00A97C46">
        <w:rPr>
          <w:sz w:val="24"/>
          <w:szCs w:val="24"/>
          <w:lang w:val="en-US"/>
        </w:rPr>
        <w:t>Références</w:t>
      </w:r>
    </w:p>
    <w:p w:rsidR="003E7CF5" w:rsidRDefault="00024B00" w:rsidP="002E2D4C">
      <w:pPr>
        <w:pStyle w:val="Corpsdetexte"/>
        <w:spacing w:before="120" w:after="120" w:line="276" w:lineRule="auto"/>
        <w:ind w:right="192" w:firstLine="284"/>
        <w:jc w:val="both"/>
        <w:rPr>
          <w:lang w:val="en-US"/>
        </w:rPr>
      </w:pPr>
      <w:r w:rsidRPr="002E2D4C">
        <w:rPr>
          <w:lang w:val="en-US"/>
        </w:rPr>
        <w:t>Accenture (2019). The cost of cybercrime. Annual cost of cybercrime study. Acquisti, A., et coll. (2006). Is there a cost to privacy breaches? An event</w:t>
      </w:r>
      <w:r w:rsidRPr="002E2D4C">
        <w:rPr>
          <w:spacing w:val="-25"/>
          <w:lang w:val="en-US"/>
        </w:rPr>
        <w:t xml:space="preserve"> </w:t>
      </w:r>
      <w:r w:rsidRPr="002E2D4C">
        <w:rPr>
          <w:lang w:val="en-US"/>
        </w:rPr>
        <w:t>study.</w:t>
      </w:r>
    </w:p>
    <w:p w:rsidR="00CB4D10" w:rsidRPr="002E2D4C" w:rsidRDefault="00CB4D10" w:rsidP="002E2D4C">
      <w:pPr>
        <w:pStyle w:val="Corpsdetexte"/>
        <w:spacing w:before="120" w:after="120" w:line="276" w:lineRule="auto"/>
        <w:ind w:right="192" w:firstLine="284"/>
        <w:jc w:val="both"/>
        <w:rPr>
          <w:lang w:val="en-US"/>
        </w:rPr>
      </w:pPr>
      <w:r w:rsidRPr="00CB4D10">
        <w:rPr>
          <w:lang w:val="en-US"/>
        </w:rPr>
        <w:t>Amir, E. et coll (2018). Do Firms Underreport Information on Cyber-Attacks? Evidence from Capital Markets. SSRN Electronic Journal. 10.2139/ssrn.3136193.</w:t>
      </w:r>
    </w:p>
    <w:p w:rsidR="003E7CF5" w:rsidRPr="00A97C46" w:rsidRDefault="00024B00" w:rsidP="002E2D4C">
      <w:pPr>
        <w:pStyle w:val="Corpsdetexte"/>
        <w:spacing w:before="120" w:after="120" w:line="276" w:lineRule="auto"/>
        <w:ind w:right="192" w:firstLine="284"/>
        <w:jc w:val="both"/>
        <w:rPr>
          <w:lang w:val="en-US"/>
        </w:rPr>
      </w:pPr>
      <w:r w:rsidRPr="002E2D4C">
        <w:rPr>
          <w:lang w:val="en-US"/>
        </w:rPr>
        <w:t xml:space="preserve">Bener, A.B. (2000). Risk perception, trust and credibility: a case in Internet banking. </w:t>
      </w:r>
      <w:r w:rsidRPr="00A97C46">
        <w:rPr>
          <w:lang w:val="en-US"/>
        </w:rPr>
        <w:t>University College of London, London.</w:t>
      </w:r>
    </w:p>
    <w:p w:rsidR="008C59C3" w:rsidRPr="008C59C3" w:rsidRDefault="008C59C3" w:rsidP="008C59C3">
      <w:pPr>
        <w:pStyle w:val="Corpsdetexte"/>
        <w:spacing w:before="120" w:after="120" w:line="276" w:lineRule="auto"/>
        <w:ind w:right="192" w:firstLine="284"/>
        <w:jc w:val="both"/>
        <w:rPr>
          <w:lang w:val="en-US"/>
        </w:rPr>
      </w:pPr>
      <w:r w:rsidRPr="008C59C3">
        <w:rPr>
          <w:lang w:val="en-US"/>
        </w:rPr>
        <w:t xml:space="preserve">Benlemlih, M., Jaballah, J., &amp; Peillex, J. (2018). Does it really </w:t>
      </w:r>
      <w:r>
        <w:rPr>
          <w:lang w:val="en-US"/>
        </w:rPr>
        <w:t xml:space="preserve">pay to do better? Exploring the </w:t>
      </w:r>
      <w:r w:rsidRPr="008C59C3">
        <w:rPr>
          <w:lang w:val="en-US"/>
        </w:rPr>
        <w:t>financial effects of changes in CSR ratings. Applied Economics, 50(51), 5464-5482.</w:t>
      </w:r>
    </w:p>
    <w:p w:rsidR="008C59C3" w:rsidRPr="00A97C46" w:rsidRDefault="008C59C3" w:rsidP="008C59C3">
      <w:pPr>
        <w:pStyle w:val="Corpsdetexte"/>
        <w:spacing w:before="120" w:after="120" w:line="276" w:lineRule="auto"/>
        <w:ind w:right="192" w:firstLine="284"/>
        <w:jc w:val="both"/>
      </w:pPr>
      <w:r w:rsidRPr="00A97C46">
        <w:t xml:space="preserve">Benlemlih, M., &amp; Peillex, J. (2019). Revisiter la question «Does it pay to be good?» dans le </w:t>
      </w:r>
      <w:r>
        <w:t>contexte européen. Recherches en Sciences de Gestion, (1), 243-263</w:t>
      </w:r>
    </w:p>
    <w:p w:rsidR="003E7CF5" w:rsidRPr="002E2D4C" w:rsidRDefault="00024B00" w:rsidP="002E2D4C">
      <w:pPr>
        <w:pStyle w:val="Corpsdetexte"/>
        <w:spacing w:before="120" w:after="120" w:line="276" w:lineRule="auto"/>
        <w:ind w:right="192" w:firstLine="284"/>
        <w:jc w:val="both"/>
      </w:pPr>
      <w:r w:rsidRPr="002E2D4C">
        <w:t>Boufama, Omar. (2013). La méthodologie d'étude d'évènement : Une méthode et des outils à s'approprier en finance. Revue des sciences humaines.</w:t>
      </w:r>
    </w:p>
    <w:p w:rsidR="003E7CF5" w:rsidRPr="002E2D4C" w:rsidRDefault="00024B00" w:rsidP="002E2D4C">
      <w:pPr>
        <w:pStyle w:val="Corpsdetexte"/>
        <w:spacing w:before="120" w:after="120" w:line="276" w:lineRule="auto"/>
        <w:ind w:right="192" w:firstLine="284"/>
        <w:jc w:val="both"/>
        <w:rPr>
          <w:lang w:val="en-US"/>
        </w:rPr>
      </w:pPr>
      <w:r w:rsidRPr="002E2D4C">
        <w:lastRenderedPageBreak/>
        <w:t xml:space="preserve">Brockett, P.L. et coll. (2012). </w:t>
      </w:r>
      <w:r w:rsidRPr="00A97C46">
        <w:rPr>
          <w:lang w:val="en-US"/>
        </w:rPr>
        <w:t xml:space="preserve">Enterprise cyber risk management. </w:t>
      </w:r>
      <w:r w:rsidRPr="002E2D4C">
        <w:rPr>
          <w:lang w:val="en-US"/>
        </w:rPr>
        <w:t>In: Risk management for the future – Theory and cases. Emblemsvag, J. (ed.), pp. 319-340</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Campbell, K. et coll. (2003). The Economic Cost of Publicly Announced Information Security Breaches: Empirical evidence from the stock market, Journal of Computer Security 11(3): 431–448.</w:t>
      </w:r>
    </w:p>
    <w:p w:rsidR="003E7CF5" w:rsidRPr="00A97C46" w:rsidRDefault="00024B00" w:rsidP="002E2D4C">
      <w:pPr>
        <w:pStyle w:val="Corpsdetexte"/>
        <w:spacing w:before="120" w:after="120" w:line="276" w:lineRule="auto"/>
        <w:ind w:right="192" w:firstLine="284"/>
        <w:jc w:val="both"/>
      </w:pPr>
      <w:r w:rsidRPr="002E2D4C">
        <w:rPr>
          <w:lang w:val="en-US"/>
        </w:rPr>
        <w:t xml:space="preserve">Cavusoglu, H et coll. (2004). The effect of Internet security breach announcements on market value: capital market reactions for breached firms and Internet security developers. </w:t>
      </w:r>
      <w:r w:rsidRPr="00A97C46">
        <w:t>International Journal of Electronic Commerce, 9(1), 69-104.</w:t>
      </w:r>
    </w:p>
    <w:p w:rsidR="00CB4D10" w:rsidRDefault="00CB4D10" w:rsidP="00CB4D10">
      <w:pPr>
        <w:pStyle w:val="Corpsdetexte"/>
        <w:spacing w:before="120" w:after="120" w:line="276" w:lineRule="auto"/>
        <w:ind w:right="192" w:firstLine="284"/>
        <w:jc w:val="both"/>
      </w:pPr>
      <w:r>
        <w:t xml:space="preserve">Desbrières, P., Erragragui, E., &amp; Peillex, J. (2018). L’investissement conforme à la Charia est-il socialement responsable?. Management International/International Management/Gestión Internacional, 22(3), 51-64. </w:t>
      </w:r>
    </w:p>
    <w:p w:rsidR="00CB4D10" w:rsidRPr="00CB4D10" w:rsidRDefault="00CB4D10" w:rsidP="00CB4D10">
      <w:pPr>
        <w:pStyle w:val="Corpsdetexte"/>
        <w:spacing w:before="120" w:after="120" w:line="276" w:lineRule="auto"/>
        <w:ind w:right="192" w:firstLine="284"/>
        <w:jc w:val="both"/>
      </w:pPr>
      <w:r>
        <w:t>Desbrières, P., ERRAGRAGUI, E., &amp; PEILLEX, J. (2017). L’investissement conforme à la Charia est-il socialement responsable?, Is Shariah compliant investment socially responsible? (No. 1171001). Université de Bourgogne-CREGO EA7317 Centre de recherches en gestion des organisations.</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Ernst &amp; Young (2018), EY Global Information Security Survey 2018–19.</w:t>
      </w:r>
    </w:p>
    <w:p w:rsidR="00300F7B" w:rsidRPr="002E2D4C" w:rsidRDefault="00300F7B" w:rsidP="002E2D4C">
      <w:pPr>
        <w:pStyle w:val="Corpsdetexte"/>
        <w:spacing w:before="120" w:after="120" w:line="276" w:lineRule="auto"/>
        <w:ind w:right="192" w:firstLine="284"/>
        <w:jc w:val="both"/>
        <w:rPr>
          <w:lang w:val="en-US"/>
        </w:rPr>
      </w:pPr>
      <w:r w:rsidRPr="002E2D4C">
        <w:t xml:space="preserve">El Ouadghiri, I., Mignon, V., &amp; Boitout, N. (2016). </w:t>
      </w:r>
      <w:r w:rsidRPr="002E2D4C">
        <w:rPr>
          <w:lang w:val="en-US"/>
        </w:rPr>
        <w:t>On the impact of macroeconomic news surprises on Treasury-bond returns. Annals of Finance, 12(1), 29-53.</w:t>
      </w:r>
    </w:p>
    <w:p w:rsidR="00300F7B" w:rsidRPr="002E2D4C" w:rsidRDefault="00300F7B" w:rsidP="002E2D4C">
      <w:pPr>
        <w:pStyle w:val="Corpsdetexte"/>
        <w:spacing w:before="120" w:after="120" w:line="276" w:lineRule="auto"/>
        <w:ind w:right="192" w:firstLine="284"/>
        <w:jc w:val="both"/>
        <w:rPr>
          <w:lang w:val="en-US"/>
        </w:rPr>
      </w:pPr>
      <w:r w:rsidRPr="00A97C46">
        <w:rPr>
          <w:lang w:val="en-US"/>
        </w:rPr>
        <w:t xml:space="preserve">El Ouadghiri, I., &amp; Peillex, J. (2018). </w:t>
      </w:r>
      <w:r w:rsidRPr="002E2D4C">
        <w:rPr>
          <w:lang w:val="en-US"/>
        </w:rPr>
        <w:t>Public attention to “Islamic terrorism” and stock market returns. Journal of Comparative Economics, 46(4), 936-946.</w:t>
      </w:r>
    </w:p>
    <w:p w:rsidR="00300F7B" w:rsidRPr="002E2D4C" w:rsidRDefault="00300F7B" w:rsidP="002E2D4C">
      <w:pPr>
        <w:pStyle w:val="Corpsdetexte"/>
        <w:spacing w:before="120" w:after="120" w:line="276" w:lineRule="auto"/>
        <w:ind w:right="192" w:firstLine="284"/>
        <w:jc w:val="both"/>
        <w:rPr>
          <w:lang w:val="en-US"/>
        </w:rPr>
      </w:pPr>
      <w:r w:rsidRPr="00A97C46">
        <w:rPr>
          <w:lang w:val="en-US"/>
        </w:rPr>
        <w:t xml:space="preserve">El Ouadghiri, I., &amp; Uctum, R. (2016). </w:t>
      </w:r>
      <w:r w:rsidRPr="002E2D4C">
        <w:rPr>
          <w:lang w:val="en-US"/>
        </w:rPr>
        <w:t>Jumps in equilibrium prices and asymmetric news in foreign exchange markets. Economic Modelling, 54, 218-234.</w:t>
      </w:r>
    </w:p>
    <w:p w:rsidR="00300F7B" w:rsidRPr="002E2D4C" w:rsidRDefault="00300F7B" w:rsidP="002E2D4C">
      <w:pPr>
        <w:pStyle w:val="Corpsdetexte"/>
        <w:spacing w:before="120" w:after="120" w:line="276" w:lineRule="auto"/>
        <w:ind w:right="192" w:firstLine="284"/>
        <w:jc w:val="both"/>
        <w:rPr>
          <w:lang w:val="en-US"/>
        </w:rPr>
      </w:pPr>
      <w:r w:rsidRPr="00A97C46">
        <w:rPr>
          <w:lang w:val="en-US"/>
        </w:rPr>
        <w:t xml:space="preserve">El Ouadghiri, I., &amp; Uctum, R. (2020). </w:t>
      </w:r>
      <w:r w:rsidRPr="002E2D4C">
        <w:rPr>
          <w:lang w:val="en-US"/>
        </w:rPr>
        <w:t>Macroeconomic expectations and time varying heterogeneity: evidence from individual survey data. Applied Economics, 52(23),2443-2459.</w:t>
      </w:r>
    </w:p>
    <w:p w:rsidR="00300F7B" w:rsidRPr="002E2D4C" w:rsidRDefault="00300F7B" w:rsidP="002E2D4C">
      <w:pPr>
        <w:pStyle w:val="Corpsdetexte"/>
        <w:spacing w:before="120" w:after="120" w:line="276" w:lineRule="auto"/>
        <w:ind w:right="192" w:firstLine="284"/>
        <w:jc w:val="both"/>
        <w:rPr>
          <w:lang w:val="en-US"/>
        </w:rPr>
      </w:pPr>
      <w:r w:rsidRPr="00A97C46">
        <w:rPr>
          <w:lang w:val="en-US"/>
        </w:rPr>
        <w:t xml:space="preserve">El Ouadghiri, I., Guesmi, K., Peillex, J., &amp; Ziegler, A. (2019). </w:t>
      </w:r>
      <w:r w:rsidRPr="002E2D4C">
        <w:rPr>
          <w:lang w:val="en-US"/>
        </w:rPr>
        <w:t>Public attention to environmental issues and stock market returns (No. 22-2019). Joint Discussion Paper Series in Economics</w:t>
      </w:r>
    </w:p>
    <w:p w:rsidR="00300F7B" w:rsidRPr="002E2D4C" w:rsidRDefault="00024B00" w:rsidP="002E2D4C">
      <w:pPr>
        <w:pStyle w:val="Corpsdetexte"/>
        <w:spacing w:before="120" w:after="120" w:line="276" w:lineRule="auto"/>
        <w:ind w:right="192" w:firstLine="284"/>
        <w:jc w:val="both"/>
        <w:rPr>
          <w:lang w:val="en-US"/>
        </w:rPr>
      </w:pPr>
      <w:r w:rsidRPr="002E2D4C">
        <w:rPr>
          <w:lang w:val="en-US"/>
        </w:rPr>
        <w:t>Fama, E.F. (1970). Efficient Capital Markets: A review of theory and empirical work, Journal of Finance 25(2): 383–417.</w:t>
      </w:r>
    </w:p>
    <w:p w:rsidR="00300F7B" w:rsidRPr="002E2D4C" w:rsidRDefault="00300F7B" w:rsidP="002E2D4C">
      <w:pPr>
        <w:pStyle w:val="Corpsdetexte"/>
        <w:spacing w:before="120" w:after="120" w:line="276" w:lineRule="auto"/>
        <w:ind w:right="192" w:firstLine="284"/>
        <w:jc w:val="both"/>
        <w:rPr>
          <w:lang w:val="en-US"/>
        </w:rPr>
      </w:pPr>
      <w:r w:rsidRPr="002E2D4C">
        <w:t xml:space="preserve">Erragragui, E., Hassan, M. K., Peillex, J., &amp; Khan, A. N. F. (2018). </w:t>
      </w:r>
      <w:r w:rsidRPr="002E2D4C">
        <w:rPr>
          <w:lang w:val="en-US"/>
        </w:rPr>
        <w:t>Does ethics improve stock market resilience in times of instability?. Economic Systems, 42(3), 450-469.</w:t>
      </w:r>
    </w:p>
    <w:p w:rsidR="003E7CF5" w:rsidRPr="002E2D4C" w:rsidRDefault="00024B00" w:rsidP="002E2D4C">
      <w:pPr>
        <w:tabs>
          <w:tab w:val="left" w:pos="4000"/>
        </w:tabs>
        <w:spacing w:before="120" w:after="120" w:line="276" w:lineRule="auto"/>
        <w:ind w:right="192" w:firstLine="284"/>
        <w:jc w:val="both"/>
        <w:rPr>
          <w:sz w:val="24"/>
          <w:szCs w:val="24"/>
          <w:lang w:val="en-US"/>
        </w:rPr>
      </w:pPr>
      <w:r w:rsidRPr="002E2D4C">
        <w:rPr>
          <w:sz w:val="24"/>
          <w:szCs w:val="24"/>
          <w:lang w:val="en-US"/>
        </w:rPr>
        <w:t>Fama, E.F. (1998). Market Efficiency, Long-term Returns, and Beha</w:t>
      </w:r>
      <w:r w:rsidR="002E2D4C">
        <w:rPr>
          <w:sz w:val="24"/>
          <w:szCs w:val="24"/>
          <w:lang w:val="en-US"/>
        </w:rPr>
        <w:t>vioral Finance, Journal of Finan</w:t>
      </w:r>
      <w:r w:rsidRPr="002E2D4C">
        <w:rPr>
          <w:sz w:val="24"/>
          <w:szCs w:val="24"/>
          <w:lang w:val="en-US"/>
        </w:rPr>
        <w:t>cial Economics 49(3): 283–306.</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Fama, Fisher et coll. (1969), The adjustment of stock prices to new information., International Economic Review, 10, pp. 1-21. In Journal of Research in Pharmaceutical Economics, vol</w:t>
      </w:r>
      <w:r w:rsidRPr="002E2D4C">
        <w:rPr>
          <w:spacing w:val="-39"/>
          <w:lang w:val="en-US"/>
        </w:rPr>
        <w:t xml:space="preserve"> </w:t>
      </w:r>
      <w:r w:rsidRPr="002E2D4C">
        <w:rPr>
          <w:lang w:val="en-US"/>
        </w:rPr>
        <w:t xml:space="preserve">11, </w:t>
      </w:r>
      <w:r w:rsidRPr="002E2D4C">
        <w:rPr>
          <w:lang w:val="en-US"/>
        </w:rPr>
        <w:lastRenderedPageBreak/>
        <w:t>2001, pp. 1-17.</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Garg et coll. (2003). Quantifying the financial impact of IT security breaches. Inf. Manag. Comput.</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Security. 11. 74-83.</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Gordon, et coll. (2011). The impact of information security breaches: Has there been a downward shift in costs? , Journal of Computer Security, vol. 19, no. 1, pp. 33-56, 2011.</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Hovav, A. and D’Arcy, J. (2003). The Impact of Denial-of-service Attack Announcements on the Market Value of Firms, Risk Management and Insurance Review 6(2): 97–121.</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Hovav,</w:t>
      </w:r>
      <w:r w:rsidRPr="002E2D4C">
        <w:rPr>
          <w:spacing w:val="-17"/>
          <w:lang w:val="en-US"/>
        </w:rPr>
        <w:t xml:space="preserve"> </w:t>
      </w:r>
      <w:r w:rsidRPr="002E2D4C">
        <w:rPr>
          <w:lang w:val="en-US"/>
        </w:rPr>
        <w:t>A.</w:t>
      </w:r>
      <w:r w:rsidRPr="002E2D4C">
        <w:rPr>
          <w:spacing w:val="-17"/>
          <w:lang w:val="en-US"/>
        </w:rPr>
        <w:t xml:space="preserve"> </w:t>
      </w:r>
      <w:r w:rsidRPr="002E2D4C">
        <w:rPr>
          <w:lang w:val="en-US"/>
        </w:rPr>
        <w:t>and</w:t>
      </w:r>
      <w:r w:rsidRPr="002E2D4C">
        <w:rPr>
          <w:spacing w:val="-17"/>
          <w:lang w:val="en-US"/>
        </w:rPr>
        <w:t xml:space="preserve"> </w:t>
      </w:r>
      <w:r w:rsidRPr="002E2D4C">
        <w:rPr>
          <w:lang w:val="en-US"/>
        </w:rPr>
        <w:t>D’Arcy,</w:t>
      </w:r>
      <w:r w:rsidRPr="002E2D4C">
        <w:rPr>
          <w:spacing w:val="-17"/>
          <w:lang w:val="en-US"/>
        </w:rPr>
        <w:t xml:space="preserve"> </w:t>
      </w:r>
      <w:r w:rsidRPr="002E2D4C">
        <w:rPr>
          <w:lang w:val="en-US"/>
        </w:rPr>
        <w:t>J.</w:t>
      </w:r>
      <w:r w:rsidRPr="002E2D4C">
        <w:rPr>
          <w:spacing w:val="-17"/>
          <w:lang w:val="en-US"/>
        </w:rPr>
        <w:t xml:space="preserve"> </w:t>
      </w:r>
      <w:r w:rsidRPr="002E2D4C">
        <w:rPr>
          <w:lang w:val="en-US"/>
        </w:rPr>
        <w:t>(2004).</w:t>
      </w:r>
      <w:r w:rsidRPr="002E2D4C">
        <w:rPr>
          <w:spacing w:val="-12"/>
          <w:lang w:val="en-US"/>
        </w:rPr>
        <w:t xml:space="preserve"> </w:t>
      </w:r>
      <w:r w:rsidRPr="002E2D4C">
        <w:rPr>
          <w:lang w:val="en-US"/>
        </w:rPr>
        <w:t>The</w:t>
      </w:r>
      <w:r w:rsidRPr="002E2D4C">
        <w:rPr>
          <w:spacing w:val="-18"/>
          <w:lang w:val="en-US"/>
        </w:rPr>
        <w:t xml:space="preserve"> </w:t>
      </w:r>
      <w:r w:rsidRPr="002E2D4C">
        <w:rPr>
          <w:lang w:val="en-US"/>
        </w:rPr>
        <w:t>Impact</w:t>
      </w:r>
      <w:r w:rsidRPr="002E2D4C">
        <w:rPr>
          <w:spacing w:val="-13"/>
          <w:lang w:val="en-US"/>
        </w:rPr>
        <w:t xml:space="preserve"> </w:t>
      </w:r>
      <w:r w:rsidRPr="002E2D4C">
        <w:rPr>
          <w:lang w:val="en-US"/>
        </w:rPr>
        <w:t>of</w:t>
      </w:r>
      <w:r w:rsidRPr="002E2D4C">
        <w:rPr>
          <w:spacing w:val="-15"/>
          <w:lang w:val="en-US"/>
        </w:rPr>
        <w:t xml:space="preserve"> </w:t>
      </w:r>
      <w:r w:rsidRPr="002E2D4C">
        <w:rPr>
          <w:lang w:val="en-US"/>
        </w:rPr>
        <w:t>Virus</w:t>
      </w:r>
      <w:r w:rsidRPr="002E2D4C">
        <w:rPr>
          <w:spacing w:val="-15"/>
          <w:lang w:val="en-US"/>
        </w:rPr>
        <w:t xml:space="preserve"> </w:t>
      </w:r>
      <w:r w:rsidRPr="002E2D4C">
        <w:rPr>
          <w:lang w:val="en-US"/>
        </w:rPr>
        <w:t>Attack</w:t>
      </w:r>
      <w:r w:rsidRPr="002E2D4C">
        <w:rPr>
          <w:spacing w:val="-12"/>
          <w:lang w:val="en-US"/>
        </w:rPr>
        <w:t xml:space="preserve"> </w:t>
      </w:r>
      <w:r w:rsidRPr="002E2D4C">
        <w:rPr>
          <w:lang w:val="en-US"/>
        </w:rPr>
        <w:t>Announcements</w:t>
      </w:r>
      <w:r w:rsidRPr="002E2D4C">
        <w:rPr>
          <w:spacing w:val="-6"/>
          <w:lang w:val="en-US"/>
        </w:rPr>
        <w:t xml:space="preserve"> </w:t>
      </w:r>
      <w:r w:rsidRPr="002E2D4C">
        <w:rPr>
          <w:lang w:val="en-US"/>
        </w:rPr>
        <w:t>on</w:t>
      </w:r>
      <w:r w:rsidRPr="002E2D4C">
        <w:rPr>
          <w:spacing w:val="-12"/>
          <w:lang w:val="en-US"/>
        </w:rPr>
        <w:t xml:space="preserve"> </w:t>
      </w:r>
      <w:r w:rsidRPr="002E2D4C">
        <w:rPr>
          <w:lang w:val="en-US"/>
        </w:rPr>
        <w:t>the</w:t>
      </w:r>
      <w:r w:rsidRPr="002E2D4C">
        <w:rPr>
          <w:spacing w:val="-18"/>
          <w:lang w:val="en-US"/>
        </w:rPr>
        <w:t xml:space="preserve"> </w:t>
      </w:r>
      <w:r w:rsidRPr="002E2D4C">
        <w:rPr>
          <w:lang w:val="en-US"/>
        </w:rPr>
        <w:t>Market</w:t>
      </w:r>
      <w:r w:rsidRPr="002E2D4C">
        <w:rPr>
          <w:spacing w:val="-13"/>
          <w:lang w:val="en-US"/>
        </w:rPr>
        <w:t xml:space="preserve"> </w:t>
      </w:r>
      <w:r w:rsidRPr="002E2D4C">
        <w:rPr>
          <w:lang w:val="en-US"/>
        </w:rPr>
        <w:t>Value of Firms, Information Systems Security 13(3):</w:t>
      </w:r>
      <w:r w:rsidRPr="002E2D4C">
        <w:rPr>
          <w:spacing w:val="-2"/>
          <w:lang w:val="en-US"/>
        </w:rPr>
        <w:t xml:space="preserve"> </w:t>
      </w:r>
      <w:r w:rsidRPr="002E2D4C">
        <w:rPr>
          <w:lang w:val="en-US"/>
        </w:rPr>
        <w:t>32–40.</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Kamiya, et coll. (2018). What is the Impact of Successful Cyberattacks on Target Firms?. SSRN Electronic Journal.</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Kamiya et coll. (2020). Risk management, firm reputation, and the impact of successful cyberattacks on target firms. Journal of Financial Economics. 10.1016/j.jfineco.2019.05.019.</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Kannan, A. et coll. (2007). Market reaction to information security breach announcements: an empirical analysis. , International Journal of Electronic Commerce, 12(1), 69-91.</w:t>
      </w:r>
    </w:p>
    <w:p w:rsidR="003E7CF5" w:rsidRPr="002E2D4C" w:rsidRDefault="00024B00" w:rsidP="002E2D4C">
      <w:pPr>
        <w:pStyle w:val="Corpsdetexte"/>
        <w:spacing w:before="120" w:after="120" w:line="276" w:lineRule="auto"/>
        <w:ind w:right="192" w:firstLine="284"/>
        <w:jc w:val="both"/>
      </w:pPr>
      <w:r w:rsidRPr="002E2D4C">
        <w:t>L’express.fr (2017), Cyberattaque mondiale "WannaCry", le rans</w:t>
      </w:r>
      <w:r w:rsidR="002E2D4C">
        <w:t>omware qui chiffre les données.</w:t>
      </w:r>
      <w:r w:rsidRPr="002E2D4C">
        <w:t>https://</w:t>
      </w:r>
      <w:hyperlink r:id="rId10">
        <w:r w:rsidRPr="002E2D4C">
          <w:t>www.lexpress.fr/actualite/monde/vague-internationale-de-</w:t>
        </w:r>
      </w:hyperlink>
      <w:r w:rsidRPr="002E2D4C">
        <w:t>cyberattaques_1907798.html</w:t>
      </w:r>
    </w:p>
    <w:p w:rsidR="00300F7B" w:rsidRPr="002E2D4C" w:rsidRDefault="00024B00" w:rsidP="002E2D4C">
      <w:pPr>
        <w:pStyle w:val="Corpsdetexte"/>
        <w:spacing w:before="120" w:after="120" w:line="276" w:lineRule="auto"/>
        <w:ind w:right="192" w:firstLine="284"/>
        <w:jc w:val="both"/>
        <w:rPr>
          <w:lang w:val="en-US"/>
        </w:rPr>
      </w:pPr>
      <w:r w:rsidRPr="002E2D4C">
        <w:rPr>
          <w:lang w:val="en-US"/>
        </w:rPr>
        <w:t>Norton (2017), Norton Cyber Security Insights Report - Global Results</w:t>
      </w:r>
    </w:p>
    <w:p w:rsidR="00300F7B" w:rsidRPr="002E2D4C" w:rsidRDefault="00300F7B" w:rsidP="002E2D4C">
      <w:pPr>
        <w:pStyle w:val="Corpsdetexte"/>
        <w:spacing w:before="120" w:after="120" w:line="276" w:lineRule="auto"/>
        <w:ind w:right="192" w:firstLine="284"/>
        <w:jc w:val="both"/>
      </w:pPr>
      <w:r w:rsidRPr="002E2D4C">
        <w:t>Peillex, J. (2014). L'Offre de produits de placement éthiques: décision de lancement, conception et réaction du marché financier (</w:t>
      </w:r>
      <w:r w:rsidR="002E2D4C">
        <w:t>Doctoral dissertation, Amiens).</w:t>
      </w:r>
    </w:p>
    <w:p w:rsidR="00300F7B" w:rsidRPr="002E2D4C" w:rsidRDefault="00300F7B" w:rsidP="002E2D4C">
      <w:pPr>
        <w:pStyle w:val="Corpsdetexte"/>
        <w:spacing w:before="120" w:after="120" w:line="276" w:lineRule="auto"/>
        <w:ind w:right="192" w:firstLine="284"/>
        <w:jc w:val="both"/>
        <w:rPr>
          <w:lang w:val="en-US"/>
        </w:rPr>
      </w:pPr>
      <w:r w:rsidRPr="002E2D4C">
        <w:t xml:space="preserve">Peillex, J., Erragragui, E., Bitar, M., &amp; Benlemlih, M. (2019). </w:t>
      </w:r>
      <w:r w:rsidRPr="002E2D4C">
        <w:rPr>
          <w:lang w:val="en-US"/>
        </w:rPr>
        <w:t>The contribution of market movements, asset allocation and active management to Islamic equity funds’ performance. The Quarterly Review of Ec</w:t>
      </w:r>
      <w:r w:rsidR="002E2D4C">
        <w:rPr>
          <w:lang w:val="en-US"/>
        </w:rPr>
        <w:t>onomics and Finance, 74, 32-38.</w:t>
      </w:r>
    </w:p>
    <w:p w:rsidR="00300F7B" w:rsidRDefault="00300F7B" w:rsidP="002E2D4C">
      <w:pPr>
        <w:pStyle w:val="Corpsdetexte"/>
        <w:spacing w:before="120" w:after="120" w:line="276" w:lineRule="auto"/>
        <w:ind w:right="192" w:firstLine="284"/>
        <w:jc w:val="both"/>
        <w:rPr>
          <w:lang w:val="en-US"/>
        </w:rPr>
      </w:pPr>
      <w:r w:rsidRPr="002E2D4C">
        <w:rPr>
          <w:lang w:val="en-US"/>
        </w:rPr>
        <w:t>Peillex, J., Boubaker, S., &amp; Comyns, B. (2019). Does It Pay to Invest in Japanese Women? Evidence from the MSCI Japan Empowering Women Index. Journal of Business Ethics, 1-19.</w:t>
      </w:r>
    </w:p>
    <w:p w:rsidR="008C59C3" w:rsidRPr="00A97C46" w:rsidRDefault="008C59C3" w:rsidP="002E2D4C">
      <w:pPr>
        <w:pStyle w:val="Corpsdetexte"/>
        <w:spacing w:before="120" w:after="120" w:line="276" w:lineRule="auto"/>
        <w:ind w:right="192" w:firstLine="284"/>
        <w:jc w:val="both"/>
      </w:pPr>
      <w:r w:rsidRPr="008C59C3">
        <w:rPr>
          <w:lang w:val="en-US"/>
        </w:rPr>
        <w:t xml:space="preserve">Peillex, J., El Ouadghiri, I., Gomes, M., &amp; Jaballah, J. Extreme heat and stock market activity. </w:t>
      </w:r>
      <w:r w:rsidRPr="00A97C46">
        <w:t>Ecological Economics, 179, 106810.</w:t>
      </w:r>
    </w:p>
    <w:p w:rsidR="00300F7B" w:rsidRPr="002E2D4C" w:rsidRDefault="00300F7B" w:rsidP="002E2D4C">
      <w:pPr>
        <w:pStyle w:val="Corpsdetexte"/>
        <w:spacing w:before="120" w:after="120" w:line="276" w:lineRule="auto"/>
        <w:ind w:right="192" w:firstLine="284"/>
        <w:jc w:val="both"/>
        <w:rPr>
          <w:lang w:val="en-US"/>
        </w:rPr>
      </w:pPr>
      <w:r w:rsidRPr="002E2D4C">
        <w:t xml:space="preserve">Peillex, J., &amp; Comyns, B. (2020). Pourquoi les sociétés financières décident-elles d’adopter les Principes des Nations Unies pour l’Investissement Responsable?. </w:t>
      </w:r>
      <w:r w:rsidRPr="002E2D4C">
        <w:rPr>
          <w:lang w:val="en-US"/>
        </w:rPr>
        <w:t>Comptabilite-Controle-Audit, 26(1), 79-117.</w:t>
      </w:r>
    </w:p>
    <w:p w:rsidR="00300F7B" w:rsidRPr="002E2D4C" w:rsidRDefault="00300F7B" w:rsidP="002E2D4C">
      <w:pPr>
        <w:pStyle w:val="Corpsdetexte"/>
        <w:spacing w:before="120" w:after="120" w:line="276" w:lineRule="auto"/>
        <w:ind w:right="192" w:firstLine="284"/>
        <w:jc w:val="both"/>
      </w:pPr>
      <w:r w:rsidRPr="002E2D4C">
        <w:rPr>
          <w:lang w:val="en-US"/>
        </w:rPr>
        <w:t xml:space="preserve">Peillex, J., &amp; Comyns, B. (2020). Why do financial companies adopt the United Nations Principles for Responsible Investment?. </w:t>
      </w:r>
      <w:r w:rsidRPr="002E2D4C">
        <w:t>Comptabilité-Contrôle-Audit, 26(1), 79-117.</w:t>
      </w:r>
    </w:p>
    <w:p w:rsidR="00300F7B" w:rsidRPr="002E2D4C" w:rsidRDefault="00300F7B" w:rsidP="002E2D4C">
      <w:pPr>
        <w:pStyle w:val="Corpsdetexte"/>
        <w:spacing w:before="120" w:after="120" w:line="276" w:lineRule="auto"/>
        <w:ind w:right="192" w:firstLine="284"/>
        <w:jc w:val="both"/>
      </w:pPr>
      <w:r w:rsidRPr="002E2D4C">
        <w:lastRenderedPageBreak/>
        <w:t>Peillex, J., &amp; Ureche-Rangau, L. (2012). Création d'un indice boursier islamique sur la place financière de Paris: méthodologie et performance. Revue d'économie financière,(3), 289-314.</w:t>
      </w:r>
    </w:p>
    <w:p w:rsidR="00300F7B" w:rsidRPr="002E2D4C" w:rsidRDefault="00300F7B" w:rsidP="002E2D4C">
      <w:pPr>
        <w:pStyle w:val="Corpsdetexte"/>
        <w:spacing w:before="120" w:after="120" w:line="276" w:lineRule="auto"/>
        <w:ind w:right="192" w:firstLine="284"/>
        <w:jc w:val="both"/>
        <w:rPr>
          <w:lang w:val="en-US"/>
        </w:rPr>
      </w:pPr>
      <w:r w:rsidRPr="002E2D4C">
        <w:t xml:space="preserve">Peillex, J., &amp; Ureche-Rangau, L. (2013). Is there a place for a shariah-compliant index on the Paris stock market?. </w:t>
      </w:r>
      <w:r w:rsidRPr="002E2D4C">
        <w:rPr>
          <w:lang w:val="en-US"/>
        </w:rPr>
        <w:t>International journal of business, 18(2), 131.</w:t>
      </w:r>
    </w:p>
    <w:p w:rsidR="00300F7B" w:rsidRPr="002E2D4C" w:rsidRDefault="00300F7B" w:rsidP="002E2D4C">
      <w:pPr>
        <w:pStyle w:val="Corpsdetexte"/>
        <w:spacing w:before="120" w:after="120" w:line="276" w:lineRule="auto"/>
        <w:ind w:right="192" w:firstLine="284"/>
        <w:jc w:val="both"/>
        <w:rPr>
          <w:lang w:val="en-US"/>
        </w:rPr>
      </w:pPr>
      <w:r w:rsidRPr="00A97C46">
        <w:rPr>
          <w:lang w:val="en-US"/>
        </w:rPr>
        <w:t xml:space="preserve">Peillex, J., &amp; Ureche-Rangau, L. (2014). </w:t>
      </w:r>
      <w:r w:rsidRPr="002E2D4C">
        <w:rPr>
          <w:lang w:val="en-US"/>
        </w:rPr>
        <w:t>How does the Market Price of the Corporate Sponsor React to Socially Responsible Fund Introductions?. Bankers, Markets &amp; Investors, (131), 17-29.</w:t>
      </w:r>
    </w:p>
    <w:p w:rsidR="00300F7B" w:rsidRPr="002E2D4C" w:rsidRDefault="00300F7B" w:rsidP="002E2D4C">
      <w:pPr>
        <w:pStyle w:val="Corpsdetexte"/>
        <w:spacing w:before="120" w:after="120" w:line="276" w:lineRule="auto"/>
        <w:ind w:right="192" w:firstLine="284"/>
        <w:jc w:val="both"/>
      </w:pPr>
      <w:r w:rsidRPr="00A97C46">
        <w:rPr>
          <w:lang w:val="en-US"/>
        </w:rPr>
        <w:t xml:space="preserve">Peillex, J., &amp; Ureche-Rangau, L. (2016). </w:t>
      </w:r>
      <w:r w:rsidRPr="002E2D4C">
        <w:rPr>
          <w:lang w:val="en-US"/>
        </w:rPr>
        <w:t xml:space="preserve">Identifying the determinants of the decision to create socially responsible funds: An empirical investigation. </w:t>
      </w:r>
      <w:r w:rsidRPr="002E2D4C">
        <w:t>Journal of business ethics, 136(1), 101 117.</w:t>
      </w:r>
    </w:p>
    <w:p w:rsidR="003E7CF5" w:rsidRPr="002E2D4C" w:rsidRDefault="00300F7B" w:rsidP="002E2D4C">
      <w:pPr>
        <w:pStyle w:val="Corpsdetexte"/>
        <w:spacing w:before="120" w:after="120" w:line="276" w:lineRule="auto"/>
        <w:ind w:right="192" w:firstLine="284"/>
        <w:jc w:val="both"/>
        <w:rPr>
          <w:lang w:val="en-US"/>
        </w:rPr>
      </w:pPr>
      <w:r w:rsidRPr="002E2D4C">
        <w:t xml:space="preserve">Peillex, J., &amp; Ureche-Rangau, L. (2015). Comment expliquer la performance financière de l’investissement conforme à la Charia?. </w:t>
      </w:r>
      <w:r w:rsidRPr="002E2D4C">
        <w:rPr>
          <w:lang w:val="en-US"/>
        </w:rPr>
        <w:t>Management international/International Management/Gestiòn Internacional, 19(2), 128-139.</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Shackelford S.J. (2012). Should Your Firm Invest in Cyber Risk Insurance?, Business Horizons, 55(4), 349-356.</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Sharpe W. (1963), A simplified model for portfolio analysis , Management Science, pp.</w:t>
      </w:r>
      <w:r w:rsidRPr="002E2D4C">
        <w:rPr>
          <w:spacing w:val="52"/>
          <w:lang w:val="en-US"/>
        </w:rPr>
        <w:t xml:space="preserve"> </w:t>
      </w:r>
      <w:r w:rsidRPr="002E2D4C">
        <w:rPr>
          <w:lang w:val="en-US"/>
        </w:rPr>
        <w:t>277-293.</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In Review of Quantitative Finance and Accounting, vol 11, 1998, pp. 111-137.</w:t>
      </w:r>
    </w:p>
    <w:p w:rsidR="003E7CF5" w:rsidRPr="002E2D4C" w:rsidRDefault="00024B00" w:rsidP="002E2D4C">
      <w:pPr>
        <w:pStyle w:val="Corpsdetexte"/>
        <w:spacing w:before="120" w:after="120" w:line="276" w:lineRule="auto"/>
        <w:ind w:right="192" w:firstLine="284"/>
        <w:jc w:val="both"/>
        <w:rPr>
          <w:lang w:val="en-US"/>
        </w:rPr>
      </w:pPr>
      <w:r w:rsidRPr="002E2D4C">
        <w:rPr>
          <w:lang w:val="en-US"/>
        </w:rPr>
        <w:t>Skrepnek</w:t>
      </w:r>
      <w:r w:rsidRPr="002E2D4C">
        <w:rPr>
          <w:spacing w:val="-18"/>
          <w:lang w:val="en-US"/>
        </w:rPr>
        <w:t xml:space="preserve"> </w:t>
      </w:r>
      <w:r w:rsidRPr="002E2D4C">
        <w:rPr>
          <w:lang w:val="en-US"/>
        </w:rPr>
        <w:t>Grant</w:t>
      </w:r>
      <w:r w:rsidRPr="002E2D4C">
        <w:rPr>
          <w:spacing w:val="-17"/>
          <w:lang w:val="en-US"/>
        </w:rPr>
        <w:t xml:space="preserve"> </w:t>
      </w:r>
      <w:r w:rsidRPr="002E2D4C">
        <w:rPr>
          <w:lang w:val="en-US"/>
        </w:rPr>
        <w:t>&amp;</w:t>
      </w:r>
      <w:r w:rsidRPr="002E2D4C">
        <w:rPr>
          <w:spacing w:val="-14"/>
          <w:lang w:val="en-US"/>
        </w:rPr>
        <w:t xml:space="preserve"> </w:t>
      </w:r>
      <w:r w:rsidRPr="002E2D4C">
        <w:rPr>
          <w:lang w:val="en-US"/>
        </w:rPr>
        <w:t>Lawson</w:t>
      </w:r>
      <w:r w:rsidRPr="002E2D4C">
        <w:rPr>
          <w:spacing w:val="-17"/>
          <w:lang w:val="en-US"/>
        </w:rPr>
        <w:t xml:space="preserve"> </w:t>
      </w:r>
      <w:r w:rsidRPr="002E2D4C">
        <w:rPr>
          <w:lang w:val="en-US"/>
        </w:rPr>
        <w:t>Kenneth,</w:t>
      </w:r>
      <w:r w:rsidRPr="002E2D4C">
        <w:rPr>
          <w:spacing w:val="-17"/>
          <w:lang w:val="en-US"/>
        </w:rPr>
        <w:t xml:space="preserve"> </w:t>
      </w:r>
      <w:r w:rsidRPr="002E2D4C">
        <w:rPr>
          <w:lang w:val="en-US"/>
        </w:rPr>
        <w:t>Measuring</w:t>
      </w:r>
      <w:r w:rsidRPr="002E2D4C">
        <w:rPr>
          <w:spacing w:val="-13"/>
          <w:lang w:val="en-US"/>
        </w:rPr>
        <w:t xml:space="preserve"> </w:t>
      </w:r>
      <w:r w:rsidRPr="002E2D4C">
        <w:rPr>
          <w:lang w:val="en-US"/>
        </w:rPr>
        <w:t>changes</w:t>
      </w:r>
      <w:r w:rsidRPr="002E2D4C">
        <w:rPr>
          <w:spacing w:val="-15"/>
          <w:lang w:val="en-US"/>
        </w:rPr>
        <w:t xml:space="preserve"> </w:t>
      </w:r>
      <w:r w:rsidRPr="002E2D4C">
        <w:rPr>
          <w:lang w:val="en-US"/>
        </w:rPr>
        <w:t>in</w:t>
      </w:r>
      <w:r w:rsidRPr="002E2D4C">
        <w:rPr>
          <w:spacing w:val="-17"/>
          <w:lang w:val="en-US"/>
        </w:rPr>
        <w:t xml:space="preserve"> </w:t>
      </w:r>
      <w:r w:rsidRPr="002E2D4C">
        <w:rPr>
          <w:lang w:val="en-US"/>
        </w:rPr>
        <w:t>capital</w:t>
      </w:r>
      <w:r w:rsidRPr="002E2D4C">
        <w:rPr>
          <w:spacing w:val="-19"/>
          <w:lang w:val="en-US"/>
        </w:rPr>
        <w:t xml:space="preserve"> </w:t>
      </w:r>
      <w:r w:rsidRPr="002E2D4C">
        <w:rPr>
          <w:lang w:val="en-US"/>
        </w:rPr>
        <w:t>market</w:t>
      </w:r>
      <w:r w:rsidRPr="002E2D4C">
        <w:rPr>
          <w:spacing w:val="-13"/>
          <w:lang w:val="en-US"/>
        </w:rPr>
        <w:t xml:space="preserve"> </w:t>
      </w:r>
      <w:r w:rsidRPr="002E2D4C">
        <w:rPr>
          <w:lang w:val="en-US"/>
        </w:rPr>
        <w:t>security:</w:t>
      </w:r>
      <w:r w:rsidRPr="002E2D4C">
        <w:rPr>
          <w:spacing w:val="-18"/>
          <w:lang w:val="en-US"/>
        </w:rPr>
        <w:t xml:space="preserve"> </w:t>
      </w:r>
      <w:r w:rsidRPr="002E2D4C">
        <w:rPr>
          <w:lang w:val="en-US"/>
        </w:rPr>
        <w:t>The</w:t>
      </w:r>
      <w:r w:rsidRPr="002E2D4C">
        <w:rPr>
          <w:spacing w:val="-19"/>
          <w:lang w:val="en-US"/>
        </w:rPr>
        <w:t xml:space="preserve"> </w:t>
      </w:r>
      <w:r w:rsidRPr="002E2D4C">
        <w:rPr>
          <w:lang w:val="en-US"/>
        </w:rPr>
        <w:t>event</w:t>
      </w:r>
      <w:r w:rsidRPr="002E2D4C">
        <w:rPr>
          <w:spacing w:val="-18"/>
          <w:lang w:val="en-US"/>
        </w:rPr>
        <w:t xml:space="preserve"> </w:t>
      </w:r>
      <w:r w:rsidRPr="002E2D4C">
        <w:rPr>
          <w:lang w:val="en-US"/>
        </w:rPr>
        <w:t>study methodology , Journal of Research in Pharmaceutical Economics, 11 (2001), pp.</w:t>
      </w:r>
      <w:r w:rsidRPr="002E2D4C">
        <w:rPr>
          <w:spacing w:val="-9"/>
          <w:lang w:val="en-US"/>
        </w:rPr>
        <w:t xml:space="preserve"> </w:t>
      </w:r>
      <w:r w:rsidRPr="002E2D4C">
        <w:rPr>
          <w:lang w:val="en-US"/>
        </w:rPr>
        <w:t>1-17.</w:t>
      </w:r>
    </w:p>
    <w:p w:rsidR="003E7CF5" w:rsidRPr="002E2D4C" w:rsidRDefault="00024B00" w:rsidP="002E2D4C">
      <w:pPr>
        <w:pStyle w:val="Corpsdetexte"/>
        <w:spacing w:before="120" w:after="120" w:line="276" w:lineRule="auto"/>
        <w:ind w:right="192" w:firstLine="284"/>
        <w:jc w:val="both"/>
      </w:pPr>
      <w:r w:rsidRPr="002E2D4C">
        <w:rPr>
          <w:lang w:val="en-US"/>
        </w:rPr>
        <w:t>Winn,</w:t>
      </w:r>
      <w:r w:rsidRPr="002E2D4C">
        <w:rPr>
          <w:spacing w:val="-8"/>
          <w:lang w:val="en-US"/>
        </w:rPr>
        <w:t xml:space="preserve"> </w:t>
      </w:r>
      <w:r w:rsidRPr="002E2D4C">
        <w:rPr>
          <w:lang w:val="en-US"/>
        </w:rPr>
        <w:t>J.</w:t>
      </w:r>
      <w:r w:rsidRPr="002E2D4C">
        <w:rPr>
          <w:spacing w:val="-7"/>
          <w:lang w:val="en-US"/>
        </w:rPr>
        <w:t xml:space="preserve"> </w:t>
      </w:r>
      <w:r w:rsidRPr="002E2D4C">
        <w:rPr>
          <w:lang w:val="en-US"/>
        </w:rPr>
        <w:t>&amp;</w:t>
      </w:r>
      <w:r w:rsidRPr="002E2D4C">
        <w:rPr>
          <w:spacing w:val="-3"/>
          <w:lang w:val="en-US"/>
        </w:rPr>
        <w:t xml:space="preserve"> </w:t>
      </w:r>
      <w:r w:rsidRPr="002E2D4C">
        <w:rPr>
          <w:lang w:val="en-US"/>
        </w:rPr>
        <w:t>Govern,</w:t>
      </w:r>
      <w:r w:rsidRPr="002E2D4C">
        <w:rPr>
          <w:spacing w:val="-6"/>
          <w:lang w:val="en-US"/>
        </w:rPr>
        <w:t xml:space="preserve"> </w:t>
      </w:r>
      <w:r w:rsidRPr="002E2D4C">
        <w:rPr>
          <w:lang w:val="en-US"/>
        </w:rPr>
        <w:t>K.</w:t>
      </w:r>
      <w:r w:rsidRPr="002E2D4C">
        <w:rPr>
          <w:spacing w:val="-7"/>
          <w:lang w:val="en-US"/>
        </w:rPr>
        <w:t xml:space="preserve"> </w:t>
      </w:r>
      <w:r w:rsidRPr="002E2D4C">
        <w:rPr>
          <w:lang w:val="en-US"/>
        </w:rPr>
        <w:t>(2009).</w:t>
      </w:r>
      <w:r w:rsidRPr="002E2D4C">
        <w:rPr>
          <w:spacing w:val="-7"/>
          <w:lang w:val="en-US"/>
        </w:rPr>
        <w:t xml:space="preserve"> </w:t>
      </w:r>
      <w:r w:rsidRPr="002E2D4C">
        <w:rPr>
          <w:lang w:val="en-US"/>
        </w:rPr>
        <w:t>Identity</w:t>
      </w:r>
      <w:r w:rsidRPr="002E2D4C">
        <w:rPr>
          <w:spacing w:val="-2"/>
          <w:lang w:val="en-US"/>
        </w:rPr>
        <w:t xml:space="preserve"> </w:t>
      </w:r>
      <w:r w:rsidRPr="002E2D4C">
        <w:rPr>
          <w:lang w:val="en-US"/>
        </w:rPr>
        <w:t>theft:</w:t>
      </w:r>
      <w:r w:rsidRPr="002E2D4C">
        <w:rPr>
          <w:spacing w:val="-8"/>
          <w:lang w:val="en-US"/>
        </w:rPr>
        <w:t xml:space="preserve"> </w:t>
      </w:r>
      <w:r w:rsidRPr="002E2D4C">
        <w:rPr>
          <w:lang w:val="en-US"/>
        </w:rPr>
        <w:t>risks</w:t>
      </w:r>
      <w:r w:rsidRPr="002E2D4C">
        <w:rPr>
          <w:spacing w:val="-5"/>
          <w:lang w:val="en-US"/>
        </w:rPr>
        <w:t xml:space="preserve"> </w:t>
      </w:r>
      <w:r w:rsidRPr="002E2D4C">
        <w:rPr>
          <w:lang w:val="en-US"/>
        </w:rPr>
        <w:t>and</w:t>
      </w:r>
      <w:r w:rsidRPr="002E2D4C">
        <w:rPr>
          <w:spacing w:val="-7"/>
          <w:lang w:val="en-US"/>
        </w:rPr>
        <w:t xml:space="preserve"> </w:t>
      </w:r>
      <w:r w:rsidRPr="002E2D4C">
        <w:rPr>
          <w:lang w:val="en-US"/>
        </w:rPr>
        <w:t>challenges</w:t>
      </w:r>
      <w:r w:rsidRPr="002E2D4C">
        <w:rPr>
          <w:spacing w:val="-1"/>
          <w:lang w:val="en-US"/>
        </w:rPr>
        <w:t xml:space="preserve"> </w:t>
      </w:r>
      <w:r w:rsidRPr="002E2D4C">
        <w:rPr>
          <w:lang w:val="en-US"/>
        </w:rPr>
        <w:t>to</w:t>
      </w:r>
      <w:r w:rsidRPr="002E2D4C">
        <w:rPr>
          <w:spacing w:val="-7"/>
          <w:lang w:val="en-US"/>
        </w:rPr>
        <w:t xml:space="preserve"> </w:t>
      </w:r>
      <w:r w:rsidRPr="002E2D4C">
        <w:rPr>
          <w:lang w:val="en-US"/>
        </w:rPr>
        <w:t>business</w:t>
      </w:r>
      <w:r w:rsidRPr="002E2D4C">
        <w:rPr>
          <w:spacing w:val="-5"/>
          <w:lang w:val="en-US"/>
        </w:rPr>
        <w:t xml:space="preserve"> </w:t>
      </w:r>
      <w:r w:rsidRPr="002E2D4C">
        <w:rPr>
          <w:lang w:val="en-US"/>
        </w:rPr>
        <w:t>of</w:t>
      </w:r>
      <w:r w:rsidRPr="002E2D4C">
        <w:rPr>
          <w:spacing w:val="-6"/>
          <w:lang w:val="en-US"/>
        </w:rPr>
        <w:t xml:space="preserve"> </w:t>
      </w:r>
      <w:r w:rsidRPr="002E2D4C">
        <w:rPr>
          <w:lang w:val="en-US"/>
        </w:rPr>
        <w:t>data</w:t>
      </w:r>
      <w:r w:rsidRPr="002E2D4C">
        <w:rPr>
          <w:spacing w:val="-3"/>
          <w:lang w:val="en-US"/>
        </w:rPr>
        <w:t xml:space="preserve"> </w:t>
      </w:r>
      <w:r w:rsidRPr="002E2D4C">
        <w:rPr>
          <w:lang w:val="en-US"/>
        </w:rPr>
        <w:t xml:space="preserve">compromise. </w:t>
      </w:r>
      <w:r w:rsidRPr="002E2D4C">
        <w:t>Journal of Science Technology &amp; Environmental Law, 28(1) ,</w:t>
      </w:r>
      <w:r w:rsidRPr="002E2D4C">
        <w:rPr>
          <w:spacing w:val="-4"/>
        </w:rPr>
        <w:t xml:space="preserve"> </w:t>
      </w:r>
      <w:r w:rsidRPr="002E2D4C">
        <w:t>49-63.</w:t>
      </w:r>
    </w:p>
    <w:p w:rsidR="003E7CF5" w:rsidRPr="002E2D4C" w:rsidRDefault="00024B00" w:rsidP="002E2D4C">
      <w:pPr>
        <w:pStyle w:val="Corpsdetexte"/>
        <w:spacing w:before="120" w:after="120" w:line="276" w:lineRule="auto"/>
        <w:ind w:right="192" w:firstLine="284"/>
        <w:jc w:val="both"/>
      </w:pPr>
      <w:r w:rsidRPr="002E2D4C">
        <w:t>Ghernaouti-Hélie, Solange, Dufour Arnaud (2012), “Cybercriminalité et cybersécurité”, Presses Universitaires de France, « Que sais-je ? », p. 94-108</w:t>
      </w:r>
    </w:p>
    <w:p w:rsidR="003E7CF5" w:rsidRPr="002E2D4C" w:rsidRDefault="00024B00" w:rsidP="002E2D4C">
      <w:pPr>
        <w:pStyle w:val="Corpsdetexte"/>
        <w:spacing w:before="120" w:after="120" w:line="276" w:lineRule="auto"/>
        <w:ind w:right="192" w:firstLine="284"/>
        <w:jc w:val="both"/>
      </w:pPr>
      <w:r w:rsidRPr="002E2D4C">
        <w:t>Ghernaouti, Solange, et Christian Aghroum (2012). “Cyber-résilience, risques et dépendances : pour une nouvelle approche de la cyber-sécurité”, Sécurité et stratégie, vol. 11, no. 4, pp. 74- 83.</w:t>
      </w:r>
    </w:p>
    <w:p w:rsidR="003E7CF5" w:rsidRPr="002E2D4C" w:rsidRDefault="00024B00" w:rsidP="002E2D4C">
      <w:pPr>
        <w:pStyle w:val="Corpsdetexte"/>
        <w:spacing w:before="120" w:after="120" w:line="276" w:lineRule="auto"/>
        <w:ind w:right="192" w:firstLine="284"/>
        <w:jc w:val="both"/>
      </w:pPr>
      <w:r w:rsidRPr="002E2D4C">
        <w:t>IDC France, Blog (2019)</w:t>
      </w:r>
      <w:r w:rsidRPr="002E2D4C">
        <w:rPr>
          <w:spacing w:val="59"/>
        </w:rPr>
        <w:t xml:space="preserve"> </w:t>
      </w:r>
      <w:hyperlink r:id="rId11">
        <w:r w:rsidRPr="002E2D4C">
          <w:rPr>
            <w:color w:val="0462C1"/>
            <w:u w:val="single" w:color="0462C1"/>
          </w:rPr>
          <w:t>https://www.blog-idcfrance.com/</w:t>
        </w:r>
      </w:hyperlink>
    </w:p>
    <w:p w:rsidR="00300F7B" w:rsidRPr="002E2D4C" w:rsidRDefault="00024B00" w:rsidP="002E2D4C">
      <w:pPr>
        <w:pStyle w:val="Corpsdetexte"/>
        <w:spacing w:before="120" w:after="120" w:line="276" w:lineRule="auto"/>
        <w:ind w:right="192" w:firstLine="284"/>
        <w:jc w:val="both"/>
      </w:pPr>
      <w:r w:rsidRPr="002E2D4C">
        <w:t>Wavestone (2016) Opérateur d’importance vitale – Cybersécurité et conformité LPM https://</w:t>
      </w:r>
      <w:hyperlink r:id="rId12">
        <w:r w:rsidRPr="002E2D4C">
          <w:t>www.wavestone.com/app/uploads/2016/11/operateur-importance-vitale-cybersecurite-</w:t>
        </w:r>
      </w:hyperlink>
      <w:r w:rsidRPr="002E2D4C">
        <w:t xml:space="preserve"> conformite-lpm.pdf</w:t>
      </w:r>
      <w:bookmarkStart w:id="43" w:name="Table_des_illustrations"/>
      <w:bookmarkStart w:id="44" w:name="_bookmark38"/>
      <w:bookmarkEnd w:id="43"/>
      <w:bookmarkEnd w:id="44"/>
    </w:p>
    <w:sectPr w:rsidR="00300F7B" w:rsidRPr="002E2D4C" w:rsidSect="002E2D4C">
      <w:headerReference w:type="default" r:id="rId13"/>
      <w:footerReference w:type="default" r:id="rId14"/>
      <w:pgSz w:w="12240" w:h="15840"/>
      <w:pgMar w:top="1417" w:right="1417" w:bottom="1417" w:left="1417" w:header="73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B00" w:rsidRDefault="00024B00">
      <w:r>
        <w:separator/>
      </w:r>
    </w:p>
  </w:endnote>
  <w:endnote w:type="continuationSeparator" w:id="0">
    <w:p w:rsidR="00024B00" w:rsidRDefault="0002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00" w:rsidRDefault="00024B00">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00" w:rsidRDefault="00024B00">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B00" w:rsidRDefault="00024B00">
      <w:r>
        <w:separator/>
      </w:r>
    </w:p>
  </w:footnote>
  <w:footnote w:type="continuationSeparator" w:id="0">
    <w:p w:rsidR="00024B00" w:rsidRDefault="00024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00" w:rsidRDefault="00024B00">
    <w:pPr>
      <w:pStyle w:val="Corpsdetex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B00" w:rsidRDefault="00024B00">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D4218"/>
    <w:multiLevelType w:val="hybridMultilevel"/>
    <w:tmpl w:val="B3E4A894"/>
    <w:lvl w:ilvl="0" w:tplc="E8B63C84">
      <w:start w:val="3"/>
      <w:numFmt w:val="decimal"/>
      <w:lvlText w:val="%1"/>
      <w:lvlJc w:val="left"/>
      <w:pPr>
        <w:ind w:left="470" w:hanging="135"/>
        <w:jc w:val="left"/>
      </w:pPr>
      <w:rPr>
        <w:rFonts w:ascii="Times New Roman" w:eastAsia="Times New Roman" w:hAnsi="Times New Roman" w:cs="Times New Roman" w:hint="default"/>
        <w:i/>
        <w:spacing w:val="-1"/>
        <w:w w:val="99"/>
        <w:sz w:val="18"/>
        <w:szCs w:val="18"/>
        <w:lang w:val="fr-FR" w:eastAsia="fr-FR" w:bidi="fr-FR"/>
      </w:rPr>
    </w:lvl>
    <w:lvl w:ilvl="1" w:tplc="16E46936">
      <w:numFmt w:val="bullet"/>
      <w:lvlText w:val="•"/>
      <w:lvlJc w:val="left"/>
      <w:pPr>
        <w:ind w:left="1548" w:hanging="135"/>
      </w:pPr>
      <w:rPr>
        <w:rFonts w:hint="default"/>
        <w:lang w:val="fr-FR" w:eastAsia="fr-FR" w:bidi="fr-FR"/>
      </w:rPr>
    </w:lvl>
    <w:lvl w:ilvl="2" w:tplc="D01EC97A">
      <w:numFmt w:val="bullet"/>
      <w:lvlText w:val="•"/>
      <w:lvlJc w:val="left"/>
      <w:pPr>
        <w:ind w:left="2616" w:hanging="135"/>
      </w:pPr>
      <w:rPr>
        <w:rFonts w:hint="default"/>
        <w:lang w:val="fr-FR" w:eastAsia="fr-FR" w:bidi="fr-FR"/>
      </w:rPr>
    </w:lvl>
    <w:lvl w:ilvl="3" w:tplc="D87812F4">
      <w:numFmt w:val="bullet"/>
      <w:lvlText w:val="•"/>
      <w:lvlJc w:val="left"/>
      <w:pPr>
        <w:ind w:left="3684" w:hanging="135"/>
      </w:pPr>
      <w:rPr>
        <w:rFonts w:hint="default"/>
        <w:lang w:val="fr-FR" w:eastAsia="fr-FR" w:bidi="fr-FR"/>
      </w:rPr>
    </w:lvl>
    <w:lvl w:ilvl="4" w:tplc="7BB20006">
      <w:numFmt w:val="bullet"/>
      <w:lvlText w:val="•"/>
      <w:lvlJc w:val="left"/>
      <w:pPr>
        <w:ind w:left="4752" w:hanging="135"/>
      </w:pPr>
      <w:rPr>
        <w:rFonts w:hint="default"/>
        <w:lang w:val="fr-FR" w:eastAsia="fr-FR" w:bidi="fr-FR"/>
      </w:rPr>
    </w:lvl>
    <w:lvl w:ilvl="5" w:tplc="4B186ADC">
      <w:numFmt w:val="bullet"/>
      <w:lvlText w:val="•"/>
      <w:lvlJc w:val="left"/>
      <w:pPr>
        <w:ind w:left="5820" w:hanging="135"/>
      </w:pPr>
      <w:rPr>
        <w:rFonts w:hint="default"/>
        <w:lang w:val="fr-FR" w:eastAsia="fr-FR" w:bidi="fr-FR"/>
      </w:rPr>
    </w:lvl>
    <w:lvl w:ilvl="6" w:tplc="04DE0250">
      <w:numFmt w:val="bullet"/>
      <w:lvlText w:val="•"/>
      <w:lvlJc w:val="left"/>
      <w:pPr>
        <w:ind w:left="6888" w:hanging="135"/>
      </w:pPr>
      <w:rPr>
        <w:rFonts w:hint="default"/>
        <w:lang w:val="fr-FR" w:eastAsia="fr-FR" w:bidi="fr-FR"/>
      </w:rPr>
    </w:lvl>
    <w:lvl w:ilvl="7" w:tplc="2A9C0F7E">
      <w:numFmt w:val="bullet"/>
      <w:lvlText w:val="•"/>
      <w:lvlJc w:val="left"/>
      <w:pPr>
        <w:ind w:left="7956" w:hanging="135"/>
      </w:pPr>
      <w:rPr>
        <w:rFonts w:hint="default"/>
        <w:lang w:val="fr-FR" w:eastAsia="fr-FR" w:bidi="fr-FR"/>
      </w:rPr>
    </w:lvl>
    <w:lvl w:ilvl="8" w:tplc="D902CB9E">
      <w:numFmt w:val="bullet"/>
      <w:lvlText w:val="•"/>
      <w:lvlJc w:val="left"/>
      <w:pPr>
        <w:ind w:left="9024" w:hanging="135"/>
      </w:pPr>
      <w:rPr>
        <w:rFonts w:hint="default"/>
        <w:lang w:val="fr-FR" w:eastAsia="fr-FR" w:bidi="fr-FR"/>
      </w:rPr>
    </w:lvl>
  </w:abstractNum>
  <w:abstractNum w:abstractNumId="1" w15:restartNumberingAfterBreak="0">
    <w:nsid w:val="59CC329A"/>
    <w:multiLevelType w:val="hybridMultilevel"/>
    <w:tmpl w:val="EAAEB64C"/>
    <w:lvl w:ilvl="0" w:tplc="35126DC2">
      <w:numFmt w:val="bullet"/>
      <w:lvlText w:val="o"/>
      <w:lvlJc w:val="left"/>
      <w:pPr>
        <w:ind w:left="1056" w:hanging="361"/>
      </w:pPr>
      <w:rPr>
        <w:rFonts w:ascii="Courier New" w:eastAsia="Courier New" w:hAnsi="Courier New" w:cs="Courier New" w:hint="default"/>
        <w:spacing w:val="-5"/>
        <w:w w:val="96"/>
        <w:sz w:val="24"/>
        <w:szCs w:val="24"/>
        <w:lang w:val="fr-FR" w:eastAsia="fr-FR" w:bidi="fr-FR"/>
      </w:rPr>
    </w:lvl>
    <w:lvl w:ilvl="1" w:tplc="1BDAFAFE">
      <w:numFmt w:val="bullet"/>
      <w:lvlText w:val="•"/>
      <w:lvlJc w:val="left"/>
      <w:pPr>
        <w:ind w:left="2070" w:hanging="361"/>
      </w:pPr>
      <w:rPr>
        <w:rFonts w:hint="default"/>
        <w:lang w:val="fr-FR" w:eastAsia="fr-FR" w:bidi="fr-FR"/>
      </w:rPr>
    </w:lvl>
    <w:lvl w:ilvl="2" w:tplc="8A2C4B1E">
      <w:numFmt w:val="bullet"/>
      <w:lvlText w:val="•"/>
      <w:lvlJc w:val="left"/>
      <w:pPr>
        <w:ind w:left="3080" w:hanging="361"/>
      </w:pPr>
      <w:rPr>
        <w:rFonts w:hint="default"/>
        <w:lang w:val="fr-FR" w:eastAsia="fr-FR" w:bidi="fr-FR"/>
      </w:rPr>
    </w:lvl>
    <w:lvl w:ilvl="3" w:tplc="51664950">
      <w:numFmt w:val="bullet"/>
      <w:lvlText w:val="•"/>
      <w:lvlJc w:val="left"/>
      <w:pPr>
        <w:ind w:left="4090" w:hanging="361"/>
      </w:pPr>
      <w:rPr>
        <w:rFonts w:hint="default"/>
        <w:lang w:val="fr-FR" w:eastAsia="fr-FR" w:bidi="fr-FR"/>
      </w:rPr>
    </w:lvl>
    <w:lvl w:ilvl="4" w:tplc="FAC4BB6A">
      <w:numFmt w:val="bullet"/>
      <w:lvlText w:val="•"/>
      <w:lvlJc w:val="left"/>
      <w:pPr>
        <w:ind w:left="5100" w:hanging="361"/>
      </w:pPr>
      <w:rPr>
        <w:rFonts w:hint="default"/>
        <w:lang w:val="fr-FR" w:eastAsia="fr-FR" w:bidi="fr-FR"/>
      </w:rPr>
    </w:lvl>
    <w:lvl w:ilvl="5" w:tplc="533A28C0">
      <w:numFmt w:val="bullet"/>
      <w:lvlText w:val="•"/>
      <w:lvlJc w:val="left"/>
      <w:pPr>
        <w:ind w:left="6110" w:hanging="361"/>
      </w:pPr>
      <w:rPr>
        <w:rFonts w:hint="default"/>
        <w:lang w:val="fr-FR" w:eastAsia="fr-FR" w:bidi="fr-FR"/>
      </w:rPr>
    </w:lvl>
    <w:lvl w:ilvl="6" w:tplc="D8B666BC">
      <w:numFmt w:val="bullet"/>
      <w:lvlText w:val="•"/>
      <w:lvlJc w:val="left"/>
      <w:pPr>
        <w:ind w:left="7120" w:hanging="361"/>
      </w:pPr>
      <w:rPr>
        <w:rFonts w:hint="default"/>
        <w:lang w:val="fr-FR" w:eastAsia="fr-FR" w:bidi="fr-FR"/>
      </w:rPr>
    </w:lvl>
    <w:lvl w:ilvl="7" w:tplc="BF12C4BE">
      <w:numFmt w:val="bullet"/>
      <w:lvlText w:val="•"/>
      <w:lvlJc w:val="left"/>
      <w:pPr>
        <w:ind w:left="8130" w:hanging="361"/>
      </w:pPr>
      <w:rPr>
        <w:rFonts w:hint="default"/>
        <w:lang w:val="fr-FR" w:eastAsia="fr-FR" w:bidi="fr-FR"/>
      </w:rPr>
    </w:lvl>
    <w:lvl w:ilvl="8" w:tplc="5F12CF12">
      <w:numFmt w:val="bullet"/>
      <w:lvlText w:val="•"/>
      <w:lvlJc w:val="left"/>
      <w:pPr>
        <w:ind w:left="9140" w:hanging="361"/>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F5"/>
    <w:rsid w:val="00024B00"/>
    <w:rsid w:val="002E2D4C"/>
    <w:rsid w:val="00300F7B"/>
    <w:rsid w:val="003E7CF5"/>
    <w:rsid w:val="00481040"/>
    <w:rsid w:val="00747380"/>
    <w:rsid w:val="008C59C3"/>
    <w:rsid w:val="00A5268B"/>
    <w:rsid w:val="00A97C46"/>
    <w:rsid w:val="00CB4D10"/>
    <w:rsid w:val="00CF78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4BF4A"/>
  <w15:docId w15:val="{D1891402-4530-44AC-A237-DB306D72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spacing w:before="100"/>
      <w:jc w:val="center"/>
      <w:outlineLvl w:val="0"/>
    </w:pPr>
    <w:rPr>
      <w:b/>
      <w:bCs/>
      <w:sz w:val="44"/>
      <w:szCs w:val="44"/>
    </w:rPr>
  </w:style>
  <w:style w:type="paragraph" w:styleId="Titre2">
    <w:name w:val="heading 2"/>
    <w:basedOn w:val="Normal"/>
    <w:uiPriority w:val="1"/>
    <w:qFormat/>
    <w:pPr>
      <w:ind w:left="335"/>
      <w:outlineLvl w:val="1"/>
    </w:pPr>
    <w:rPr>
      <w:b/>
      <w:bCs/>
      <w:sz w:val="28"/>
      <w:szCs w:val="28"/>
      <w:u w:val="single" w:color="000000"/>
    </w:rPr>
  </w:style>
  <w:style w:type="paragraph" w:styleId="Titre3">
    <w:name w:val="heading 3"/>
    <w:basedOn w:val="Normal"/>
    <w:uiPriority w:val="1"/>
    <w:qFormat/>
    <w:pPr>
      <w:ind w:left="335"/>
      <w:outlineLvl w:val="2"/>
    </w:pPr>
    <w:rPr>
      <w:rFonts w:ascii="Cambria Math" w:eastAsia="Cambria Math" w:hAnsi="Cambria Math" w:cs="Cambria Math"/>
      <w:i/>
      <w:sz w:val="25"/>
      <w:szCs w:val="25"/>
    </w:rPr>
  </w:style>
  <w:style w:type="paragraph" w:styleId="Titre4">
    <w:name w:val="heading 4"/>
    <w:basedOn w:val="Normal"/>
    <w:uiPriority w:val="1"/>
    <w:qFormat/>
    <w:pPr>
      <w:spacing w:before="379"/>
      <w:ind w:right="1435"/>
      <w:jc w:val="right"/>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79"/>
      <w:ind w:right="1423"/>
      <w:jc w:val="right"/>
    </w:pPr>
    <w:rPr>
      <w:b/>
      <w:bCs/>
      <w:sz w:val="24"/>
      <w:szCs w:val="24"/>
    </w:rPr>
  </w:style>
  <w:style w:type="paragraph" w:styleId="TM2">
    <w:name w:val="toc 2"/>
    <w:basedOn w:val="Normal"/>
    <w:uiPriority w:val="1"/>
    <w:qFormat/>
    <w:pPr>
      <w:spacing w:before="239"/>
      <w:ind w:right="1423"/>
      <w:jc w:val="right"/>
    </w:pPr>
    <w:rPr>
      <w:sz w:val="24"/>
      <w:szCs w:val="24"/>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56"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24B00"/>
    <w:pPr>
      <w:tabs>
        <w:tab w:val="center" w:pos="4536"/>
        <w:tab w:val="right" w:pos="9072"/>
      </w:tabs>
    </w:pPr>
  </w:style>
  <w:style w:type="character" w:customStyle="1" w:styleId="En-tteCar">
    <w:name w:val="En-tête Car"/>
    <w:basedOn w:val="Policepardfaut"/>
    <w:link w:val="En-tte"/>
    <w:uiPriority w:val="99"/>
    <w:rsid w:val="00024B00"/>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024B00"/>
    <w:pPr>
      <w:tabs>
        <w:tab w:val="center" w:pos="4536"/>
        <w:tab w:val="right" w:pos="9072"/>
      </w:tabs>
    </w:pPr>
  </w:style>
  <w:style w:type="character" w:customStyle="1" w:styleId="PieddepageCar">
    <w:name w:val="Pied de page Car"/>
    <w:basedOn w:val="Policepardfaut"/>
    <w:link w:val="Pieddepage"/>
    <w:uiPriority w:val="99"/>
    <w:rsid w:val="00024B00"/>
    <w:rPr>
      <w:rFonts w:ascii="Times New Roman" w:eastAsia="Times New Roman" w:hAnsi="Times New Roman" w:cs="Times New Roman"/>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vestone.com/app/uploads/2016/11/operateur-importance-vitale-cybersecuri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g-idcfra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xpress.fr/actualite/monde/vague-internationale-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63F0-21E2-4163-AA2B-0FA7F61B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11008</Words>
  <Characters>60545</Characters>
  <Application>Microsoft Office Word</Application>
  <DocSecurity>0</DocSecurity>
  <Lines>504</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PEILLEX Jonathan</cp:lastModifiedBy>
  <cp:revision>2</cp:revision>
  <dcterms:created xsi:type="dcterms:W3CDTF">2020-12-29T16:21:00Z</dcterms:created>
  <dcterms:modified xsi:type="dcterms:W3CDTF">2020-12-29T16:36:00Z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2020-12-29T00:00:00Z</vt:filetime>
  </property>
</Properties>
</file>