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48A03" w14:textId="5E341902" w:rsidR="001823F8" w:rsidRPr="001823F8" w:rsidRDefault="00DB3745" w:rsidP="001D7B4F">
      <w:pPr>
        <w:spacing w:after="0" w:line="240" w:lineRule="auto"/>
        <w:jc w:val="center"/>
        <w:rPr>
          <w:rFonts w:ascii="Arial" w:eastAsia="Times New Roman" w:hAnsi="Arial" w:cs="Arial"/>
          <w:b/>
          <w:sz w:val="28"/>
          <w:szCs w:val="28"/>
          <w:lang w:eastAsia="en-IN"/>
        </w:rPr>
      </w:pPr>
      <w:r>
        <w:rPr>
          <w:rFonts w:ascii="Arial" w:eastAsia="Times New Roman" w:hAnsi="Arial" w:cs="Arial"/>
          <w:b/>
          <w:sz w:val="28"/>
          <w:szCs w:val="28"/>
          <w:lang w:eastAsia="en-IN"/>
        </w:rPr>
        <w:t xml:space="preserve">Analysing </w:t>
      </w:r>
      <w:r w:rsidR="00D80AC1">
        <w:rPr>
          <w:rFonts w:ascii="Arial" w:eastAsia="Times New Roman" w:hAnsi="Arial" w:cs="Arial"/>
          <w:b/>
          <w:sz w:val="28"/>
          <w:szCs w:val="28"/>
          <w:lang w:eastAsia="en-IN"/>
        </w:rPr>
        <w:t>Union Budget 2022-23</w:t>
      </w:r>
      <w:r w:rsidR="00C5566F">
        <w:rPr>
          <w:rFonts w:ascii="Arial" w:eastAsia="Times New Roman" w:hAnsi="Arial" w:cs="Arial"/>
          <w:b/>
          <w:sz w:val="28"/>
          <w:szCs w:val="28"/>
          <w:lang w:eastAsia="en-IN"/>
        </w:rPr>
        <w:t>:</w:t>
      </w:r>
    </w:p>
    <w:p w14:paraId="79FC52BD" w14:textId="7BAECAF3" w:rsidR="00256FE6" w:rsidRDefault="00DB3745" w:rsidP="001D7B4F">
      <w:pPr>
        <w:spacing w:after="0" w:line="240" w:lineRule="auto"/>
        <w:jc w:val="center"/>
        <w:rPr>
          <w:rFonts w:ascii="Arial" w:eastAsia="Times New Roman" w:hAnsi="Arial" w:cs="Arial"/>
          <w:b/>
          <w:sz w:val="28"/>
          <w:szCs w:val="28"/>
          <w:lang w:eastAsia="en-IN"/>
        </w:rPr>
      </w:pPr>
      <w:r>
        <w:rPr>
          <w:rFonts w:ascii="Arial" w:eastAsia="Times New Roman" w:hAnsi="Arial" w:cs="Arial"/>
          <w:b/>
          <w:sz w:val="28"/>
          <w:szCs w:val="28"/>
          <w:lang w:eastAsia="en-IN"/>
        </w:rPr>
        <w:t xml:space="preserve">Fiscal Policy and Global Uncertainties </w:t>
      </w:r>
    </w:p>
    <w:p w14:paraId="7BACD1DF" w14:textId="77777777" w:rsidR="00DB3745" w:rsidRDefault="00DB3745" w:rsidP="001D7B4F">
      <w:pPr>
        <w:spacing w:after="0" w:line="240" w:lineRule="auto"/>
        <w:jc w:val="center"/>
        <w:rPr>
          <w:rFonts w:ascii="Arial" w:eastAsia="Times New Roman" w:hAnsi="Arial" w:cs="Arial"/>
          <w:b/>
          <w:i/>
          <w:lang w:eastAsia="en-IN"/>
        </w:rPr>
      </w:pPr>
    </w:p>
    <w:p w14:paraId="2E1F3C4B" w14:textId="77777777" w:rsidR="0043535C" w:rsidRPr="00E9077C" w:rsidRDefault="00E9077C" w:rsidP="001D7B4F">
      <w:pPr>
        <w:spacing w:after="0" w:line="240" w:lineRule="auto"/>
        <w:jc w:val="center"/>
        <w:rPr>
          <w:rFonts w:ascii="Arial" w:eastAsia="Times New Roman" w:hAnsi="Arial" w:cs="Arial"/>
          <w:b/>
          <w:i/>
          <w:lang w:eastAsia="en-IN"/>
        </w:rPr>
      </w:pPr>
      <w:r w:rsidRPr="00E9077C">
        <w:rPr>
          <w:rFonts w:ascii="Arial" w:eastAsia="Times New Roman" w:hAnsi="Arial" w:cs="Arial"/>
          <w:b/>
          <w:i/>
          <w:lang w:eastAsia="en-IN"/>
        </w:rPr>
        <w:t>Lekha Chakraborty</w:t>
      </w:r>
    </w:p>
    <w:p w14:paraId="7F58DF2F" w14:textId="77777777" w:rsidR="00CF40ED" w:rsidRDefault="00CF40ED" w:rsidP="001D7B4F">
      <w:pPr>
        <w:spacing w:after="0" w:line="240" w:lineRule="auto"/>
        <w:jc w:val="center"/>
        <w:rPr>
          <w:rFonts w:ascii="Arial" w:eastAsia="Times New Roman" w:hAnsi="Arial" w:cs="Arial"/>
          <w:i/>
          <w:lang w:eastAsia="en-IN"/>
        </w:rPr>
      </w:pPr>
    </w:p>
    <w:p w14:paraId="425C08ED" w14:textId="77777777" w:rsidR="00DB3745" w:rsidRDefault="00DB3745" w:rsidP="001D7B4F">
      <w:pPr>
        <w:spacing w:after="0" w:line="240" w:lineRule="auto"/>
        <w:jc w:val="center"/>
        <w:rPr>
          <w:rFonts w:ascii="Arial" w:eastAsia="Times New Roman" w:hAnsi="Arial" w:cs="Arial"/>
          <w:i/>
          <w:lang w:eastAsia="en-IN"/>
        </w:rPr>
      </w:pPr>
    </w:p>
    <w:p w14:paraId="5FCF4F73" w14:textId="77777777" w:rsidR="00DB3745" w:rsidRDefault="00DB3745" w:rsidP="001D7B4F">
      <w:pPr>
        <w:spacing w:after="0" w:line="240" w:lineRule="auto"/>
        <w:jc w:val="center"/>
        <w:rPr>
          <w:rFonts w:ascii="Arial" w:eastAsia="Times New Roman" w:hAnsi="Arial" w:cs="Arial"/>
          <w:i/>
          <w:lang w:eastAsia="en-IN"/>
        </w:rPr>
      </w:pPr>
    </w:p>
    <w:p w14:paraId="2F27E970" w14:textId="77777777" w:rsidR="00DB3745" w:rsidRDefault="00DB3745" w:rsidP="001D7B4F">
      <w:pPr>
        <w:spacing w:after="0" w:line="240" w:lineRule="auto"/>
        <w:jc w:val="center"/>
        <w:rPr>
          <w:rFonts w:ascii="Arial" w:eastAsia="Times New Roman" w:hAnsi="Arial" w:cs="Arial"/>
          <w:i/>
          <w:lang w:eastAsia="en-IN"/>
        </w:rPr>
      </w:pPr>
    </w:p>
    <w:p w14:paraId="29332E6D" w14:textId="3D7ACF80" w:rsidR="00DB3745" w:rsidRDefault="00DB3745" w:rsidP="001D7B4F">
      <w:pPr>
        <w:spacing w:after="0" w:line="240" w:lineRule="auto"/>
        <w:jc w:val="center"/>
        <w:rPr>
          <w:rFonts w:ascii="Arial" w:eastAsia="Times New Roman" w:hAnsi="Arial" w:cs="Arial"/>
          <w:i/>
          <w:lang w:eastAsia="en-IN"/>
        </w:rPr>
      </w:pPr>
      <w:r>
        <w:rPr>
          <w:rFonts w:ascii="Arial" w:eastAsia="Times New Roman" w:hAnsi="Arial" w:cs="Arial"/>
          <w:i/>
          <w:lang w:eastAsia="en-IN"/>
        </w:rPr>
        <w:t xml:space="preserve">Abstract </w:t>
      </w:r>
    </w:p>
    <w:p w14:paraId="2B88E30A" w14:textId="77777777" w:rsidR="00DB3745" w:rsidRDefault="00DB3745" w:rsidP="001D7B4F">
      <w:pPr>
        <w:spacing w:after="0" w:line="240" w:lineRule="auto"/>
        <w:jc w:val="center"/>
        <w:rPr>
          <w:rFonts w:ascii="Arial" w:eastAsia="Times New Roman" w:hAnsi="Arial" w:cs="Arial"/>
          <w:i/>
          <w:lang w:eastAsia="en-IN"/>
        </w:rPr>
      </w:pPr>
    </w:p>
    <w:p w14:paraId="14DF304D" w14:textId="77777777" w:rsidR="00DB3745" w:rsidRPr="00B10D6B" w:rsidRDefault="00DB3745" w:rsidP="00DB3745">
      <w:pPr>
        <w:spacing w:after="0" w:line="360" w:lineRule="auto"/>
        <w:jc w:val="both"/>
        <w:rPr>
          <w:rFonts w:ascii="Cambria" w:eastAsia="Times New Roman" w:hAnsi="Cambria" w:cs="Times New Roman"/>
          <w:i/>
          <w:color w:val="222222"/>
          <w:lang w:eastAsia="en-IN"/>
        </w:rPr>
      </w:pPr>
      <w:r w:rsidRPr="00B10D6B">
        <w:rPr>
          <w:rFonts w:ascii="Cambria" w:eastAsia="Times New Roman" w:hAnsi="Cambria" w:cs="Times New Roman"/>
          <w:i/>
          <w:color w:val="222222"/>
          <w:lang w:eastAsia="en-IN"/>
        </w:rPr>
        <w:t xml:space="preserve">Against the backdrop of mounting geopolitical risks and inflationary pressures, if RBI will hike the policy rates, the growth recovery process may slow down. At the same time, keeping the policy rates status quo for prolonged period could catalyse the de-anchoring of inflationary expectations. The union budget 2022-23 has accommodated high fiscal deficits and has emphasised on “crowding-in” effects of public infrastructure investment.  The intensity of </w:t>
      </w:r>
      <w:r w:rsidRPr="00B10D6B">
        <w:rPr>
          <w:rFonts w:ascii="Cambria" w:eastAsia="Times New Roman" w:hAnsi="Cambria" w:cs="Times New Roman"/>
          <w:i/>
          <w:lang w:eastAsia="en-IN"/>
        </w:rPr>
        <w:t>global macroeconomic uncertainties on economic recovery in India can be lessened through sustainable fiscal and monetary policy co-ordination.</w:t>
      </w:r>
    </w:p>
    <w:p w14:paraId="2B772550" w14:textId="77777777" w:rsidR="00DB3745" w:rsidRDefault="00DB3745" w:rsidP="001D7B4F">
      <w:pPr>
        <w:spacing w:after="0" w:line="240" w:lineRule="auto"/>
        <w:jc w:val="center"/>
        <w:rPr>
          <w:rFonts w:ascii="Arial" w:eastAsia="Times New Roman" w:hAnsi="Arial" w:cs="Arial"/>
          <w:i/>
          <w:lang w:eastAsia="en-IN"/>
        </w:rPr>
      </w:pPr>
    </w:p>
    <w:p w14:paraId="4D2AE566" w14:textId="77777777" w:rsidR="00D84FAB" w:rsidRDefault="00D84FAB" w:rsidP="00752415">
      <w:pPr>
        <w:spacing w:after="0" w:line="240" w:lineRule="auto"/>
        <w:jc w:val="both"/>
        <w:rPr>
          <w:rFonts w:ascii="Times New Roman" w:eastAsia="Times New Roman" w:hAnsi="Times New Roman" w:cs="Times New Roman"/>
          <w:lang w:eastAsia="en-IN"/>
        </w:rPr>
      </w:pPr>
    </w:p>
    <w:p w14:paraId="37346B3E" w14:textId="77777777" w:rsidR="00DB3745" w:rsidRDefault="00DB3745" w:rsidP="00752415">
      <w:pPr>
        <w:spacing w:after="0" w:line="240" w:lineRule="auto"/>
        <w:jc w:val="both"/>
        <w:rPr>
          <w:rFonts w:ascii="Times New Roman" w:eastAsia="Times New Roman" w:hAnsi="Times New Roman" w:cs="Times New Roman"/>
          <w:lang w:eastAsia="en-IN"/>
        </w:rPr>
      </w:pPr>
    </w:p>
    <w:p w14:paraId="7102F20D" w14:textId="77777777" w:rsidR="00DB3745" w:rsidRDefault="00DB3745" w:rsidP="00752415">
      <w:pPr>
        <w:spacing w:after="0" w:line="240" w:lineRule="auto"/>
        <w:jc w:val="both"/>
        <w:rPr>
          <w:rFonts w:ascii="Times New Roman" w:eastAsia="Times New Roman" w:hAnsi="Times New Roman" w:cs="Times New Roman"/>
          <w:lang w:eastAsia="en-IN"/>
        </w:rPr>
      </w:pPr>
    </w:p>
    <w:p w14:paraId="190CD655" w14:textId="77777777" w:rsidR="00DB3745" w:rsidRDefault="00DB3745" w:rsidP="00752415">
      <w:pPr>
        <w:spacing w:after="0" w:line="240" w:lineRule="auto"/>
        <w:jc w:val="both"/>
        <w:rPr>
          <w:rFonts w:ascii="Times New Roman" w:eastAsia="Times New Roman" w:hAnsi="Times New Roman" w:cs="Times New Roman"/>
          <w:lang w:eastAsia="en-IN"/>
        </w:rPr>
      </w:pPr>
    </w:p>
    <w:p w14:paraId="1C874D3A" w14:textId="77777777" w:rsidR="00DB3745" w:rsidRDefault="00DB3745" w:rsidP="00752415">
      <w:pPr>
        <w:spacing w:after="0" w:line="240" w:lineRule="auto"/>
        <w:jc w:val="both"/>
        <w:rPr>
          <w:rFonts w:ascii="Times New Roman" w:eastAsia="Times New Roman" w:hAnsi="Times New Roman" w:cs="Times New Roman"/>
          <w:lang w:eastAsia="en-IN"/>
        </w:rPr>
      </w:pPr>
    </w:p>
    <w:p w14:paraId="0DAA7574" w14:textId="77777777" w:rsidR="00DB3745" w:rsidRDefault="00DB3745" w:rsidP="00752415">
      <w:pPr>
        <w:spacing w:after="0" w:line="240" w:lineRule="auto"/>
        <w:jc w:val="both"/>
        <w:rPr>
          <w:rFonts w:ascii="Times New Roman" w:eastAsia="Times New Roman" w:hAnsi="Times New Roman" w:cs="Times New Roman"/>
          <w:lang w:eastAsia="en-IN"/>
        </w:rPr>
      </w:pPr>
    </w:p>
    <w:p w14:paraId="5F688C46" w14:textId="77777777" w:rsidR="00DB3745" w:rsidRDefault="00DB3745" w:rsidP="00752415">
      <w:pPr>
        <w:spacing w:after="0" w:line="240" w:lineRule="auto"/>
        <w:jc w:val="both"/>
        <w:rPr>
          <w:rFonts w:ascii="Times New Roman" w:eastAsia="Times New Roman" w:hAnsi="Times New Roman" w:cs="Times New Roman"/>
          <w:lang w:eastAsia="en-IN"/>
        </w:rPr>
      </w:pPr>
    </w:p>
    <w:p w14:paraId="48DA4EEB" w14:textId="77777777" w:rsidR="00DB3745" w:rsidRDefault="00DB3745" w:rsidP="00752415">
      <w:pPr>
        <w:spacing w:after="0" w:line="240" w:lineRule="auto"/>
        <w:jc w:val="both"/>
        <w:rPr>
          <w:rFonts w:ascii="Times New Roman" w:eastAsia="Times New Roman" w:hAnsi="Times New Roman" w:cs="Times New Roman"/>
          <w:lang w:eastAsia="en-IN"/>
        </w:rPr>
      </w:pPr>
    </w:p>
    <w:p w14:paraId="7A126004" w14:textId="77777777" w:rsidR="00DB3745" w:rsidRDefault="00DB3745" w:rsidP="00752415">
      <w:pPr>
        <w:spacing w:after="0" w:line="240" w:lineRule="auto"/>
        <w:jc w:val="both"/>
        <w:rPr>
          <w:rFonts w:ascii="Times New Roman" w:eastAsia="Times New Roman" w:hAnsi="Times New Roman" w:cs="Times New Roman"/>
          <w:lang w:eastAsia="en-IN"/>
        </w:rPr>
      </w:pPr>
    </w:p>
    <w:p w14:paraId="2DFA60B5" w14:textId="77777777" w:rsidR="00DB3745" w:rsidRDefault="00DB3745" w:rsidP="00752415">
      <w:pPr>
        <w:spacing w:after="0" w:line="240" w:lineRule="auto"/>
        <w:jc w:val="both"/>
        <w:rPr>
          <w:rFonts w:ascii="Times New Roman" w:eastAsia="Times New Roman" w:hAnsi="Times New Roman" w:cs="Times New Roman"/>
          <w:lang w:eastAsia="en-IN"/>
        </w:rPr>
      </w:pPr>
    </w:p>
    <w:p w14:paraId="795CBEEA" w14:textId="77777777" w:rsidR="00DB3745" w:rsidRDefault="00DB3745" w:rsidP="00752415">
      <w:pPr>
        <w:spacing w:after="0" w:line="240" w:lineRule="auto"/>
        <w:jc w:val="both"/>
        <w:rPr>
          <w:rFonts w:ascii="Times New Roman" w:eastAsia="Times New Roman" w:hAnsi="Times New Roman" w:cs="Times New Roman"/>
          <w:lang w:eastAsia="en-IN"/>
        </w:rPr>
      </w:pPr>
    </w:p>
    <w:p w14:paraId="76151BED" w14:textId="77777777" w:rsidR="00DB3745" w:rsidRDefault="00DB3745" w:rsidP="00752415">
      <w:pPr>
        <w:spacing w:after="0" w:line="240" w:lineRule="auto"/>
        <w:jc w:val="both"/>
        <w:rPr>
          <w:rFonts w:ascii="Times New Roman" w:eastAsia="Times New Roman" w:hAnsi="Times New Roman" w:cs="Times New Roman"/>
          <w:lang w:eastAsia="en-IN"/>
        </w:rPr>
      </w:pPr>
    </w:p>
    <w:p w14:paraId="22DD5C4B" w14:textId="77777777" w:rsidR="00DB3745" w:rsidRDefault="00DB3745" w:rsidP="00752415">
      <w:pPr>
        <w:spacing w:after="0" w:line="240" w:lineRule="auto"/>
        <w:jc w:val="both"/>
        <w:rPr>
          <w:rFonts w:ascii="Times New Roman" w:eastAsia="Times New Roman" w:hAnsi="Times New Roman" w:cs="Times New Roman"/>
          <w:lang w:eastAsia="en-IN"/>
        </w:rPr>
      </w:pPr>
    </w:p>
    <w:p w14:paraId="212A7334" w14:textId="77777777" w:rsidR="00DB3745" w:rsidRDefault="00DB3745" w:rsidP="00752415">
      <w:pPr>
        <w:spacing w:after="0" w:line="240" w:lineRule="auto"/>
        <w:jc w:val="both"/>
        <w:rPr>
          <w:rFonts w:ascii="Times New Roman" w:eastAsia="Times New Roman" w:hAnsi="Times New Roman" w:cs="Times New Roman"/>
          <w:lang w:eastAsia="en-IN"/>
        </w:rPr>
      </w:pPr>
    </w:p>
    <w:p w14:paraId="74925014" w14:textId="77777777" w:rsidR="00DB3745" w:rsidRDefault="00DB3745" w:rsidP="00752415">
      <w:pPr>
        <w:spacing w:after="0" w:line="240" w:lineRule="auto"/>
        <w:jc w:val="both"/>
        <w:rPr>
          <w:rFonts w:ascii="Times New Roman" w:eastAsia="Times New Roman" w:hAnsi="Times New Roman" w:cs="Times New Roman"/>
          <w:lang w:eastAsia="en-IN"/>
        </w:rPr>
      </w:pPr>
    </w:p>
    <w:p w14:paraId="2C170654" w14:textId="77777777" w:rsidR="00DB3745" w:rsidRDefault="00DB3745" w:rsidP="00752415">
      <w:pPr>
        <w:spacing w:after="0" w:line="240" w:lineRule="auto"/>
        <w:jc w:val="both"/>
        <w:rPr>
          <w:rFonts w:ascii="Times New Roman" w:eastAsia="Times New Roman" w:hAnsi="Times New Roman" w:cs="Times New Roman"/>
          <w:lang w:eastAsia="en-IN"/>
        </w:rPr>
      </w:pPr>
    </w:p>
    <w:p w14:paraId="0A5A901F" w14:textId="77777777" w:rsidR="00DB3745" w:rsidRDefault="00DB3745" w:rsidP="00752415">
      <w:pPr>
        <w:spacing w:after="0" w:line="240" w:lineRule="auto"/>
        <w:jc w:val="both"/>
        <w:rPr>
          <w:rFonts w:ascii="Times New Roman" w:eastAsia="Times New Roman" w:hAnsi="Times New Roman" w:cs="Times New Roman"/>
          <w:lang w:eastAsia="en-IN"/>
        </w:rPr>
      </w:pPr>
    </w:p>
    <w:p w14:paraId="4F57B34D" w14:textId="77777777" w:rsidR="00DB3745" w:rsidRDefault="00DB3745" w:rsidP="00752415">
      <w:pPr>
        <w:spacing w:after="0" w:line="240" w:lineRule="auto"/>
        <w:jc w:val="both"/>
        <w:rPr>
          <w:rFonts w:ascii="Times New Roman" w:eastAsia="Times New Roman" w:hAnsi="Times New Roman" w:cs="Times New Roman"/>
          <w:lang w:eastAsia="en-IN"/>
        </w:rPr>
      </w:pPr>
    </w:p>
    <w:p w14:paraId="72867A18" w14:textId="77777777" w:rsidR="00DB3745" w:rsidRDefault="00DB3745" w:rsidP="00752415">
      <w:pPr>
        <w:spacing w:after="0" w:line="240" w:lineRule="auto"/>
        <w:jc w:val="both"/>
        <w:rPr>
          <w:rFonts w:ascii="Times New Roman" w:eastAsia="Times New Roman" w:hAnsi="Times New Roman" w:cs="Times New Roman"/>
          <w:lang w:eastAsia="en-IN"/>
        </w:rPr>
      </w:pPr>
    </w:p>
    <w:p w14:paraId="2C06E4DA" w14:textId="77777777" w:rsidR="00DB3745" w:rsidRDefault="00DB3745" w:rsidP="00752415">
      <w:pPr>
        <w:spacing w:after="0" w:line="240" w:lineRule="auto"/>
        <w:jc w:val="both"/>
        <w:rPr>
          <w:rFonts w:ascii="Times New Roman" w:eastAsia="Times New Roman" w:hAnsi="Times New Roman" w:cs="Times New Roman"/>
          <w:lang w:eastAsia="en-IN"/>
        </w:rPr>
      </w:pPr>
    </w:p>
    <w:p w14:paraId="1F865C09" w14:textId="77777777" w:rsidR="00DB3745" w:rsidRDefault="00DB3745" w:rsidP="00752415">
      <w:pPr>
        <w:spacing w:after="0" w:line="240" w:lineRule="auto"/>
        <w:jc w:val="both"/>
        <w:rPr>
          <w:rFonts w:ascii="Times New Roman" w:eastAsia="Times New Roman" w:hAnsi="Times New Roman" w:cs="Times New Roman"/>
          <w:lang w:eastAsia="en-IN"/>
        </w:rPr>
      </w:pPr>
    </w:p>
    <w:p w14:paraId="00857AC6" w14:textId="77777777" w:rsidR="00DB3745" w:rsidRDefault="00DB3745" w:rsidP="00752415">
      <w:pPr>
        <w:spacing w:after="0" w:line="240" w:lineRule="auto"/>
        <w:jc w:val="both"/>
        <w:rPr>
          <w:rFonts w:ascii="Times New Roman" w:eastAsia="Times New Roman" w:hAnsi="Times New Roman" w:cs="Times New Roman"/>
          <w:lang w:eastAsia="en-IN"/>
        </w:rPr>
      </w:pPr>
    </w:p>
    <w:p w14:paraId="1BC3A592" w14:textId="77777777" w:rsidR="00DB3745" w:rsidRDefault="00DB3745" w:rsidP="00752415">
      <w:pPr>
        <w:spacing w:after="0" w:line="240" w:lineRule="auto"/>
        <w:jc w:val="both"/>
        <w:rPr>
          <w:rFonts w:ascii="Times New Roman" w:eastAsia="Times New Roman" w:hAnsi="Times New Roman" w:cs="Times New Roman"/>
          <w:lang w:eastAsia="en-IN"/>
        </w:rPr>
      </w:pPr>
    </w:p>
    <w:p w14:paraId="3BB388E3" w14:textId="77777777" w:rsidR="00DB3745" w:rsidRDefault="00DB3745" w:rsidP="00752415">
      <w:pPr>
        <w:spacing w:after="0" w:line="240" w:lineRule="auto"/>
        <w:jc w:val="both"/>
        <w:rPr>
          <w:rFonts w:ascii="Times New Roman" w:eastAsia="Times New Roman" w:hAnsi="Times New Roman" w:cs="Times New Roman"/>
          <w:lang w:eastAsia="en-IN"/>
        </w:rPr>
      </w:pPr>
    </w:p>
    <w:p w14:paraId="7197504E" w14:textId="77777777" w:rsidR="00DB3745" w:rsidRDefault="00DB3745" w:rsidP="00752415">
      <w:pPr>
        <w:spacing w:after="0" w:line="240" w:lineRule="auto"/>
        <w:jc w:val="both"/>
        <w:rPr>
          <w:rFonts w:ascii="Times New Roman" w:eastAsia="Times New Roman" w:hAnsi="Times New Roman" w:cs="Times New Roman"/>
          <w:lang w:eastAsia="en-IN"/>
        </w:rPr>
      </w:pPr>
    </w:p>
    <w:p w14:paraId="54F0AEC8" w14:textId="77777777" w:rsidR="00DB3745" w:rsidRDefault="00DB3745" w:rsidP="00752415">
      <w:pPr>
        <w:spacing w:after="0" w:line="240" w:lineRule="auto"/>
        <w:jc w:val="both"/>
        <w:rPr>
          <w:rFonts w:ascii="Times New Roman" w:eastAsia="Times New Roman" w:hAnsi="Times New Roman" w:cs="Times New Roman"/>
          <w:lang w:eastAsia="en-IN"/>
        </w:rPr>
      </w:pPr>
    </w:p>
    <w:p w14:paraId="306DFE9B" w14:textId="77777777" w:rsidR="00DB3745" w:rsidRDefault="00DB3745" w:rsidP="00752415">
      <w:pPr>
        <w:spacing w:after="0" w:line="240" w:lineRule="auto"/>
        <w:jc w:val="both"/>
        <w:rPr>
          <w:rFonts w:ascii="Times New Roman" w:eastAsia="Times New Roman" w:hAnsi="Times New Roman" w:cs="Times New Roman"/>
          <w:lang w:eastAsia="en-IN"/>
        </w:rPr>
      </w:pPr>
    </w:p>
    <w:p w14:paraId="06CD52E2" w14:textId="77777777" w:rsidR="00DB3745" w:rsidRDefault="00DB3745" w:rsidP="00752415">
      <w:pPr>
        <w:spacing w:after="0" w:line="240" w:lineRule="auto"/>
        <w:jc w:val="both"/>
        <w:rPr>
          <w:rFonts w:ascii="Times New Roman" w:eastAsia="Times New Roman" w:hAnsi="Times New Roman" w:cs="Times New Roman"/>
          <w:lang w:eastAsia="en-IN"/>
        </w:rPr>
      </w:pPr>
    </w:p>
    <w:p w14:paraId="0DF16206" w14:textId="77777777" w:rsidR="00DB3745" w:rsidRDefault="00DB3745" w:rsidP="00752415">
      <w:pPr>
        <w:spacing w:after="0" w:line="240" w:lineRule="auto"/>
        <w:jc w:val="both"/>
        <w:rPr>
          <w:rFonts w:ascii="Times New Roman" w:eastAsia="Times New Roman" w:hAnsi="Times New Roman" w:cs="Times New Roman"/>
          <w:lang w:eastAsia="en-IN"/>
        </w:rPr>
      </w:pPr>
    </w:p>
    <w:p w14:paraId="004A4352" w14:textId="77777777" w:rsidR="00DB3745" w:rsidRDefault="00DB3745" w:rsidP="00752415">
      <w:pPr>
        <w:spacing w:after="0" w:line="240" w:lineRule="auto"/>
        <w:jc w:val="both"/>
        <w:rPr>
          <w:rFonts w:ascii="Times New Roman" w:eastAsia="Times New Roman" w:hAnsi="Times New Roman" w:cs="Times New Roman"/>
          <w:lang w:eastAsia="en-IN"/>
        </w:rPr>
      </w:pPr>
    </w:p>
    <w:p w14:paraId="3C054AAD" w14:textId="77777777" w:rsidR="00DB3745" w:rsidRDefault="00DB3745" w:rsidP="00752415">
      <w:pPr>
        <w:spacing w:after="0" w:line="240" w:lineRule="auto"/>
        <w:jc w:val="both"/>
        <w:rPr>
          <w:rFonts w:ascii="Times New Roman" w:eastAsia="Times New Roman" w:hAnsi="Times New Roman" w:cs="Times New Roman"/>
          <w:lang w:eastAsia="en-IN"/>
        </w:rPr>
      </w:pPr>
    </w:p>
    <w:p w14:paraId="320E96EE" w14:textId="77777777" w:rsidR="00DB3745" w:rsidRDefault="00DB3745" w:rsidP="00752415">
      <w:pPr>
        <w:spacing w:after="0" w:line="240" w:lineRule="auto"/>
        <w:jc w:val="both"/>
        <w:rPr>
          <w:rFonts w:ascii="Times New Roman" w:eastAsia="Times New Roman" w:hAnsi="Times New Roman" w:cs="Times New Roman"/>
          <w:lang w:eastAsia="en-IN"/>
        </w:rPr>
      </w:pPr>
    </w:p>
    <w:p w14:paraId="74C106A5" w14:textId="77777777" w:rsidR="00DB3745" w:rsidRPr="00B53E19" w:rsidRDefault="00DB3745" w:rsidP="00752415">
      <w:pPr>
        <w:spacing w:after="0" w:line="240" w:lineRule="auto"/>
        <w:jc w:val="both"/>
        <w:rPr>
          <w:rFonts w:ascii="Times New Roman" w:eastAsia="Times New Roman" w:hAnsi="Times New Roman" w:cs="Times New Roman"/>
          <w:lang w:eastAsia="en-IN"/>
        </w:rPr>
      </w:pPr>
    </w:p>
    <w:p w14:paraId="20E0F159" w14:textId="77777777" w:rsidR="00400346" w:rsidRPr="00B53E19" w:rsidRDefault="00400346" w:rsidP="00400346">
      <w:pPr>
        <w:spacing w:after="0" w:line="240" w:lineRule="auto"/>
        <w:rPr>
          <w:rFonts w:ascii="Times New Roman" w:eastAsia="Times New Roman" w:hAnsi="Times New Roman" w:cs="Times New Roman"/>
          <w:lang w:eastAsia="en-IN"/>
        </w:rPr>
      </w:pPr>
    </w:p>
    <w:p w14:paraId="514CC354" w14:textId="77777777" w:rsidR="00DB3745" w:rsidRDefault="00DB3745" w:rsidP="001429E8">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Introduction </w:t>
      </w:r>
    </w:p>
    <w:p w14:paraId="03E327BD" w14:textId="08EE40B1" w:rsidR="00FD0E5C" w:rsidRPr="001429E8" w:rsidRDefault="00852C8E" w:rsidP="001429E8">
      <w:pPr>
        <w:spacing w:after="0" w:line="360" w:lineRule="auto"/>
        <w:jc w:val="both"/>
        <w:rPr>
          <w:rFonts w:ascii="Times New Roman" w:eastAsia="Times New Roman" w:hAnsi="Times New Roman" w:cs="Times New Roman"/>
          <w:sz w:val="24"/>
          <w:szCs w:val="24"/>
          <w:lang w:eastAsia="en-IN"/>
        </w:rPr>
      </w:pPr>
      <w:r w:rsidRPr="001429E8">
        <w:rPr>
          <w:rFonts w:ascii="Times New Roman" w:eastAsia="Times New Roman" w:hAnsi="Times New Roman" w:cs="Times New Roman"/>
          <w:sz w:val="24"/>
          <w:szCs w:val="24"/>
          <w:lang w:eastAsia="en-IN"/>
        </w:rPr>
        <w:t>The</w:t>
      </w:r>
      <w:r w:rsidR="005B2D3C" w:rsidRPr="001429E8">
        <w:rPr>
          <w:rFonts w:ascii="Times New Roman" w:eastAsia="Times New Roman" w:hAnsi="Times New Roman" w:cs="Times New Roman"/>
          <w:sz w:val="24"/>
          <w:szCs w:val="24"/>
          <w:lang w:eastAsia="en-IN"/>
        </w:rPr>
        <w:t xml:space="preserve"> Union Budget 2022 </w:t>
      </w:r>
      <w:r w:rsidRPr="001429E8">
        <w:rPr>
          <w:rFonts w:ascii="Times New Roman" w:eastAsia="Times New Roman" w:hAnsi="Times New Roman" w:cs="Times New Roman"/>
          <w:sz w:val="24"/>
          <w:szCs w:val="24"/>
          <w:lang w:eastAsia="en-IN"/>
        </w:rPr>
        <w:t xml:space="preserve">was presented in the Parliament prior to the </w:t>
      </w:r>
      <w:r w:rsidR="005B2D3C" w:rsidRPr="001429E8">
        <w:rPr>
          <w:rFonts w:ascii="Times New Roman" w:eastAsia="Times New Roman" w:hAnsi="Times New Roman" w:cs="Times New Roman"/>
          <w:sz w:val="24"/>
          <w:szCs w:val="24"/>
          <w:lang w:eastAsia="en-IN"/>
        </w:rPr>
        <w:t>mounting geopolitical risks of war in Ukraine</w:t>
      </w:r>
      <w:r w:rsidRPr="001429E8">
        <w:rPr>
          <w:rFonts w:ascii="Times New Roman" w:eastAsia="Times New Roman" w:hAnsi="Times New Roman" w:cs="Times New Roman"/>
          <w:sz w:val="24"/>
          <w:szCs w:val="24"/>
          <w:lang w:eastAsia="en-IN"/>
        </w:rPr>
        <w:t>. How these global macroeconomic uncertainties impact the fis</w:t>
      </w:r>
      <w:r w:rsidR="006B54A7" w:rsidRPr="001429E8">
        <w:rPr>
          <w:rFonts w:ascii="Times New Roman" w:eastAsia="Times New Roman" w:hAnsi="Times New Roman" w:cs="Times New Roman"/>
          <w:sz w:val="24"/>
          <w:szCs w:val="24"/>
          <w:lang w:eastAsia="en-IN"/>
        </w:rPr>
        <w:t xml:space="preserve">cal arithmetic in India depend </w:t>
      </w:r>
      <w:r w:rsidRPr="001429E8">
        <w:rPr>
          <w:rFonts w:ascii="Times New Roman" w:eastAsia="Times New Roman" w:hAnsi="Times New Roman" w:cs="Times New Roman"/>
          <w:sz w:val="24"/>
          <w:szCs w:val="24"/>
          <w:lang w:eastAsia="en-IN"/>
        </w:rPr>
        <w:t xml:space="preserve">on the fiscal-monetary </w:t>
      </w:r>
      <w:r w:rsidR="006B54A7" w:rsidRPr="001429E8">
        <w:rPr>
          <w:rFonts w:ascii="Times New Roman" w:eastAsia="Times New Roman" w:hAnsi="Times New Roman" w:cs="Times New Roman"/>
          <w:sz w:val="24"/>
          <w:szCs w:val="24"/>
          <w:lang w:eastAsia="en-IN"/>
        </w:rPr>
        <w:t xml:space="preserve">policy </w:t>
      </w:r>
      <w:r w:rsidRPr="001429E8">
        <w:rPr>
          <w:rFonts w:ascii="Times New Roman" w:eastAsia="Times New Roman" w:hAnsi="Times New Roman" w:cs="Times New Roman"/>
          <w:sz w:val="24"/>
          <w:szCs w:val="24"/>
          <w:lang w:eastAsia="en-IN"/>
        </w:rPr>
        <w:t xml:space="preserve">interface </w:t>
      </w:r>
      <w:r w:rsidR="006B54A7" w:rsidRPr="001429E8">
        <w:rPr>
          <w:rFonts w:ascii="Times New Roman" w:eastAsia="Times New Roman" w:hAnsi="Times New Roman" w:cs="Times New Roman"/>
          <w:sz w:val="24"/>
          <w:szCs w:val="24"/>
          <w:lang w:eastAsia="en-IN"/>
        </w:rPr>
        <w:t xml:space="preserve">to respond to the crisis. </w:t>
      </w:r>
      <w:r w:rsidR="005B2D3C" w:rsidRPr="001429E8">
        <w:rPr>
          <w:rFonts w:ascii="Times New Roman" w:eastAsia="Times New Roman" w:hAnsi="Times New Roman" w:cs="Times New Roman"/>
          <w:sz w:val="24"/>
          <w:szCs w:val="24"/>
          <w:lang w:eastAsia="en-IN"/>
        </w:rPr>
        <w:t xml:space="preserve">The recent Omicron wave  is also a reminder that </w:t>
      </w:r>
      <w:r w:rsidR="0088472B" w:rsidRPr="001429E8">
        <w:rPr>
          <w:rFonts w:ascii="Times New Roman" w:eastAsia="Times New Roman" w:hAnsi="Times New Roman" w:cs="Times New Roman"/>
          <w:sz w:val="24"/>
          <w:szCs w:val="24"/>
          <w:lang w:eastAsia="en-IN"/>
        </w:rPr>
        <w:t>ever-mut</w:t>
      </w:r>
      <w:r w:rsidR="005357DA" w:rsidRPr="001429E8">
        <w:rPr>
          <w:rFonts w:ascii="Times New Roman" w:eastAsia="Times New Roman" w:hAnsi="Times New Roman" w:cs="Times New Roman"/>
          <w:sz w:val="24"/>
          <w:szCs w:val="24"/>
          <w:lang w:eastAsia="en-IN"/>
        </w:rPr>
        <w:t>a</w:t>
      </w:r>
      <w:r w:rsidR="0088472B" w:rsidRPr="001429E8">
        <w:rPr>
          <w:rFonts w:ascii="Times New Roman" w:eastAsia="Times New Roman" w:hAnsi="Times New Roman" w:cs="Times New Roman"/>
          <w:sz w:val="24"/>
          <w:szCs w:val="24"/>
          <w:lang w:eastAsia="en-IN"/>
        </w:rPr>
        <w:t xml:space="preserve">ting coronavirus would continue as a determinant of macroeconomic uncertainties. </w:t>
      </w:r>
      <w:r w:rsidR="00D3572F" w:rsidRPr="001429E8">
        <w:rPr>
          <w:rFonts w:ascii="Times New Roman" w:eastAsia="Times New Roman" w:hAnsi="Times New Roman" w:cs="Times New Roman"/>
          <w:sz w:val="24"/>
          <w:szCs w:val="24"/>
          <w:lang w:eastAsia="en-IN"/>
        </w:rPr>
        <w:t xml:space="preserve">Globally, several central banks have begun monetary policy normalisation, by reducing their balance sheets by ending asset purchases and also </w:t>
      </w:r>
      <w:r w:rsidR="00AB6565" w:rsidRPr="001429E8">
        <w:rPr>
          <w:rFonts w:ascii="Times New Roman" w:eastAsia="Times New Roman" w:hAnsi="Times New Roman" w:cs="Times New Roman"/>
          <w:sz w:val="24"/>
          <w:szCs w:val="24"/>
          <w:lang w:eastAsia="en-IN"/>
        </w:rPr>
        <w:t xml:space="preserve">through </w:t>
      </w:r>
      <w:r w:rsidR="00D3572F" w:rsidRPr="001429E8">
        <w:rPr>
          <w:rFonts w:ascii="Times New Roman" w:eastAsia="Times New Roman" w:hAnsi="Times New Roman" w:cs="Times New Roman"/>
          <w:sz w:val="24"/>
          <w:szCs w:val="24"/>
          <w:lang w:eastAsia="en-IN"/>
        </w:rPr>
        <w:t xml:space="preserve">an </w:t>
      </w:r>
      <w:r w:rsidR="00F968A0">
        <w:rPr>
          <w:rFonts w:ascii="Times New Roman" w:eastAsia="Times New Roman" w:hAnsi="Times New Roman" w:cs="Times New Roman"/>
          <w:sz w:val="24"/>
          <w:szCs w:val="24"/>
          <w:lang w:eastAsia="en-IN"/>
        </w:rPr>
        <w:t>“</w:t>
      </w:r>
      <w:r w:rsidR="00D3572F" w:rsidRPr="001429E8">
        <w:rPr>
          <w:rFonts w:ascii="Times New Roman" w:eastAsia="Times New Roman" w:hAnsi="Times New Roman" w:cs="Times New Roman"/>
          <w:sz w:val="24"/>
          <w:szCs w:val="24"/>
          <w:lang w:eastAsia="en-IN"/>
        </w:rPr>
        <w:t>earlier than expected</w:t>
      </w:r>
      <w:r w:rsidR="00F968A0">
        <w:rPr>
          <w:rFonts w:ascii="Times New Roman" w:eastAsia="Times New Roman" w:hAnsi="Times New Roman" w:cs="Times New Roman"/>
          <w:sz w:val="24"/>
          <w:szCs w:val="24"/>
          <w:lang w:eastAsia="en-IN"/>
        </w:rPr>
        <w:t>”</w:t>
      </w:r>
      <w:r w:rsidR="00D3572F" w:rsidRPr="001429E8">
        <w:rPr>
          <w:rFonts w:ascii="Times New Roman" w:eastAsia="Times New Roman" w:hAnsi="Times New Roman" w:cs="Times New Roman"/>
          <w:sz w:val="24"/>
          <w:szCs w:val="24"/>
          <w:lang w:eastAsia="en-IN"/>
        </w:rPr>
        <w:t xml:space="preserve"> hikes in policy rates</w:t>
      </w:r>
      <w:r w:rsidR="003411FA" w:rsidRPr="001429E8">
        <w:rPr>
          <w:rFonts w:ascii="Times New Roman" w:eastAsia="Times New Roman" w:hAnsi="Times New Roman" w:cs="Times New Roman"/>
          <w:sz w:val="24"/>
          <w:szCs w:val="24"/>
          <w:lang w:eastAsia="en-IN"/>
        </w:rPr>
        <w:t xml:space="preserve"> (Roubini,2022)</w:t>
      </w:r>
      <w:r w:rsidR="00D3572F" w:rsidRPr="001429E8">
        <w:rPr>
          <w:rFonts w:ascii="Times New Roman" w:eastAsia="Times New Roman" w:hAnsi="Times New Roman" w:cs="Times New Roman"/>
          <w:sz w:val="24"/>
          <w:szCs w:val="24"/>
          <w:lang w:eastAsia="en-IN"/>
        </w:rPr>
        <w:t xml:space="preserve">. The financial markets </w:t>
      </w:r>
      <w:r w:rsidR="00722564" w:rsidRPr="001429E8">
        <w:rPr>
          <w:rFonts w:ascii="Times New Roman" w:eastAsia="Times New Roman" w:hAnsi="Times New Roman" w:cs="Times New Roman"/>
          <w:sz w:val="24"/>
          <w:szCs w:val="24"/>
          <w:lang w:eastAsia="en-IN"/>
        </w:rPr>
        <w:t xml:space="preserve">in emerging economies </w:t>
      </w:r>
      <w:r w:rsidR="00D3572F" w:rsidRPr="001429E8">
        <w:rPr>
          <w:rFonts w:ascii="Times New Roman" w:eastAsia="Times New Roman" w:hAnsi="Times New Roman" w:cs="Times New Roman"/>
          <w:sz w:val="24"/>
          <w:szCs w:val="24"/>
          <w:lang w:eastAsia="en-IN"/>
        </w:rPr>
        <w:t>have t</w:t>
      </w:r>
      <w:r w:rsidR="00AB6565" w:rsidRPr="001429E8">
        <w:rPr>
          <w:rFonts w:ascii="Times New Roman" w:eastAsia="Times New Roman" w:hAnsi="Times New Roman" w:cs="Times New Roman"/>
          <w:sz w:val="24"/>
          <w:szCs w:val="24"/>
          <w:lang w:eastAsia="en-IN"/>
        </w:rPr>
        <w:t>urned volatile</w:t>
      </w:r>
      <w:r w:rsidR="00722564" w:rsidRPr="001429E8">
        <w:rPr>
          <w:rFonts w:ascii="Times New Roman" w:eastAsia="Times New Roman" w:hAnsi="Times New Roman" w:cs="Times New Roman"/>
          <w:sz w:val="24"/>
          <w:szCs w:val="24"/>
          <w:lang w:eastAsia="en-IN"/>
        </w:rPr>
        <w:t xml:space="preserve"> indicating strong capital flight</w:t>
      </w:r>
      <w:r w:rsidR="00AB6565" w:rsidRPr="001429E8">
        <w:rPr>
          <w:rFonts w:ascii="Times New Roman" w:eastAsia="Times New Roman" w:hAnsi="Times New Roman" w:cs="Times New Roman"/>
          <w:sz w:val="24"/>
          <w:szCs w:val="24"/>
          <w:lang w:eastAsia="en-IN"/>
        </w:rPr>
        <w:t>, w</w:t>
      </w:r>
      <w:r w:rsidR="00D3572F" w:rsidRPr="001429E8">
        <w:rPr>
          <w:rFonts w:ascii="Times New Roman" w:eastAsia="Times New Roman" w:hAnsi="Times New Roman" w:cs="Times New Roman"/>
          <w:sz w:val="24"/>
          <w:szCs w:val="24"/>
          <w:lang w:eastAsia="en-IN"/>
        </w:rPr>
        <w:t>ith mounting uncertainty on the potential r</w:t>
      </w:r>
      <w:r w:rsidR="00AB6565" w:rsidRPr="001429E8">
        <w:rPr>
          <w:rFonts w:ascii="Times New Roman" w:eastAsia="Times New Roman" w:hAnsi="Times New Roman" w:cs="Times New Roman"/>
          <w:sz w:val="24"/>
          <w:szCs w:val="24"/>
          <w:lang w:eastAsia="en-IN"/>
        </w:rPr>
        <w:t xml:space="preserve">ate hikes by US Federal Reserve. </w:t>
      </w:r>
    </w:p>
    <w:p w14:paraId="18038E67" w14:textId="77777777" w:rsidR="008B5C31" w:rsidRPr="001429E8" w:rsidRDefault="008B5C31" w:rsidP="001429E8">
      <w:pPr>
        <w:spacing w:after="0" w:line="360" w:lineRule="auto"/>
        <w:jc w:val="both"/>
        <w:rPr>
          <w:rFonts w:ascii="Times New Roman" w:eastAsia="Times New Roman" w:hAnsi="Times New Roman" w:cs="Times New Roman"/>
          <w:sz w:val="24"/>
          <w:szCs w:val="24"/>
          <w:lang w:eastAsia="en-IN"/>
        </w:rPr>
      </w:pPr>
    </w:p>
    <w:p w14:paraId="2FCE4533" w14:textId="49FF9010" w:rsidR="00024BC4" w:rsidRPr="001429E8" w:rsidRDefault="008B5C31" w:rsidP="001429E8">
      <w:pPr>
        <w:spacing w:after="0" w:line="360" w:lineRule="auto"/>
        <w:jc w:val="both"/>
        <w:rPr>
          <w:rFonts w:ascii="Times New Roman" w:eastAsia="Times New Roman" w:hAnsi="Times New Roman" w:cs="Times New Roman"/>
          <w:sz w:val="24"/>
          <w:szCs w:val="24"/>
          <w:lang w:eastAsia="en-IN"/>
        </w:rPr>
      </w:pPr>
      <w:r w:rsidRPr="001429E8">
        <w:rPr>
          <w:rFonts w:ascii="Times New Roman" w:eastAsia="Times New Roman" w:hAnsi="Times New Roman" w:cs="Times New Roman"/>
          <w:sz w:val="24"/>
          <w:szCs w:val="24"/>
          <w:lang w:eastAsia="en-IN"/>
        </w:rPr>
        <w:t xml:space="preserve">The </w:t>
      </w:r>
      <w:r w:rsidR="003376AD" w:rsidRPr="001429E8">
        <w:rPr>
          <w:rFonts w:ascii="Times New Roman" w:eastAsia="Times New Roman" w:hAnsi="Times New Roman" w:cs="Times New Roman"/>
          <w:sz w:val="24"/>
          <w:szCs w:val="24"/>
          <w:lang w:eastAsia="en-IN"/>
        </w:rPr>
        <w:t>Reserve Bank of India (RBI)</w:t>
      </w:r>
      <w:r w:rsidRPr="001429E8">
        <w:rPr>
          <w:rFonts w:ascii="Times New Roman" w:eastAsia="Times New Roman" w:hAnsi="Times New Roman" w:cs="Times New Roman"/>
          <w:sz w:val="24"/>
          <w:szCs w:val="24"/>
          <w:lang w:eastAsia="en-IN"/>
        </w:rPr>
        <w:t xml:space="preserve"> </w:t>
      </w:r>
      <w:r w:rsidR="00722564" w:rsidRPr="001429E8">
        <w:rPr>
          <w:rFonts w:ascii="Times New Roman" w:eastAsia="Times New Roman" w:hAnsi="Times New Roman" w:cs="Times New Roman"/>
          <w:sz w:val="24"/>
          <w:szCs w:val="24"/>
          <w:lang w:eastAsia="en-IN"/>
        </w:rPr>
        <w:t xml:space="preserve">in the Monetary Policy Committee (MPC) deliberations during February 8-10, 2022 </w:t>
      </w:r>
      <w:r w:rsidR="003376AD" w:rsidRPr="001429E8">
        <w:rPr>
          <w:rFonts w:ascii="Times New Roman" w:eastAsia="Times New Roman" w:hAnsi="Times New Roman" w:cs="Times New Roman"/>
          <w:sz w:val="24"/>
          <w:szCs w:val="24"/>
          <w:lang w:eastAsia="en-IN"/>
        </w:rPr>
        <w:t xml:space="preserve">has </w:t>
      </w:r>
      <w:r w:rsidRPr="001429E8">
        <w:rPr>
          <w:rFonts w:ascii="Times New Roman" w:eastAsia="Times New Roman" w:hAnsi="Times New Roman" w:cs="Times New Roman"/>
          <w:sz w:val="24"/>
          <w:szCs w:val="24"/>
          <w:lang w:eastAsia="en-IN"/>
        </w:rPr>
        <w:t>delay</w:t>
      </w:r>
      <w:r w:rsidR="003376AD" w:rsidRPr="001429E8">
        <w:rPr>
          <w:rFonts w:ascii="Times New Roman" w:eastAsia="Times New Roman" w:hAnsi="Times New Roman" w:cs="Times New Roman"/>
          <w:sz w:val="24"/>
          <w:szCs w:val="24"/>
          <w:lang w:eastAsia="en-IN"/>
        </w:rPr>
        <w:t>ed</w:t>
      </w:r>
      <w:r w:rsidRPr="001429E8">
        <w:rPr>
          <w:rFonts w:ascii="Times New Roman" w:eastAsia="Times New Roman" w:hAnsi="Times New Roman" w:cs="Times New Roman"/>
          <w:sz w:val="24"/>
          <w:szCs w:val="24"/>
          <w:lang w:eastAsia="en-IN"/>
        </w:rPr>
        <w:t xml:space="preserve"> normalisation procedure by maintaining a status quo </w:t>
      </w:r>
      <w:r w:rsidR="005F3174" w:rsidRPr="001429E8">
        <w:rPr>
          <w:rFonts w:ascii="Times New Roman" w:eastAsia="Times New Roman" w:hAnsi="Times New Roman" w:cs="Times New Roman"/>
          <w:sz w:val="24"/>
          <w:szCs w:val="24"/>
          <w:lang w:eastAsia="en-IN"/>
        </w:rPr>
        <w:t xml:space="preserve">policy </w:t>
      </w:r>
      <w:r w:rsidRPr="001429E8">
        <w:rPr>
          <w:rFonts w:ascii="Times New Roman" w:eastAsia="Times New Roman" w:hAnsi="Times New Roman" w:cs="Times New Roman"/>
          <w:sz w:val="24"/>
          <w:szCs w:val="24"/>
          <w:lang w:eastAsia="en-IN"/>
        </w:rPr>
        <w:t xml:space="preserve">rate </w:t>
      </w:r>
      <w:r w:rsidR="005F3174" w:rsidRPr="001429E8">
        <w:rPr>
          <w:rFonts w:ascii="Times New Roman" w:eastAsia="Times New Roman" w:hAnsi="Times New Roman" w:cs="Times New Roman"/>
          <w:sz w:val="24"/>
          <w:szCs w:val="24"/>
          <w:lang w:eastAsia="en-IN"/>
        </w:rPr>
        <w:t xml:space="preserve">at 4 per cent </w:t>
      </w:r>
      <w:r w:rsidR="003376AD" w:rsidRPr="001429E8">
        <w:rPr>
          <w:rFonts w:ascii="Times New Roman" w:eastAsia="Times New Roman" w:hAnsi="Times New Roman" w:cs="Times New Roman"/>
          <w:sz w:val="24"/>
          <w:szCs w:val="24"/>
          <w:lang w:eastAsia="en-IN"/>
        </w:rPr>
        <w:t>as</w:t>
      </w:r>
      <w:r w:rsidRPr="001429E8">
        <w:rPr>
          <w:rFonts w:ascii="Times New Roman" w:eastAsia="Times New Roman" w:hAnsi="Times New Roman" w:cs="Times New Roman"/>
          <w:sz w:val="24"/>
          <w:szCs w:val="24"/>
          <w:lang w:eastAsia="en-IN"/>
        </w:rPr>
        <w:t xml:space="preserve"> they focus on growth recovery first</w:t>
      </w:r>
      <w:r w:rsidR="008147B3" w:rsidRPr="001429E8">
        <w:rPr>
          <w:rFonts w:ascii="Times New Roman" w:eastAsia="Times New Roman" w:hAnsi="Times New Roman" w:cs="Times New Roman"/>
          <w:sz w:val="24"/>
          <w:szCs w:val="24"/>
          <w:lang w:eastAsia="en-IN"/>
        </w:rPr>
        <w:t xml:space="preserve"> (RBI, 2022)</w:t>
      </w:r>
      <w:r w:rsidRPr="001429E8">
        <w:rPr>
          <w:rFonts w:ascii="Times New Roman" w:eastAsia="Times New Roman" w:hAnsi="Times New Roman" w:cs="Times New Roman"/>
          <w:sz w:val="24"/>
          <w:szCs w:val="24"/>
          <w:lang w:eastAsia="en-IN"/>
        </w:rPr>
        <w:t xml:space="preserve">. </w:t>
      </w:r>
      <w:r w:rsidR="005F3174" w:rsidRPr="001429E8">
        <w:rPr>
          <w:rFonts w:ascii="Times New Roman" w:eastAsia="Times New Roman" w:hAnsi="Times New Roman" w:cs="Times New Roman"/>
          <w:sz w:val="24"/>
          <w:szCs w:val="24"/>
          <w:lang w:eastAsia="en-IN"/>
        </w:rPr>
        <w:t>However, when inflation is  rising, a slower policy tightening by the central bank could accelerate the de-anchoring of inflation expectations, further exacerbating stagflation (</w:t>
      </w:r>
      <w:proofErr w:type="spellStart"/>
      <w:r w:rsidR="005F3174" w:rsidRPr="001429E8">
        <w:rPr>
          <w:rFonts w:ascii="Times New Roman" w:eastAsia="Times New Roman" w:hAnsi="Times New Roman" w:cs="Times New Roman"/>
          <w:sz w:val="24"/>
          <w:szCs w:val="24"/>
          <w:lang w:eastAsia="en-IN"/>
        </w:rPr>
        <w:t>Roubini</w:t>
      </w:r>
      <w:proofErr w:type="spellEnd"/>
      <w:r w:rsidR="005F3174" w:rsidRPr="001429E8">
        <w:rPr>
          <w:rFonts w:ascii="Times New Roman" w:eastAsia="Times New Roman" w:hAnsi="Times New Roman" w:cs="Times New Roman"/>
          <w:sz w:val="24"/>
          <w:szCs w:val="24"/>
          <w:lang w:eastAsia="en-IN"/>
        </w:rPr>
        <w:t xml:space="preserve">, 2022; Chakraborty, 2021). Given the mounting pressures of </w:t>
      </w:r>
      <w:r w:rsidR="00DE374E" w:rsidRPr="001429E8">
        <w:rPr>
          <w:rFonts w:ascii="Times New Roman" w:eastAsia="Times New Roman" w:hAnsi="Times New Roman" w:cs="Times New Roman"/>
          <w:sz w:val="24"/>
          <w:szCs w:val="24"/>
          <w:lang w:eastAsia="en-IN"/>
        </w:rPr>
        <w:t>inflation</w:t>
      </w:r>
      <w:r w:rsidR="005F3174" w:rsidRPr="001429E8">
        <w:rPr>
          <w:rFonts w:ascii="Times New Roman" w:eastAsia="Times New Roman" w:hAnsi="Times New Roman" w:cs="Times New Roman"/>
          <w:sz w:val="24"/>
          <w:szCs w:val="24"/>
          <w:lang w:eastAsia="en-IN"/>
        </w:rPr>
        <w:t>, i</w:t>
      </w:r>
      <w:r w:rsidR="00F01090" w:rsidRPr="001429E8">
        <w:rPr>
          <w:rFonts w:ascii="Times New Roman" w:eastAsia="Times New Roman" w:hAnsi="Times New Roman" w:cs="Times New Roman"/>
          <w:sz w:val="24"/>
          <w:szCs w:val="24"/>
          <w:lang w:eastAsia="en-IN"/>
        </w:rPr>
        <w:t>f</w:t>
      </w:r>
      <w:r w:rsidRPr="001429E8">
        <w:rPr>
          <w:rFonts w:ascii="Times New Roman" w:eastAsia="Times New Roman" w:hAnsi="Times New Roman" w:cs="Times New Roman"/>
          <w:sz w:val="24"/>
          <w:szCs w:val="24"/>
          <w:lang w:eastAsia="en-IN"/>
        </w:rPr>
        <w:t xml:space="preserve"> central banks </w:t>
      </w:r>
      <w:r w:rsidR="0036733A" w:rsidRPr="001429E8">
        <w:rPr>
          <w:rFonts w:ascii="Times New Roman" w:eastAsia="Times New Roman" w:hAnsi="Times New Roman" w:cs="Times New Roman"/>
          <w:sz w:val="24"/>
          <w:szCs w:val="24"/>
          <w:lang w:eastAsia="en-IN"/>
        </w:rPr>
        <w:t>“</w:t>
      </w:r>
      <w:r w:rsidRPr="001429E8">
        <w:rPr>
          <w:rFonts w:ascii="Times New Roman" w:eastAsia="Times New Roman" w:hAnsi="Times New Roman" w:cs="Times New Roman"/>
          <w:sz w:val="24"/>
          <w:szCs w:val="24"/>
          <w:lang w:eastAsia="en-IN"/>
        </w:rPr>
        <w:t>bite</w:t>
      </w:r>
      <w:r w:rsidR="005F3174" w:rsidRPr="001429E8">
        <w:rPr>
          <w:rFonts w:ascii="Times New Roman" w:eastAsia="Times New Roman" w:hAnsi="Times New Roman" w:cs="Times New Roman"/>
          <w:sz w:val="24"/>
          <w:szCs w:val="24"/>
          <w:lang w:eastAsia="en-IN"/>
        </w:rPr>
        <w:t xml:space="preserve"> the bullet and </w:t>
      </w:r>
      <w:r w:rsidRPr="001429E8">
        <w:rPr>
          <w:rFonts w:ascii="Times New Roman" w:eastAsia="Times New Roman" w:hAnsi="Times New Roman" w:cs="Times New Roman"/>
          <w:sz w:val="24"/>
          <w:szCs w:val="24"/>
          <w:lang w:eastAsia="en-IN"/>
        </w:rPr>
        <w:t xml:space="preserve">become </w:t>
      </w:r>
      <w:r w:rsidR="005F3174" w:rsidRPr="001429E8">
        <w:rPr>
          <w:rFonts w:ascii="Times New Roman" w:eastAsia="Times New Roman" w:hAnsi="Times New Roman" w:cs="Times New Roman"/>
          <w:sz w:val="24"/>
          <w:szCs w:val="24"/>
          <w:lang w:eastAsia="en-IN"/>
        </w:rPr>
        <w:t>hawkish</w:t>
      </w:r>
      <w:r w:rsidR="0036733A" w:rsidRPr="001429E8">
        <w:rPr>
          <w:rFonts w:ascii="Times New Roman" w:eastAsia="Times New Roman" w:hAnsi="Times New Roman" w:cs="Times New Roman"/>
          <w:sz w:val="24"/>
          <w:szCs w:val="24"/>
          <w:lang w:eastAsia="en-IN"/>
        </w:rPr>
        <w:t>”</w:t>
      </w:r>
      <w:r w:rsidR="00DE374E" w:rsidRPr="001429E8">
        <w:rPr>
          <w:rFonts w:ascii="Times New Roman" w:eastAsia="Times New Roman" w:hAnsi="Times New Roman" w:cs="Times New Roman"/>
          <w:sz w:val="24"/>
          <w:szCs w:val="24"/>
          <w:lang w:eastAsia="en-IN"/>
        </w:rPr>
        <w:t xml:space="preserve"> by hiking rates</w:t>
      </w:r>
      <w:r w:rsidRPr="001429E8">
        <w:rPr>
          <w:rFonts w:ascii="Times New Roman" w:eastAsia="Times New Roman" w:hAnsi="Times New Roman" w:cs="Times New Roman"/>
          <w:sz w:val="24"/>
          <w:szCs w:val="24"/>
          <w:lang w:eastAsia="en-IN"/>
        </w:rPr>
        <w:t xml:space="preserve">, </w:t>
      </w:r>
      <w:r w:rsidR="00BF2E0F" w:rsidRPr="001429E8">
        <w:rPr>
          <w:rFonts w:ascii="Times New Roman" w:eastAsia="Times New Roman" w:hAnsi="Times New Roman" w:cs="Times New Roman"/>
          <w:sz w:val="24"/>
          <w:szCs w:val="24"/>
          <w:lang w:eastAsia="en-IN"/>
        </w:rPr>
        <w:t xml:space="preserve">the growth recovery process will be severely dampened. </w:t>
      </w:r>
      <w:r w:rsidR="00FD0E5C" w:rsidRPr="001429E8">
        <w:rPr>
          <w:rFonts w:ascii="Times New Roman" w:eastAsia="Times New Roman" w:hAnsi="Times New Roman" w:cs="Times New Roman"/>
          <w:sz w:val="24"/>
          <w:szCs w:val="24"/>
          <w:lang w:eastAsia="en-IN"/>
        </w:rPr>
        <w:t xml:space="preserve">Given these constraints on monetary policy stance, can we rely on </w:t>
      </w:r>
      <w:r w:rsidR="00DE374E" w:rsidRPr="001429E8">
        <w:rPr>
          <w:rFonts w:ascii="Times New Roman" w:eastAsia="Times New Roman" w:hAnsi="Times New Roman" w:cs="Times New Roman"/>
          <w:sz w:val="24"/>
          <w:szCs w:val="24"/>
          <w:lang w:eastAsia="en-IN"/>
        </w:rPr>
        <w:t>“</w:t>
      </w:r>
      <w:r w:rsidR="00FD0E5C" w:rsidRPr="001429E8">
        <w:rPr>
          <w:rFonts w:ascii="Times New Roman" w:eastAsia="Times New Roman" w:hAnsi="Times New Roman" w:cs="Times New Roman"/>
          <w:sz w:val="24"/>
          <w:szCs w:val="24"/>
          <w:lang w:eastAsia="en-IN"/>
        </w:rPr>
        <w:t xml:space="preserve">fiscal </w:t>
      </w:r>
      <w:r w:rsidR="00DE374E" w:rsidRPr="001429E8">
        <w:rPr>
          <w:rFonts w:ascii="Times New Roman" w:eastAsia="Times New Roman" w:hAnsi="Times New Roman" w:cs="Times New Roman"/>
          <w:sz w:val="24"/>
          <w:szCs w:val="24"/>
          <w:lang w:eastAsia="en-IN"/>
        </w:rPr>
        <w:t>dominance”</w:t>
      </w:r>
      <w:r w:rsidR="00FD0E5C" w:rsidRPr="001429E8">
        <w:rPr>
          <w:rFonts w:ascii="Times New Roman" w:eastAsia="Times New Roman" w:hAnsi="Times New Roman" w:cs="Times New Roman"/>
          <w:sz w:val="24"/>
          <w:szCs w:val="24"/>
          <w:lang w:eastAsia="en-IN"/>
        </w:rPr>
        <w:t xml:space="preserve"> to counter the </w:t>
      </w:r>
      <w:r w:rsidR="000F63B1" w:rsidRPr="001429E8">
        <w:rPr>
          <w:rFonts w:ascii="Times New Roman" w:eastAsia="Times New Roman" w:hAnsi="Times New Roman" w:cs="Times New Roman"/>
          <w:sz w:val="24"/>
          <w:szCs w:val="24"/>
          <w:lang w:eastAsia="en-IN"/>
        </w:rPr>
        <w:t xml:space="preserve">adverse impacts on </w:t>
      </w:r>
      <w:r w:rsidR="00FD0E5C" w:rsidRPr="001429E8">
        <w:rPr>
          <w:rFonts w:ascii="Times New Roman" w:eastAsia="Times New Roman" w:hAnsi="Times New Roman" w:cs="Times New Roman"/>
          <w:sz w:val="24"/>
          <w:szCs w:val="24"/>
          <w:lang w:eastAsia="en-IN"/>
        </w:rPr>
        <w:t>growth</w:t>
      </w:r>
      <w:r w:rsidR="000F63B1" w:rsidRPr="001429E8">
        <w:rPr>
          <w:rFonts w:ascii="Times New Roman" w:eastAsia="Times New Roman" w:hAnsi="Times New Roman" w:cs="Times New Roman"/>
          <w:sz w:val="24"/>
          <w:szCs w:val="24"/>
          <w:lang w:eastAsia="en-IN"/>
        </w:rPr>
        <w:t xml:space="preserve"> recovery </w:t>
      </w:r>
      <w:r w:rsidR="00FD0E5C" w:rsidRPr="001429E8">
        <w:rPr>
          <w:rFonts w:ascii="Times New Roman" w:eastAsia="Times New Roman" w:hAnsi="Times New Roman" w:cs="Times New Roman"/>
          <w:sz w:val="24"/>
          <w:szCs w:val="24"/>
          <w:lang w:eastAsia="en-IN"/>
        </w:rPr>
        <w:t xml:space="preserve">of exogenous supply shocks? </w:t>
      </w:r>
      <w:r w:rsidR="0036733A" w:rsidRPr="001429E8">
        <w:rPr>
          <w:rFonts w:ascii="Times New Roman" w:eastAsia="Times New Roman" w:hAnsi="Times New Roman" w:cs="Times New Roman"/>
          <w:sz w:val="24"/>
          <w:szCs w:val="24"/>
          <w:lang w:eastAsia="en-IN"/>
        </w:rPr>
        <w:t>Globally, f</w:t>
      </w:r>
      <w:r w:rsidR="00024BC4" w:rsidRPr="001429E8">
        <w:rPr>
          <w:rFonts w:ascii="Times New Roman" w:eastAsia="Times New Roman" w:hAnsi="Times New Roman" w:cs="Times New Roman"/>
          <w:sz w:val="24"/>
          <w:szCs w:val="24"/>
          <w:lang w:eastAsia="en-IN"/>
        </w:rPr>
        <w:t>iscal authorities have</w:t>
      </w:r>
      <w:r w:rsidR="00FD0E5C" w:rsidRPr="001429E8">
        <w:rPr>
          <w:rFonts w:ascii="Times New Roman" w:eastAsia="Times New Roman" w:hAnsi="Times New Roman" w:cs="Times New Roman"/>
          <w:sz w:val="24"/>
          <w:szCs w:val="24"/>
          <w:lang w:eastAsia="en-IN"/>
        </w:rPr>
        <w:t xml:space="preserve"> increasingly </w:t>
      </w:r>
      <w:r w:rsidR="0036733A" w:rsidRPr="001429E8">
        <w:rPr>
          <w:rFonts w:ascii="Times New Roman" w:eastAsia="Times New Roman" w:hAnsi="Times New Roman" w:cs="Times New Roman"/>
          <w:sz w:val="24"/>
          <w:szCs w:val="24"/>
          <w:lang w:eastAsia="en-IN"/>
        </w:rPr>
        <w:t xml:space="preserve">accommodated high fiscal </w:t>
      </w:r>
      <w:r w:rsidR="00FD0E5C" w:rsidRPr="001429E8">
        <w:rPr>
          <w:rFonts w:ascii="Times New Roman" w:eastAsia="Times New Roman" w:hAnsi="Times New Roman" w:cs="Times New Roman"/>
          <w:sz w:val="24"/>
          <w:szCs w:val="24"/>
          <w:lang w:eastAsia="en-IN"/>
        </w:rPr>
        <w:t>deficits</w:t>
      </w:r>
      <w:r w:rsidR="00024BC4" w:rsidRPr="001429E8">
        <w:rPr>
          <w:rFonts w:ascii="Times New Roman" w:eastAsia="Times New Roman" w:hAnsi="Times New Roman" w:cs="Times New Roman"/>
          <w:sz w:val="24"/>
          <w:szCs w:val="24"/>
          <w:lang w:eastAsia="en-IN"/>
        </w:rPr>
        <w:t xml:space="preserve"> to support growth recovery</w:t>
      </w:r>
      <w:r w:rsidR="00FD0E5C" w:rsidRPr="001429E8">
        <w:rPr>
          <w:rFonts w:ascii="Times New Roman" w:eastAsia="Times New Roman" w:hAnsi="Times New Roman" w:cs="Times New Roman"/>
          <w:sz w:val="24"/>
          <w:szCs w:val="24"/>
          <w:lang w:eastAsia="en-IN"/>
        </w:rPr>
        <w:t xml:space="preserve">, and servicing these debts will become much more expensive </w:t>
      </w:r>
      <w:r w:rsidR="00024BC4" w:rsidRPr="001429E8">
        <w:rPr>
          <w:rFonts w:ascii="Times New Roman" w:eastAsia="Times New Roman" w:hAnsi="Times New Roman" w:cs="Times New Roman"/>
          <w:sz w:val="24"/>
          <w:szCs w:val="24"/>
          <w:lang w:eastAsia="en-IN"/>
        </w:rPr>
        <w:t xml:space="preserve">if there is hike in </w:t>
      </w:r>
      <w:r w:rsidR="00FD0E5C" w:rsidRPr="001429E8">
        <w:rPr>
          <w:rFonts w:ascii="Times New Roman" w:eastAsia="Times New Roman" w:hAnsi="Times New Roman" w:cs="Times New Roman"/>
          <w:sz w:val="24"/>
          <w:szCs w:val="24"/>
          <w:lang w:eastAsia="en-IN"/>
        </w:rPr>
        <w:t xml:space="preserve">interest rates. </w:t>
      </w:r>
    </w:p>
    <w:p w14:paraId="48BE5F7A" w14:textId="77777777" w:rsidR="00024BC4" w:rsidRPr="001429E8" w:rsidRDefault="00024BC4" w:rsidP="001429E8">
      <w:pPr>
        <w:spacing w:after="0" w:line="360" w:lineRule="auto"/>
        <w:jc w:val="both"/>
        <w:rPr>
          <w:rFonts w:ascii="Times New Roman" w:eastAsia="Times New Roman" w:hAnsi="Times New Roman" w:cs="Times New Roman"/>
          <w:sz w:val="24"/>
          <w:szCs w:val="24"/>
          <w:lang w:eastAsia="en-IN"/>
        </w:rPr>
      </w:pPr>
    </w:p>
    <w:p w14:paraId="7A0A12B3" w14:textId="2E3D4936" w:rsidR="00FD0E5C" w:rsidRPr="001429E8" w:rsidRDefault="0036733A" w:rsidP="001429E8">
      <w:pPr>
        <w:spacing w:after="0" w:line="360" w:lineRule="auto"/>
        <w:jc w:val="both"/>
        <w:rPr>
          <w:rFonts w:ascii="Times New Roman" w:eastAsia="Times New Roman" w:hAnsi="Times New Roman" w:cs="Times New Roman"/>
          <w:sz w:val="24"/>
          <w:szCs w:val="24"/>
          <w:lang w:eastAsia="en-IN"/>
        </w:rPr>
      </w:pPr>
      <w:r w:rsidRPr="001429E8">
        <w:rPr>
          <w:rFonts w:ascii="Times New Roman" w:eastAsia="Times New Roman" w:hAnsi="Times New Roman" w:cs="Times New Roman"/>
          <w:color w:val="222222"/>
          <w:sz w:val="24"/>
          <w:szCs w:val="24"/>
          <w:lang w:eastAsia="en-IN"/>
        </w:rPr>
        <w:t>T</w:t>
      </w:r>
      <w:r w:rsidR="00FD0E5C" w:rsidRPr="001429E8">
        <w:rPr>
          <w:rFonts w:ascii="Times New Roman" w:eastAsia="Times New Roman" w:hAnsi="Times New Roman" w:cs="Times New Roman"/>
          <w:color w:val="222222"/>
          <w:sz w:val="24"/>
          <w:szCs w:val="24"/>
          <w:lang w:eastAsia="en-IN"/>
        </w:rPr>
        <w:t xml:space="preserve">here is an increasing recognition for accommodative fiscal space in the times of pandemic crisis. </w:t>
      </w:r>
      <w:r w:rsidR="002348B4" w:rsidRPr="001429E8">
        <w:rPr>
          <w:rFonts w:ascii="Times New Roman" w:eastAsia="Times New Roman" w:hAnsi="Times New Roman" w:cs="Times New Roman"/>
          <w:color w:val="222222"/>
          <w:sz w:val="24"/>
          <w:szCs w:val="24"/>
          <w:lang w:eastAsia="en-IN"/>
        </w:rPr>
        <w:t xml:space="preserve">The </w:t>
      </w:r>
      <w:r w:rsidR="00FD0E5C" w:rsidRPr="001429E8">
        <w:rPr>
          <w:rFonts w:ascii="Times New Roman" w:eastAsia="Times New Roman" w:hAnsi="Times New Roman" w:cs="Times New Roman"/>
          <w:color w:val="222222"/>
          <w:sz w:val="24"/>
          <w:szCs w:val="24"/>
          <w:lang w:eastAsia="en-IN"/>
        </w:rPr>
        <w:t>efficacy of “fiscal rules”—whether adhering to numeric threshold ratios of deficit is growth-enhancing</w:t>
      </w:r>
      <w:r w:rsidRPr="001429E8">
        <w:rPr>
          <w:rFonts w:ascii="Times New Roman" w:eastAsia="Times New Roman" w:hAnsi="Times New Roman" w:cs="Times New Roman"/>
          <w:color w:val="222222"/>
          <w:sz w:val="24"/>
          <w:szCs w:val="24"/>
          <w:lang w:eastAsia="en-IN"/>
        </w:rPr>
        <w:t xml:space="preserve">- needs a recalibration in the times of pandemic </w:t>
      </w:r>
      <w:r w:rsidR="00FD0E5C" w:rsidRPr="001429E8">
        <w:rPr>
          <w:rFonts w:ascii="Times New Roman" w:eastAsia="Times New Roman" w:hAnsi="Times New Roman" w:cs="Times New Roman"/>
          <w:color w:val="222222"/>
          <w:sz w:val="24"/>
          <w:szCs w:val="24"/>
          <w:lang w:eastAsia="en-IN"/>
        </w:rPr>
        <w:t>. If the path to fiscal consolidation is thr</w:t>
      </w:r>
      <w:r w:rsidR="00FD0E5C" w:rsidRPr="001429E8">
        <w:rPr>
          <w:rFonts w:ascii="Times New Roman" w:eastAsia="Times New Roman" w:hAnsi="Times New Roman" w:cs="Times New Roman"/>
          <w:color w:val="222222"/>
          <w:sz w:val="24"/>
          <w:szCs w:val="24"/>
          <w:lang w:eastAsia="en-IN"/>
        </w:rPr>
        <w:softHyphen/>
        <w:t xml:space="preserve">ough expenditure compression rather than increased tax buoyancy, the quality of fiscal consolidation gets affected (Chakraborty, 2021). </w:t>
      </w:r>
      <w:r w:rsidR="00F968A0">
        <w:rPr>
          <w:rFonts w:ascii="Times New Roman" w:eastAsia="Times New Roman" w:hAnsi="Times New Roman" w:cs="Times New Roman"/>
          <w:sz w:val="24"/>
          <w:szCs w:val="24"/>
          <w:lang w:eastAsia="en-IN"/>
        </w:rPr>
        <w:t>High</w:t>
      </w:r>
      <w:r w:rsidR="00FD0E5C" w:rsidRPr="001429E8">
        <w:rPr>
          <w:rFonts w:ascii="Times New Roman" w:eastAsia="Times New Roman" w:hAnsi="Times New Roman" w:cs="Times New Roman"/>
          <w:sz w:val="24"/>
          <w:szCs w:val="24"/>
          <w:lang w:eastAsia="en-IN"/>
        </w:rPr>
        <w:t xml:space="preserve"> deficit has no fiscal costs if it can be substantiated with increased public investment or “output gap” reduction</w:t>
      </w:r>
      <w:r w:rsidR="00F968A0">
        <w:rPr>
          <w:rFonts w:ascii="Times New Roman" w:eastAsia="Times New Roman" w:hAnsi="Times New Roman" w:cs="Times New Roman"/>
          <w:sz w:val="24"/>
          <w:szCs w:val="24"/>
          <w:lang w:eastAsia="en-IN"/>
        </w:rPr>
        <w:t xml:space="preserve"> (Blanchard, 2019)</w:t>
      </w:r>
      <w:r w:rsidR="00FD0E5C" w:rsidRPr="001429E8">
        <w:rPr>
          <w:rFonts w:ascii="Times New Roman" w:eastAsia="Times New Roman" w:hAnsi="Times New Roman" w:cs="Times New Roman"/>
          <w:sz w:val="24"/>
          <w:szCs w:val="24"/>
          <w:lang w:eastAsia="en-IN"/>
        </w:rPr>
        <w:t xml:space="preserve">. </w:t>
      </w:r>
    </w:p>
    <w:p w14:paraId="2219F995" w14:textId="77777777" w:rsidR="00FD0E5C" w:rsidRPr="001429E8" w:rsidRDefault="00FD0E5C" w:rsidP="001429E8">
      <w:pPr>
        <w:spacing w:after="0" w:line="360" w:lineRule="auto"/>
        <w:jc w:val="both"/>
        <w:rPr>
          <w:rFonts w:ascii="Times New Roman" w:eastAsia="Times New Roman" w:hAnsi="Times New Roman" w:cs="Times New Roman"/>
          <w:sz w:val="24"/>
          <w:szCs w:val="24"/>
          <w:lang w:eastAsia="en-IN"/>
        </w:rPr>
      </w:pPr>
    </w:p>
    <w:p w14:paraId="41A668F3" w14:textId="105367AA" w:rsidR="00985D37" w:rsidRPr="001429E8" w:rsidRDefault="00985D37" w:rsidP="001429E8">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1429E8">
        <w:rPr>
          <w:rFonts w:ascii="Times New Roman" w:eastAsia="Times New Roman" w:hAnsi="Times New Roman" w:cs="Times New Roman"/>
          <w:color w:val="222222"/>
          <w:sz w:val="24"/>
          <w:szCs w:val="24"/>
          <w:lang w:eastAsia="en-IN"/>
        </w:rPr>
        <w:lastRenderedPageBreak/>
        <w:t xml:space="preserve">Climate change </w:t>
      </w:r>
      <w:r w:rsidR="00E14FC3">
        <w:rPr>
          <w:rFonts w:ascii="Times New Roman" w:eastAsia="Times New Roman" w:hAnsi="Times New Roman" w:cs="Times New Roman"/>
          <w:color w:val="222222"/>
          <w:sz w:val="24"/>
          <w:szCs w:val="24"/>
          <w:lang w:eastAsia="en-IN"/>
        </w:rPr>
        <w:t xml:space="preserve">risks further accentuate the macroeconomic </w:t>
      </w:r>
      <w:r w:rsidR="00E5655B">
        <w:rPr>
          <w:rFonts w:ascii="Times New Roman" w:eastAsia="Times New Roman" w:hAnsi="Times New Roman" w:cs="Times New Roman"/>
          <w:color w:val="222222"/>
          <w:sz w:val="24"/>
          <w:szCs w:val="24"/>
          <w:lang w:eastAsia="en-IN"/>
        </w:rPr>
        <w:t>uncertainties</w:t>
      </w:r>
      <w:r w:rsidR="00E14FC3">
        <w:rPr>
          <w:rFonts w:ascii="Times New Roman" w:eastAsia="Times New Roman" w:hAnsi="Times New Roman" w:cs="Times New Roman"/>
          <w:color w:val="222222"/>
          <w:sz w:val="24"/>
          <w:szCs w:val="24"/>
          <w:lang w:eastAsia="en-IN"/>
        </w:rPr>
        <w:t xml:space="preserve"> </w:t>
      </w:r>
      <w:r w:rsidRPr="001429E8">
        <w:rPr>
          <w:rFonts w:ascii="Times New Roman" w:eastAsia="Times New Roman" w:hAnsi="Times New Roman" w:cs="Times New Roman"/>
          <w:color w:val="222222"/>
          <w:sz w:val="24"/>
          <w:szCs w:val="24"/>
          <w:lang w:eastAsia="en-IN"/>
        </w:rPr>
        <w:t>. How well monetary policy stance can incorpora</w:t>
      </w:r>
      <w:r w:rsidR="00CD1C1C">
        <w:rPr>
          <w:rFonts w:ascii="Times New Roman" w:eastAsia="Times New Roman" w:hAnsi="Times New Roman" w:cs="Times New Roman"/>
          <w:color w:val="222222"/>
          <w:sz w:val="24"/>
          <w:szCs w:val="24"/>
          <w:lang w:eastAsia="en-IN"/>
        </w:rPr>
        <w:t>te such risks and uncertainties</w:t>
      </w:r>
      <w:r w:rsidR="00E5655B">
        <w:rPr>
          <w:rFonts w:ascii="Times New Roman" w:eastAsia="Times New Roman" w:hAnsi="Times New Roman" w:cs="Times New Roman"/>
          <w:color w:val="222222"/>
          <w:sz w:val="24"/>
          <w:szCs w:val="24"/>
          <w:lang w:eastAsia="en-IN"/>
        </w:rPr>
        <w:t xml:space="preserve">, within the available toolkit, </w:t>
      </w:r>
      <w:r w:rsidRPr="001429E8">
        <w:rPr>
          <w:rFonts w:ascii="Times New Roman" w:eastAsia="Times New Roman" w:hAnsi="Times New Roman" w:cs="Times New Roman"/>
          <w:color w:val="222222"/>
          <w:sz w:val="24"/>
          <w:szCs w:val="24"/>
          <w:lang w:eastAsia="en-IN"/>
        </w:rPr>
        <w:t xml:space="preserve">is questioned by many economists. There is a broad consensus among economists that fiscal policy is capable to deal with the climate crisis, </w:t>
      </w:r>
      <w:r w:rsidR="00E5655B">
        <w:rPr>
          <w:rFonts w:ascii="Times New Roman" w:eastAsia="Times New Roman" w:hAnsi="Times New Roman" w:cs="Times New Roman"/>
          <w:color w:val="222222"/>
          <w:sz w:val="24"/>
          <w:szCs w:val="24"/>
          <w:lang w:eastAsia="en-IN"/>
        </w:rPr>
        <w:t>and national budgets have become an important tool to address</w:t>
      </w:r>
      <w:r w:rsidRPr="001429E8">
        <w:rPr>
          <w:rFonts w:ascii="Times New Roman" w:eastAsia="Times New Roman" w:hAnsi="Times New Roman" w:cs="Times New Roman"/>
          <w:color w:val="222222"/>
          <w:sz w:val="24"/>
          <w:szCs w:val="24"/>
          <w:lang w:eastAsia="en-IN"/>
        </w:rPr>
        <w:t xml:space="preserve">  </w:t>
      </w:r>
      <w:r w:rsidR="00E5655B">
        <w:rPr>
          <w:rFonts w:ascii="Times New Roman" w:eastAsia="Times New Roman" w:hAnsi="Times New Roman" w:cs="Times New Roman"/>
          <w:color w:val="222222"/>
          <w:sz w:val="24"/>
          <w:szCs w:val="24"/>
          <w:lang w:eastAsia="en-IN"/>
        </w:rPr>
        <w:t xml:space="preserve">climate change commitments. The Union Budget 2022 has announced </w:t>
      </w:r>
      <w:r w:rsidR="00CD1C1C">
        <w:rPr>
          <w:rFonts w:ascii="Times New Roman" w:eastAsia="Times New Roman" w:hAnsi="Times New Roman" w:cs="Times New Roman"/>
          <w:color w:val="222222"/>
          <w:sz w:val="24"/>
          <w:szCs w:val="24"/>
          <w:lang w:eastAsia="en-IN"/>
        </w:rPr>
        <w:t xml:space="preserve">green bonds for the first time ever in India. </w:t>
      </w:r>
    </w:p>
    <w:p w14:paraId="77F96432" w14:textId="77777777" w:rsidR="0040285B" w:rsidRPr="001429E8" w:rsidRDefault="0040285B" w:rsidP="001429E8">
      <w:pPr>
        <w:spacing w:after="0" w:line="360" w:lineRule="auto"/>
        <w:jc w:val="both"/>
        <w:rPr>
          <w:rFonts w:ascii="Times New Roman" w:eastAsia="Times New Roman" w:hAnsi="Times New Roman" w:cs="Times New Roman"/>
          <w:i/>
          <w:sz w:val="24"/>
          <w:szCs w:val="24"/>
          <w:lang w:eastAsia="en-IN"/>
        </w:rPr>
      </w:pPr>
    </w:p>
    <w:p w14:paraId="2E475A4F" w14:textId="2049CD26" w:rsidR="0054445C" w:rsidRPr="001429E8" w:rsidRDefault="0054445C" w:rsidP="001429E8">
      <w:pPr>
        <w:spacing w:after="0" w:line="360" w:lineRule="auto"/>
        <w:jc w:val="both"/>
        <w:rPr>
          <w:rFonts w:ascii="Times New Roman" w:eastAsia="Times New Roman" w:hAnsi="Times New Roman" w:cs="Times New Roman"/>
          <w:sz w:val="24"/>
          <w:szCs w:val="24"/>
          <w:lang w:eastAsia="en-IN"/>
        </w:rPr>
      </w:pPr>
      <w:r w:rsidRPr="001429E8">
        <w:rPr>
          <w:rFonts w:ascii="Times New Roman" w:eastAsia="Times New Roman" w:hAnsi="Times New Roman" w:cs="Times New Roman"/>
          <w:sz w:val="24"/>
          <w:szCs w:val="24"/>
          <w:lang w:eastAsia="en-IN"/>
        </w:rPr>
        <w:t xml:space="preserve">Against this backdrop, this paper analyses the </w:t>
      </w:r>
      <w:r w:rsidR="006B27B4" w:rsidRPr="001429E8">
        <w:rPr>
          <w:rFonts w:ascii="Times New Roman" w:eastAsia="Times New Roman" w:hAnsi="Times New Roman" w:cs="Times New Roman"/>
          <w:sz w:val="24"/>
          <w:szCs w:val="24"/>
          <w:lang w:eastAsia="en-IN"/>
        </w:rPr>
        <w:t xml:space="preserve">monetary-fiscal interface of </w:t>
      </w:r>
      <w:r w:rsidRPr="001429E8">
        <w:rPr>
          <w:rFonts w:ascii="Times New Roman" w:eastAsia="Times New Roman" w:hAnsi="Times New Roman" w:cs="Times New Roman"/>
          <w:sz w:val="24"/>
          <w:szCs w:val="24"/>
          <w:lang w:eastAsia="en-IN"/>
        </w:rPr>
        <w:t>Union Budget 2022-23 in India</w:t>
      </w:r>
      <w:r w:rsidR="00CD1C1C">
        <w:rPr>
          <w:rFonts w:ascii="Times New Roman" w:eastAsia="Times New Roman" w:hAnsi="Times New Roman" w:cs="Times New Roman"/>
          <w:sz w:val="24"/>
          <w:szCs w:val="24"/>
          <w:lang w:eastAsia="en-IN"/>
        </w:rPr>
        <w:t xml:space="preserve"> </w:t>
      </w:r>
      <w:r w:rsidR="006B27B4" w:rsidRPr="001429E8">
        <w:rPr>
          <w:rFonts w:ascii="Times New Roman" w:eastAsia="Times New Roman" w:hAnsi="Times New Roman" w:cs="Times New Roman"/>
          <w:sz w:val="24"/>
          <w:szCs w:val="24"/>
          <w:lang w:eastAsia="en-IN"/>
        </w:rPr>
        <w:t>and green bonds</w:t>
      </w:r>
      <w:r w:rsidRPr="001429E8">
        <w:rPr>
          <w:rFonts w:ascii="Times New Roman" w:eastAsia="Times New Roman" w:hAnsi="Times New Roman" w:cs="Times New Roman"/>
          <w:sz w:val="24"/>
          <w:szCs w:val="24"/>
          <w:lang w:eastAsia="en-IN"/>
        </w:rPr>
        <w:t xml:space="preserve">. The paper is organised into </w:t>
      </w:r>
      <w:r w:rsidR="006B27B4" w:rsidRPr="001429E8">
        <w:rPr>
          <w:rFonts w:ascii="Times New Roman" w:eastAsia="Times New Roman" w:hAnsi="Times New Roman" w:cs="Times New Roman"/>
          <w:sz w:val="24"/>
          <w:szCs w:val="24"/>
          <w:lang w:eastAsia="en-IN"/>
        </w:rPr>
        <w:t xml:space="preserve">5 </w:t>
      </w:r>
      <w:r w:rsidRPr="001429E8">
        <w:rPr>
          <w:rFonts w:ascii="Times New Roman" w:eastAsia="Times New Roman" w:hAnsi="Times New Roman" w:cs="Times New Roman"/>
          <w:sz w:val="24"/>
          <w:szCs w:val="24"/>
          <w:lang w:eastAsia="en-IN"/>
        </w:rPr>
        <w:t xml:space="preserve">sections. Section 1 analyses the </w:t>
      </w:r>
      <w:r w:rsidR="001F03F6">
        <w:rPr>
          <w:rFonts w:ascii="Times New Roman" w:eastAsia="Times New Roman" w:hAnsi="Times New Roman" w:cs="Times New Roman"/>
          <w:sz w:val="24"/>
          <w:szCs w:val="24"/>
          <w:lang w:eastAsia="en-IN"/>
        </w:rPr>
        <w:t>global uncertainties and</w:t>
      </w:r>
      <w:r w:rsidRPr="001429E8">
        <w:rPr>
          <w:rFonts w:ascii="Times New Roman" w:eastAsia="Times New Roman" w:hAnsi="Times New Roman" w:cs="Times New Roman"/>
          <w:sz w:val="24"/>
          <w:szCs w:val="24"/>
          <w:lang w:eastAsia="en-IN"/>
        </w:rPr>
        <w:t xml:space="preserve"> the monetary</w:t>
      </w:r>
      <w:r w:rsidR="006B1D7D">
        <w:rPr>
          <w:rFonts w:ascii="Times New Roman" w:eastAsia="Times New Roman" w:hAnsi="Times New Roman" w:cs="Times New Roman"/>
          <w:sz w:val="24"/>
          <w:szCs w:val="24"/>
          <w:lang w:eastAsia="en-IN"/>
        </w:rPr>
        <w:t xml:space="preserve"> policy stance. </w:t>
      </w:r>
      <w:r w:rsidR="00DC088D" w:rsidRPr="001429E8">
        <w:rPr>
          <w:rFonts w:ascii="Times New Roman" w:eastAsia="Times New Roman" w:hAnsi="Times New Roman" w:cs="Times New Roman"/>
          <w:sz w:val="24"/>
          <w:szCs w:val="24"/>
          <w:lang w:eastAsia="en-IN"/>
        </w:rPr>
        <w:t xml:space="preserve">Section 2 analyses the </w:t>
      </w:r>
      <w:r w:rsidR="001F03F6">
        <w:rPr>
          <w:rFonts w:ascii="Times New Roman" w:eastAsia="Times New Roman" w:hAnsi="Times New Roman" w:cs="Times New Roman"/>
          <w:sz w:val="24"/>
          <w:szCs w:val="24"/>
          <w:lang w:eastAsia="en-IN"/>
        </w:rPr>
        <w:t xml:space="preserve">fiscal dominance by analysing the macroeconomic framework of the Union Budget 2022-23. Section 3 analyses the </w:t>
      </w:r>
      <w:r w:rsidR="00AB66C1">
        <w:rPr>
          <w:rFonts w:ascii="Times New Roman" w:eastAsia="Times New Roman" w:hAnsi="Times New Roman" w:cs="Times New Roman"/>
          <w:sz w:val="24"/>
          <w:szCs w:val="24"/>
          <w:lang w:eastAsia="en-IN"/>
        </w:rPr>
        <w:t xml:space="preserve">sectoral </w:t>
      </w:r>
      <w:r w:rsidR="001F03F6">
        <w:rPr>
          <w:rFonts w:ascii="Times New Roman" w:eastAsia="Times New Roman" w:hAnsi="Times New Roman" w:cs="Times New Roman"/>
          <w:sz w:val="24"/>
          <w:szCs w:val="24"/>
          <w:lang w:eastAsia="en-IN"/>
        </w:rPr>
        <w:t>credit</w:t>
      </w:r>
      <w:r w:rsidR="00DC088D" w:rsidRPr="001429E8">
        <w:rPr>
          <w:rFonts w:ascii="Times New Roman" w:eastAsia="Times New Roman" w:hAnsi="Times New Roman" w:cs="Times New Roman"/>
          <w:sz w:val="24"/>
          <w:szCs w:val="24"/>
          <w:lang w:eastAsia="en-IN"/>
        </w:rPr>
        <w:t xml:space="preserve"> </w:t>
      </w:r>
      <w:r w:rsidR="009A0DBA">
        <w:rPr>
          <w:rFonts w:ascii="Times New Roman" w:eastAsia="Times New Roman" w:hAnsi="Times New Roman" w:cs="Times New Roman"/>
          <w:sz w:val="24"/>
          <w:szCs w:val="24"/>
          <w:lang w:eastAsia="en-IN"/>
        </w:rPr>
        <w:t>stimulus</w:t>
      </w:r>
      <w:r w:rsidR="001F03F6">
        <w:rPr>
          <w:rFonts w:ascii="Times New Roman" w:eastAsia="Times New Roman" w:hAnsi="Times New Roman" w:cs="Times New Roman"/>
          <w:sz w:val="24"/>
          <w:szCs w:val="24"/>
          <w:lang w:eastAsia="en-IN"/>
        </w:rPr>
        <w:t xml:space="preserve"> and financial stability</w:t>
      </w:r>
      <w:r w:rsidR="00DC088D" w:rsidRPr="001429E8">
        <w:rPr>
          <w:rFonts w:ascii="Times New Roman" w:eastAsia="Times New Roman" w:hAnsi="Times New Roman" w:cs="Times New Roman"/>
          <w:sz w:val="24"/>
          <w:szCs w:val="24"/>
          <w:lang w:eastAsia="en-IN"/>
        </w:rPr>
        <w:t xml:space="preserve">. Section </w:t>
      </w:r>
      <w:r w:rsidR="001F03F6">
        <w:rPr>
          <w:rFonts w:ascii="Times New Roman" w:eastAsia="Times New Roman" w:hAnsi="Times New Roman" w:cs="Times New Roman"/>
          <w:sz w:val="24"/>
          <w:szCs w:val="24"/>
          <w:lang w:eastAsia="en-IN"/>
        </w:rPr>
        <w:t>4</w:t>
      </w:r>
      <w:r w:rsidR="006B27B4" w:rsidRPr="001429E8">
        <w:rPr>
          <w:rFonts w:ascii="Times New Roman" w:eastAsia="Times New Roman" w:hAnsi="Times New Roman" w:cs="Times New Roman"/>
          <w:sz w:val="24"/>
          <w:szCs w:val="24"/>
          <w:lang w:eastAsia="en-IN"/>
        </w:rPr>
        <w:t xml:space="preserve"> analyses the green bonds and highlights the monetary-fiscal interface of climate change commitments. Section </w:t>
      </w:r>
      <w:r w:rsidR="001F03F6">
        <w:rPr>
          <w:rFonts w:ascii="Times New Roman" w:eastAsia="Times New Roman" w:hAnsi="Times New Roman" w:cs="Times New Roman"/>
          <w:sz w:val="24"/>
          <w:szCs w:val="24"/>
          <w:lang w:eastAsia="en-IN"/>
        </w:rPr>
        <w:t>5</w:t>
      </w:r>
      <w:r w:rsidR="006B27B4" w:rsidRPr="001429E8">
        <w:rPr>
          <w:rFonts w:ascii="Times New Roman" w:eastAsia="Times New Roman" w:hAnsi="Times New Roman" w:cs="Times New Roman"/>
          <w:sz w:val="24"/>
          <w:szCs w:val="24"/>
          <w:lang w:eastAsia="en-IN"/>
        </w:rPr>
        <w:t xml:space="preserve"> concludes. </w:t>
      </w:r>
    </w:p>
    <w:p w14:paraId="242179C2" w14:textId="77777777" w:rsidR="00F819E1" w:rsidRPr="00C42353" w:rsidRDefault="00F819E1" w:rsidP="00C42353">
      <w:pPr>
        <w:spacing w:after="0" w:line="240" w:lineRule="auto"/>
        <w:jc w:val="both"/>
        <w:rPr>
          <w:rFonts w:ascii="Times New Roman" w:eastAsia="Times New Roman" w:hAnsi="Times New Roman" w:cs="Times New Roman"/>
          <w:lang w:eastAsia="en-IN"/>
        </w:rPr>
      </w:pPr>
    </w:p>
    <w:p w14:paraId="39C6A52C" w14:textId="77777777" w:rsidR="00D84FAB" w:rsidRPr="00C42353" w:rsidRDefault="00D84FAB" w:rsidP="00C42353">
      <w:pPr>
        <w:spacing w:after="0" w:line="240" w:lineRule="auto"/>
        <w:jc w:val="both"/>
        <w:rPr>
          <w:rFonts w:ascii="Times New Roman" w:eastAsia="Times New Roman" w:hAnsi="Times New Roman" w:cs="Times New Roman"/>
          <w:lang w:eastAsia="en-IN"/>
        </w:rPr>
      </w:pPr>
    </w:p>
    <w:p w14:paraId="14BB53D7" w14:textId="03065E42" w:rsidR="00D84FAB" w:rsidRPr="00C42353" w:rsidRDefault="00D84FAB" w:rsidP="00C42353">
      <w:pPr>
        <w:pStyle w:val="ListParagraph"/>
        <w:numPr>
          <w:ilvl w:val="0"/>
          <w:numId w:val="1"/>
        </w:numPr>
        <w:spacing w:after="0" w:line="240" w:lineRule="auto"/>
        <w:jc w:val="both"/>
        <w:rPr>
          <w:rFonts w:ascii="Times New Roman" w:eastAsia="Times New Roman" w:hAnsi="Times New Roman" w:cs="Times New Roman"/>
          <w:b/>
          <w:lang w:eastAsia="en-IN"/>
        </w:rPr>
      </w:pPr>
      <w:r w:rsidRPr="00C42353">
        <w:rPr>
          <w:rFonts w:ascii="Times New Roman" w:eastAsia="Times New Roman" w:hAnsi="Times New Roman" w:cs="Times New Roman"/>
          <w:b/>
          <w:lang w:eastAsia="en-IN"/>
        </w:rPr>
        <w:t xml:space="preserve">The </w:t>
      </w:r>
      <w:r w:rsidR="00925AEC">
        <w:rPr>
          <w:rFonts w:ascii="Times New Roman" w:eastAsia="Times New Roman" w:hAnsi="Times New Roman" w:cs="Times New Roman"/>
          <w:b/>
          <w:lang w:eastAsia="en-IN"/>
        </w:rPr>
        <w:t xml:space="preserve">Global Uncertainties and </w:t>
      </w:r>
      <w:r w:rsidR="00B002A3">
        <w:rPr>
          <w:rFonts w:ascii="Times New Roman" w:eastAsia="Times New Roman" w:hAnsi="Times New Roman" w:cs="Times New Roman"/>
          <w:b/>
          <w:lang w:eastAsia="en-IN"/>
        </w:rPr>
        <w:t>the</w:t>
      </w:r>
      <w:r w:rsidR="00DC088D" w:rsidRPr="00C42353">
        <w:rPr>
          <w:rFonts w:ascii="Times New Roman" w:eastAsia="Times New Roman" w:hAnsi="Times New Roman" w:cs="Times New Roman"/>
          <w:b/>
          <w:lang w:eastAsia="en-IN"/>
        </w:rPr>
        <w:t xml:space="preserve"> </w:t>
      </w:r>
      <w:r w:rsidRPr="00C42353">
        <w:rPr>
          <w:rFonts w:ascii="Times New Roman" w:eastAsia="Times New Roman" w:hAnsi="Times New Roman" w:cs="Times New Roman"/>
          <w:b/>
          <w:lang w:eastAsia="en-IN"/>
        </w:rPr>
        <w:t xml:space="preserve">Monetary </w:t>
      </w:r>
      <w:r w:rsidR="00B002A3">
        <w:rPr>
          <w:rFonts w:ascii="Times New Roman" w:eastAsia="Times New Roman" w:hAnsi="Times New Roman" w:cs="Times New Roman"/>
          <w:b/>
          <w:lang w:eastAsia="en-IN"/>
        </w:rPr>
        <w:t>Policy Stance</w:t>
      </w:r>
    </w:p>
    <w:p w14:paraId="718C2430" w14:textId="77777777" w:rsidR="00D84FAB" w:rsidRPr="00C42353" w:rsidRDefault="00D84FAB" w:rsidP="00C42353">
      <w:pPr>
        <w:spacing w:after="0" w:line="240" w:lineRule="auto"/>
        <w:jc w:val="both"/>
        <w:rPr>
          <w:rFonts w:ascii="Times New Roman" w:eastAsia="Times New Roman" w:hAnsi="Times New Roman" w:cs="Times New Roman"/>
          <w:lang w:eastAsia="en-IN"/>
        </w:rPr>
      </w:pPr>
    </w:p>
    <w:p w14:paraId="49694689" w14:textId="0B4548DF" w:rsidR="00E53722" w:rsidRDefault="00263945" w:rsidP="00AC44D1">
      <w:pPr>
        <w:spacing w:after="0" w:line="360" w:lineRule="auto"/>
        <w:jc w:val="both"/>
        <w:rPr>
          <w:rFonts w:ascii="Times New Roman" w:eastAsia="Times New Roman" w:hAnsi="Times New Roman" w:cs="Times New Roman"/>
          <w:lang w:eastAsia="en-IN"/>
        </w:rPr>
      </w:pPr>
      <w:r w:rsidRPr="00C42353">
        <w:rPr>
          <w:rFonts w:ascii="Times New Roman" w:eastAsia="Times New Roman" w:hAnsi="Times New Roman" w:cs="Times New Roman"/>
          <w:lang w:eastAsia="en-IN"/>
        </w:rPr>
        <w:t xml:space="preserve">The International Monetary Fund (IMF) revised global output and trade growth projections for 2022 downward to 4.4 per cent and 6.0 per cent from its earlier forecasts of 4.9 per cent and 6.7 per cent, respectively , in its January 2022 update of the World Economic Outlook. These revisions in global growth is due to the hardening of  commodity prices and mounting inflationary pressures. </w:t>
      </w:r>
      <w:r w:rsidR="00E53722" w:rsidRPr="00C42353">
        <w:rPr>
          <w:rFonts w:ascii="Times New Roman" w:eastAsia="Times New Roman" w:hAnsi="Times New Roman" w:cs="Times New Roman"/>
          <w:lang w:eastAsia="en-IN"/>
        </w:rPr>
        <w:t>The war in Ukraine will accentuate the global stagflationary recession when inflationary expectations are becoming unanchored and the massive negative supply shock in the global economy will reduce growth further (</w:t>
      </w:r>
      <w:proofErr w:type="spellStart"/>
      <w:r w:rsidR="00E53722" w:rsidRPr="00C42353">
        <w:rPr>
          <w:rFonts w:ascii="Times New Roman" w:eastAsia="Times New Roman" w:hAnsi="Times New Roman" w:cs="Times New Roman"/>
          <w:lang w:eastAsia="en-IN"/>
        </w:rPr>
        <w:t>Roubini</w:t>
      </w:r>
      <w:proofErr w:type="spellEnd"/>
      <w:r w:rsidR="00E53722" w:rsidRPr="00C42353">
        <w:rPr>
          <w:rFonts w:ascii="Times New Roman" w:eastAsia="Times New Roman" w:hAnsi="Times New Roman" w:cs="Times New Roman"/>
          <w:lang w:eastAsia="en-IN"/>
        </w:rPr>
        <w:t>, 2022). The volatility in energy prices – the spike in oil prices to well above $100 per barrel; along with hardening of global commodity prices  – will add to the uncertainties</w:t>
      </w:r>
      <w:r w:rsidR="00E53722" w:rsidRPr="00925AEC">
        <w:rPr>
          <w:rFonts w:ascii="Times New Roman" w:eastAsia="Times New Roman" w:hAnsi="Times New Roman" w:cs="Times New Roman"/>
          <w:color w:val="000000" w:themeColor="text1"/>
          <w:lang w:eastAsia="en-IN"/>
        </w:rPr>
        <w:t>.</w:t>
      </w:r>
      <w:r w:rsidR="00E53722">
        <w:rPr>
          <w:rFonts w:ascii="Times New Roman" w:eastAsia="Times New Roman" w:hAnsi="Times New Roman" w:cs="Times New Roman"/>
          <w:lang w:eastAsia="en-IN"/>
        </w:rPr>
        <w:t xml:space="preserve"> </w:t>
      </w:r>
      <w:proofErr w:type="spellStart"/>
      <w:r w:rsidR="00E53722">
        <w:rPr>
          <w:rFonts w:ascii="Times New Roman" w:eastAsia="Times New Roman" w:hAnsi="Times New Roman" w:cs="Times New Roman"/>
          <w:lang w:eastAsia="en-IN"/>
        </w:rPr>
        <w:t>Roubini</w:t>
      </w:r>
      <w:proofErr w:type="spellEnd"/>
      <w:r w:rsidR="00E53722">
        <w:rPr>
          <w:rFonts w:ascii="Times New Roman" w:eastAsia="Times New Roman" w:hAnsi="Times New Roman" w:cs="Times New Roman"/>
          <w:lang w:eastAsia="en-IN"/>
        </w:rPr>
        <w:t xml:space="preserve"> (2022) highlighted that a</w:t>
      </w:r>
      <w:r w:rsidR="00DC088D" w:rsidRPr="00C42353">
        <w:rPr>
          <w:rFonts w:ascii="Times New Roman" w:eastAsia="Times New Roman" w:hAnsi="Times New Roman" w:cs="Times New Roman"/>
          <w:lang w:eastAsia="en-IN"/>
        </w:rPr>
        <w:t xml:space="preserve"> deep stagflationary shock is also a nightmare scenario for central banks, which will be damned if they react, and damned if they don’t</w:t>
      </w:r>
      <w:r w:rsidR="00E53722">
        <w:rPr>
          <w:rFonts w:ascii="Times New Roman" w:eastAsia="Times New Roman" w:hAnsi="Times New Roman" w:cs="Times New Roman"/>
          <w:lang w:eastAsia="en-IN"/>
        </w:rPr>
        <w:t>.</w:t>
      </w:r>
    </w:p>
    <w:p w14:paraId="02A6F256" w14:textId="77777777" w:rsidR="00E53722" w:rsidRDefault="00E53722" w:rsidP="00AC44D1">
      <w:pPr>
        <w:spacing w:after="0" w:line="360" w:lineRule="auto"/>
        <w:jc w:val="both"/>
        <w:rPr>
          <w:rFonts w:ascii="Times New Roman" w:eastAsia="Times New Roman" w:hAnsi="Times New Roman" w:cs="Times New Roman"/>
          <w:lang w:eastAsia="en-IN"/>
        </w:rPr>
      </w:pPr>
    </w:p>
    <w:p w14:paraId="6DCA0A7E" w14:textId="323F960A" w:rsidR="003503BA" w:rsidRPr="00C42353" w:rsidRDefault="003729A3" w:rsidP="00AC44D1">
      <w:pPr>
        <w:spacing w:after="0" w:line="360" w:lineRule="auto"/>
        <w:jc w:val="both"/>
        <w:rPr>
          <w:rFonts w:ascii="Times New Roman" w:eastAsia="Times New Roman" w:hAnsi="Times New Roman" w:cs="Times New Roman"/>
          <w:lang w:eastAsia="en-IN"/>
        </w:rPr>
      </w:pPr>
      <w:r w:rsidRPr="00C42353">
        <w:rPr>
          <w:rFonts w:ascii="Times New Roman" w:eastAsia="Times New Roman" w:hAnsi="Times New Roman" w:cs="Times New Roman"/>
          <w:lang w:eastAsia="en-IN"/>
        </w:rPr>
        <w:t>Against the backdrop of mounting macroeconomic uncertainties, the real GDP growth for 2022-23 is projected by Monetary Policy Committee (MPC) at 7.8 per cent with Q1:2022-23 at 17.2 per cent; Q2 at 7.0 per cent; Q3 at 4.3 per cent; and Q4:202</w:t>
      </w:r>
      <w:r w:rsidR="003C38EE">
        <w:rPr>
          <w:rFonts w:ascii="Times New Roman" w:eastAsia="Times New Roman" w:hAnsi="Times New Roman" w:cs="Times New Roman"/>
          <w:lang w:eastAsia="en-IN"/>
        </w:rPr>
        <w:t>2-23 at 4.5 per cent (RBI, 2022</w:t>
      </w:r>
      <w:r w:rsidRPr="00C42353">
        <w:rPr>
          <w:rFonts w:ascii="Times New Roman" w:eastAsia="Times New Roman" w:hAnsi="Times New Roman" w:cs="Times New Roman"/>
          <w:lang w:eastAsia="en-IN"/>
        </w:rPr>
        <w:t xml:space="preserve">). </w:t>
      </w:r>
      <w:r w:rsidR="00D84FAB" w:rsidRPr="00C42353">
        <w:rPr>
          <w:rFonts w:ascii="Times New Roman" w:eastAsia="Times New Roman" w:hAnsi="Times New Roman" w:cs="Times New Roman"/>
          <w:lang w:eastAsia="en-IN"/>
        </w:rPr>
        <w:t>The thirty third meeting of the M</w:t>
      </w:r>
      <w:r w:rsidR="003E460C" w:rsidRPr="00C42353">
        <w:rPr>
          <w:rFonts w:ascii="Times New Roman" w:eastAsia="Times New Roman" w:hAnsi="Times New Roman" w:cs="Times New Roman"/>
          <w:lang w:eastAsia="en-IN"/>
        </w:rPr>
        <w:t xml:space="preserve">onetary Policy Committee (MPC) - </w:t>
      </w:r>
      <w:r w:rsidR="00D84FAB" w:rsidRPr="00C42353">
        <w:rPr>
          <w:rFonts w:ascii="Times New Roman" w:eastAsia="Times New Roman" w:hAnsi="Times New Roman" w:cs="Times New Roman"/>
          <w:lang w:eastAsia="en-IN"/>
        </w:rPr>
        <w:t>constituted under section 45ZB of the Reserve Ban</w:t>
      </w:r>
      <w:r w:rsidR="003E460C" w:rsidRPr="00C42353">
        <w:rPr>
          <w:rFonts w:ascii="Times New Roman" w:eastAsia="Times New Roman" w:hAnsi="Times New Roman" w:cs="Times New Roman"/>
          <w:lang w:eastAsia="en-IN"/>
        </w:rPr>
        <w:t xml:space="preserve">k of India Act, 1934 - </w:t>
      </w:r>
      <w:r w:rsidR="00D84FAB" w:rsidRPr="00C42353">
        <w:rPr>
          <w:rFonts w:ascii="Times New Roman" w:eastAsia="Times New Roman" w:hAnsi="Times New Roman" w:cs="Times New Roman"/>
          <w:lang w:eastAsia="en-IN"/>
        </w:rPr>
        <w:t xml:space="preserve">was held from February 8 to 10, 2022. </w:t>
      </w:r>
      <w:r w:rsidR="00660618" w:rsidRPr="00C42353">
        <w:rPr>
          <w:rFonts w:ascii="Times New Roman" w:eastAsia="Times New Roman" w:hAnsi="Times New Roman" w:cs="Times New Roman"/>
          <w:lang w:eastAsia="en-IN"/>
        </w:rPr>
        <w:t>The MPC retained the status quo on repo r</w:t>
      </w:r>
      <w:r w:rsidR="00D84FAB" w:rsidRPr="00C42353">
        <w:rPr>
          <w:rFonts w:ascii="Times New Roman" w:eastAsia="Times New Roman" w:hAnsi="Times New Roman" w:cs="Times New Roman"/>
          <w:lang w:eastAsia="en-IN"/>
        </w:rPr>
        <w:t xml:space="preserve">ate at 4 percent. The reverse repo rate under the Liquidity Adjustment Facility (LAF) also remained at its status quo rate of 3.35 percent. </w:t>
      </w:r>
      <w:r w:rsidR="003C38EE">
        <w:rPr>
          <w:rFonts w:ascii="Times New Roman" w:eastAsia="Times New Roman" w:hAnsi="Times New Roman" w:cs="Times New Roman"/>
          <w:lang w:eastAsia="en-IN"/>
        </w:rPr>
        <w:t>There</w:t>
      </w:r>
      <w:r w:rsidR="00414E1B" w:rsidRPr="00C42353">
        <w:rPr>
          <w:rFonts w:ascii="Times New Roman" w:eastAsia="Times New Roman" w:hAnsi="Times New Roman" w:cs="Times New Roman"/>
          <w:lang w:eastAsia="en-IN"/>
        </w:rPr>
        <w:t xml:space="preserve"> is no formal normalisation </w:t>
      </w:r>
      <w:r w:rsidR="003C38EE">
        <w:rPr>
          <w:rFonts w:ascii="Times New Roman" w:eastAsia="Times New Roman" w:hAnsi="Times New Roman" w:cs="Times New Roman"/>
          <w:lang w:eastAsia="en-IN"/>
        </w:rPr>
        <w:t xml:space="preserve">process </w:t>
      </w:r>
      <w:r w:rsidR="00414E1B" w:rsidRPr="00C42353">
        <w:rPr>
          <w:rFonts w:ascii="Times New Roman" w:eastAsia="Times New Roman" w:hAnsi="Times New Roman" w:cs="Times New Roman"/>
          <w:lang w:eastAsia="en-IN"/>
        </w:rPr>
        <w:t xml:space="preserve">yet, though the cut-off yield rate of variable reverse repo rate (VRRR) has risen to 3.99 per cent. </w:t>
      </w:r>
      <w:r w:rsidR="00D84FAB" w:rsidRPr="00C42353">
        <w:rPr>
          <w:rFonts w:ascii="Times New Roman" w:eastAsia="Times New Roman" w:hAnsi="Times New Roman" w:cs="Times New Roman"/>
          <w:lang w:eastAsia="en-IN"/>
        </w:rPr>
        <w:t xml:space="preserve">The marginal standing facility </w:t>
      </w:r>
      <w:r w:rsidR="00D84FAB" w:rsidRPr="00C42353">
        <w:rPr>
          <w:rFonts w:ascii="Times New Roman" w:eastAsia="Times New Roman" w:hAnsi="Times New Roman" w:cs="Times New Roman"/>
          <w:lang w:eastAsia="en-IN"/>
        </w:rPr>
        <w:lastRenderedPageBreak/>
        <w:t xml:space="preserve">(MSF) rate and the Bank Rate stood at 4.25 percent. The MPC had decided to retain the ‘accommodative stance’ to revive economic growth on a sustained manner and mitigate the impact of COVID-19 on the macro economy. These decisions are in consonance with the objective of achieving the medium-term target for consumer price index (CPI) inflation of 4 percent within a band of +/- 2 percent, while supporting the growth momentum. </w:t>
      </w:r>
    </w:p>
    <w:p w14:paraId="04E8E2D5" w14:textId="77777777" w:rsidR="003503BA" w:rsidRPr="00C42353" w:rsidRDefault="003503BA" w:rsidP="00AC44D1">
      <w:pPr>
        <w:spacing w:after="0" w:line="360" w:lineRule="auto"/>
        <w:jc w:val="both"/>
        <w:rPr>
          <w:rFonts w:ascii="Times New Roman" w:eastAsia="Times New Roman" w:hAnsi="Times New Roman" w:cs="Times New Roman"/>
          <w:lang w:eastAsia="en-IN"/>
        </w:rPr>
      </w:pPr>
    </w:p>
    <w:p w14:paraId="6AF60713" w14:textId="3195B532" w:rsidR="00E510C3" w:rsidRPr="00C42353" w:rsidRDefault="00C570CA" w:rsidP="00AC44D1">
      <w:pPr>
        <w:spacing w:after="0" w:line="360" w:lineRule="auto"/>
        <w:jc w:val="both"/>
        <w:rPr>
          <w:rFonts w:ascii="Times New Roman" w:eastAsia="Times New Roman" w:hAnsi="Times New Roman" w:cs="Times New Roman"/>
          <w:lang w:eastAsia="en-IN"/>
        </w:rPr>
      </w:pPr>
      <w:r w:rsidRPr="00C42353">
        <w:rPr>
          <w:rFonts w:ascii="Times New Roman" w:eastAsia="Times New Roman" w:hAnsi="Times New Roman" w:cs="Times New Roman"/>
          <w:lang w:eastAsia="en-IN"/>
        </w:rPr>
        <w:t xml:space="preserve">The normalisation procedure for the monetary policy stance </w:t>
      </w:r>
      <w:r w:rsidR="00BD38E9" w:rsidRPr="00C42353">
        <w:rPr>
          <w:rFonts w:ascii="Times New Roman" w:eastAsia="Times New Roman" w:hAnsi="Times New Roman" w:cs="Times New Roman"/>
          <w:lang w:eastAsia="en-IN"/>
        </w:rPr>
        <w:t>is crucial for the effective fun</w:t>
      </w:r>
      <w:r w:rsidR="003C38EE">
        <w:rPr>
          <w:rFonts w:ascii="Times New Roman" w:eastAsia="Times New Roman" w:hAnsi="Times New Roman" w:cs="Times New Roman"/>
          <w:lang w:eastAsia="en-IN"/>
        </w:rPr>
        <w:t xml:space="preserve">ctioning of the term structure </w:t>
      </w:r>
      <w:r w:rsidR="00BD38E9" w:rsidRPr="00C42353">
        <w:rPr>
          <w:rFonts w:ascii="Times New Roman" w:eastAsia="Times New Roman" w:hAnsi="Times New Roman" w:cs="Times New Roman"/>
          <w:lang w:eastAsia="en-IN"/>
        </w:rPr>
        <w:t xml:space="preserve">of interest. </w:t>
      </w:r>
      <w:r w:rsidR="003C38EE">
        <w:rPr>
          <w:rFonts w:ascii="Times New Roman" w:eastAsia="Times New Roman" w:hAnsi="Times New Roman" w:cs="Times New Roman"/>
          <w:lang w:eastAsia="en-IN"/>
        </w:rPr>
        <w:t>T</w:t>
      </w:r>
      <w:r w:rsidR="003C38EE" w:rsidRPr="00C42353">
        <w:rPr>
          <w:rFonts w:ascii="Times New Roman" w:eastAsia="Times New Roman" w:hAnsi="Times New Roman" w:cs="Times New Roman"/>
          <w:lang w:eastAsia="en-IN"/>
        </w:rPr>
        <w:t>he term structure of interest rate refers to the link between short term a</w:t>
      </w:r>
      <w:r w:rsidR="003C38EE">
        <w:rPr>
          <w:rFonts w:ascii="Times New Roman" w:eastAsia="Times New Roman" w:hAnsi="Times New Roman" w:cs="Times New Roman"/>
          <w:lang w:eastAsia="en-IN"/>
        </w:rPr>
        <w:t xml:space="preserve">nd long term rates of interest. </w:t>
      </w:r>
      <w:r w:rsidR="00BD38E9" w:rsidRPr="00C42353">
        <w:rPr>
          <w:rFonts w:ascii="Times New Roman" w:eastAsia="Times New Roman" w:hAnsi="Times New Roman" w:cs="Times New Roman"/>
          <w:lang w:eastAsia="en-IN"/>
        </w:rPr>
        <w:t>For instance, the call money market rates are below the repo rate in India. As per the RBI data published on March 4th 2022, the weighted average call money rate is 3.530 percent. The</w:t>
      </w:r>
      <w:r w:rsidR="003503BA" w:rsidRPr="00C42353">
        <w:rPr>
          <w:rFonts w:ascii="Times New Roman" w:eastAsia="Times New Roman" w:hAnsi="Times New Roman" w:cs="Times New Roman"/>
          <w:lang w:eastAsia="en-IN"/>
        </w:rPr>
        <w:t xml:space="preserve"> Treasury-Bill cut off price of 91days</w:t>
      </w:r>
      <w:r w:rsidR="00BD38E9" w:rsidRPr="00C42353">
        <w:rPr>
          <w:rFonts w:ascii="Times New Roman" w:eastAsia="Times New Roman" w:hAnsi="Times New Roman" w:cs="Times New Roman"/>
          <w:lang w:eastAsia="en-IN"/>
        </w:rPr>
        <w:t xml:space="preserve"> is 3.70 per cent. The Treasury Bill cut off price for  </w:t>
      </w:r>
      <w:r w:rsidR="003503BA" w:rsidRPr="00C42353">
        <w:rPr>
          <w:rFonts w:ascii="Times New Roman" w:eastAsia="Times New Roman" w:hAnsi="Times New Roman" w:cs="Times New Roman"/>
          <w:lang w:eastAsia="en-IN"/>
        </w:rPr>
        <w:t>182 d</w:t>
      </w:r>
      <w:r w:rsidR="00BD38E9" w:rsidRPr="00C42353">
        <w:rPr>
          <w:rFonts w:ascii="Times New Roman" w:eastAsia="Times New Roman" w:hAnsi="Times New Roman" w:cs="Times New Roman"/>
          <w:lang w:eastAsia="en-IN"/>
        </w:rPr>
        <w:t>ays an</w:t>
      </w:r>
      <w:r w:rsidR="003503BA" w:rsidRPr="00C42353">
        <w:rPr>
          <w:rFonts w:ascii="Times New Roman" w:eastAsia="Times New Roman" w:hAnsi="Times New Roman" w:cs="Times New Roman"/>
          <w:lang w:eastAsia="en-IN"/>
        </w:rPr>
        <w:t xml:space="preserve">d 364 days was 4.19 per cent and 4.52 per cent respectively, as per March 4th, 2022. </w:t>
      </w:r>
      <w:r w:rsidR="001F1D47" w:rsidRPr="00C42353">
        <w:rPr>
          <w:rFonts w:ascii="Times New Roman" w:eastAsia="Times New Roman" w:hAnsi="Times New Roman" w:cs="Times New Roman"/>
          <w:lang w:eastAsia="en-IN"/>
        </w:rPr>
        <w:t>On the long term rate of interest, t</w:t>
      </w:r>
      <w:r w:rsidR="003503BA" w:rsidRPr="00C42353">
        <w:rPr>
          <w:rFonts w:ascii="Times New Roman" w:eastAsia="Times New Roman" w:hAnsi="Times New Roman" w:cs="Times New Roman"/>
          <w:lang w:eastAsia="en-IN"/>
        </w:rPr>
        <w:t xml:space="preserve">he average yield on 10-year government bond increased to 6.76 percent in March 4th, 2022. </w:t>
      </w:r>
    </w:p>
    <w:p w14:paraId="2C8E41FC" w14:textId="77777777" w:rsidR="00697CA5" w:rsidRPr="00C42353" w:rsidRDefault="00697CA5" w:rsidP="00AC44D1">
      <w:pPr>
        <w:spacing w:after="0" w:line="360" w:lineRule="auto"/>
        <w:jc w:val="both"/>
        <w:rPr>
          <w:rFonts w:ascii="Times New Roman" w:eastAsia="Times New Roman" w:hAnsi="Times New Roman" w:cs="Times New Roman"/>
          <w:lang w:eastAsia="en-IN"/>
        </w:rPr>
      </w:pPr>
    </w:p>
    <w:p w14:paraId="00D138FC" w14:textId="72157BFB" w:rsidR="008C0BAC" w:rsidRPr="00C42353" w:rsidRDefault="00697CA5" w:rsidP="00AC44D1">
      <w:pPr>
        <w:spacing w:after="0" w:line="360" w:lineRule="auto"/>
        <w:jc w:val="both"/>
        <w:rPr>
          <w:rFonts w:ascii="Times New Roman" w:eastAsia="Times New Roman" w:hAnsi="Times New Roman" w:cs="Times New Roman"/>
          <w:lang w:eastAsia="en-IN"/>
        </w:rPr>
      </w:pPr>
      <w:r w:rsidRPr="00C42353">
        <w:rPr>
          <w:rFonts w:ascii="Times New Roman" w:eastAsia="Times New Roman" w:hAnsi="Times New Roman" w:cs="Times New Roman"/>
          <w:lang w:eastAsia="en-IN"/>
        </w:rPr>
        <w:t xml:space="preserve">There is mounting pressure on RBI to increase the policy rates due to inflationary pressures and the instability in global financial markets </w:t>
      </w:r>
      <w:r w:rsidR="002F5927" w:rsidRPr="00C42353">
        <w:rPr>
          <w:rFonts w:ascii="Times New Roman" w:eastAsia="Times New Roman" w:hAnsi="Times New Roman" w:cs="Times New Roman"/>
          <w:lang w:eastAsia="en-IN"/>
        </w:rPr>
        <w:t>(</w:t>
      </w:r>
      <w:r w:rsidRPr="00C42353">
        <w:rPr>
          <w:rFonts w:ascii="Times New Roman" w:eastAsia="Times New Roman" w:hAnsi="Times New Roman" w:cs="Times New Roman"/>
          <w:lang w:eastAsia="en-IN"/>
        </w:rPr>
        <w:t>due to impending taper tantrums and the plausible rise in the policy rates by US Federal Reserve</w:t>
      </w:r>
      <w:r w:rsidR="002F5927" w:rsidRPr="00C42353">
        <w:rPr>
          <w:rFonts w:ascii="Times New Roman" w:eastAsia="Times New Roman" w:hAnsi="Times New Roman" w:cs="Times New Roman"/>
          <w:lang w:eastAsia="en-IN"/>
        </w:rPr>
        <w:t>) which can trigger capital flight</w:t>
      </w:r>
      <w:r w:rsidRPr="00C42353">
        <w:rPr>
          <w:rFonts w:ascii="Times New Roman" w:eastAsia="Times New Roman" w:hAnsi="Times New Roman" w:cs="Times New Roman"/>
          <w:lang w:eastAsia="en-IN"/>
        </w:rPr>
        <w:t xml:space="preserve">. </w:t>
      </w:r>
      <w:r w:rsidR="00FC68F7" w:rsidRPr="00C42353">
        <w:rPr>
          <w:rFonts w:ascii="Times New Roman" w:eastAsia="Times New Roman" w:hAnsi="Times New Roman" w:cs="Times New Roman"/>
          <w:lang w:eastAsia="en-IN"/>
        </w:rPr>
        <w:t xml:space="preserve">In India, </w:t>
      </w:r>
      <w:r w:rsidR="00CD27AF" w:rsidRPr="00C42353">
        <w:rPr>
          <w:rFonts w:ascii="Times New Roman" w:eastAsia="Times New Roman" w:hAnsi="Times New Roman" w:cs="Times New Roman"/>
          <w:lang w:eastAsia="en-IN"/>
        </w:rPr>
        <w:t>the foreign exchange reserves increased by US$ 55 billion in 2021-22 (up to February 4, 2022) to US$ 632 billion</w:t>
      </w:r>
      <w:r w:rsidR="000618C1" w:rsidRPr="00C42353">
        <w:rPr>
          <w:rFonts w:ascii="Times New Roman" w:eastAsia="Times New Roman" w:hAnsi="Times New Roman" w:cs="Times New Roman"/>
          <w:lang w:eastAsia="en-IN"/>
        </w:rPr>
        <w:t xml:space="preserve">. Correspondingly, the </w:t>
      </w:r>
      <w:r w:rsidR="00BC11F4" w:rsidRPr="00C42353">
        <w:rPr>
          <w:rFonts w:ascii="Times New Roman" w:eastAsia="Times New Roman" w:hAnsi="Times New Roman" w:cs="Times New Roman"/>
          <w:lang w:eastAsia="en-IN"/>
        </w:rPr>
        <w:t xml:space="preserve"> </w:t>
      </w:r>
      <w:r w:rsidR="000618C1" w:rsidRPr="00C42353">
        <w:rPr>
          <w:rFonts w:ascii="Times New Roman" w:eastAsia="Times New Roman" w:hAnsi="Times New Roman" w:cs="Times New Roman"/>
          <w:lang w:eastAsia="en-IN"/>
        </w:rPr>
        <w:t>r</w:t>
      </w:r>
      <w:r w:rsidR="00FC68F7" w:rsidRPr="00C42353">
        <w:rPr>
          <w:rFonts w:ascii="Times New Roman" w:eastAsia="Times New Roman" w:hAnsi="Times New Roman" w:cs="Times New Roman"/>
          <w:lang w:eastAsia="en-IN"/>
        </w:rPr>
        <w:t xml:space="preserve">eserve money (adjusted for the first-round impact of the change in the cash reserve ratio) expanded by 8.4 per cent (y-o-y) on February 4, 2022. In 2022 February, the growth rate of reserve money was 13.7 per cent. The </w:t>
      </w:r>
      <w:r w:rsidR="000618C1" w:rsidRPr="00C42353">
        <w:rPr>
          <w:rFonts w:ascii="Times New Roman" w:eastAsia="Times New Roman" w:hAnsi="Times New Roman" w:cs="Times New Roman"/>
          <w:lang w:eastAsia="en-IN"/>
        </w:rPr>
        <w:t>net Foreign Exchange Reserves (66.80 per cent) constitutes the major source</w:t>
      </w:r>
      <w:r w:rsidR="00FC68F7" w:rsidRPr="00C42353">
        <w:rPr>
          <w:rFonts w:ascii="Times New Roman" w:eastAsia="Times New Roman" w:hAnsi="Times New Roman" w:cs="Times New Roman"/>
          <w:lang w:eastAsia="en-IN"/>
        </w:rPr>
        <w:t xml:space="preserve"> of reserve money </w:t>
      </w:r>
      <w:r w:rsidR="000618C1" w:rsidRPr="00C42353">
        <w:rPr>
          <w:rFonts w:ascii="Times New Roman" w:eastAsia="Times New Roman" w:hAnsi="Times New Roman" w:cs="Times New Roman"/>
          <w:lang w:eastAsia="en-IN"/>
        </w:rPr>
        <w:t>while the other components of the reserve money are the</w:t>
      </w:r>
      <w:r w:rsidR="00FC68F7" w:rsidRPr="00C42353">
        <w:rPr>
          <w:rFonts w:ascii="Times New Roman" w:eastAsia="Times New Roman" w:hAnsi="Times New Roman" w:cs="Times New Roman"/>
          <w:lang w:eastAsia="en-IN"/>
        </w:rPr>
        <w:t xml:space="preserve"> net RBI credit to government (34.77 per cent), and government’s currency liabilities with the public (0.22 per cent) .  </w:t>
      </w:r>
      <w:r w:rsidR="00D1139E">
        <w:rPr>
          <w:rFonts w:ascii="Times New Roman" w:eastAsia="Times New Roman" w:hAnsi="Times New Roman" w:cs="Times New Roman"/>
          <w:lang w:eastAsia="en-IN"/>
        </w:rPr>
        <w:t xml:space="preserve">The change in net RBI credit to the government </w:t>
      </w:r>
      <w:r w:rsidR="001A0D89">
        <w:rPr>
          <w:rFonts w:ascii="Times New Roman" w:eastAsia="Times New Roman" w:hAnsi="Times New Roman" w:cs="Times New Roman"/>
          <w:lang w:eastAsia="en-IN"/>
        </w:rPr>
        <w:t xml:space="preserve">to GDP </w:t>
      </w:r>
      <w:r w:rsidR="00D1139E">
        <w:rPr>
          <w:rFonts w:ascii="Times New Roman" w:eastAsia="Times New Roman" w:hAnsi="Times New Roman" w:cs="Times New Roman"/>
          <w:lang w:eastAsia="en-IN"/>
        </w:rPr>
        <w:t xml:space="preserve">is </w:t>
      </w:r>
      <w:r w:rsidR="001A0D89">
        <w:rPr>
          <w:rFonts w:ascii="Times New Roman" w:eastAsia="Times New Roman" w:hAnsi="Times New Roman" w:cs="Times New Roman"/>
          <w:lang w:eastAsia="en-IN"/>
        </w:rPr>
        <w:t xml:space="preserve">termed as </w:t>
      </w:r>
      <w:r w:rsidR="00D1139E">
        <w:rPr>
          <w:rFonts w:ascii="Times New Roman" w:eastAsia="Times New Roman" w:hAnsi="Times New Roman" w:cs="Times New Roman"/>
          <w:lang w:eastAsia="en-IN"/>
        </w:rPr>
        <w:t xml:space="preserve">seigniorage. In India, over the years, the seigniorage financing of deficit has been controlled due to inflationary pressures. In the next section, the levels and financing of deficit in India against the backdrop of Union Budget 2022 </w:t>
      </w:r>
      <w:r w:rsidR="001A0D89">
        <w:rPr>
          <w:rFonts w:ascii="Times New Roman" w:eastAsia="Times New Roman" w:hAnsi="Times New Roman" w:cs="Times New Roman"/>
          <w:lang w:eastAsia="en-IN"/>
        </w:rPr>
        <w:t>are</w:t>
      </w:r>
      <w:r w:rsidR="00D1139E">
        <w:rPr>
          <w:rFonts w:ascii="Times New Roman" w:eastAsia="Times New Roman" w:hAnsi="Times New Roman" w:cs="Times New Roman"/>
          <w:lang w:eastAsia="en-IN"/>
        </w:rPr>
        <w:t xml:space="preserve"> discussed. </w:t>
      </w:r>
    </w:p>
    <w:p w14:paraId="59964E49" w14:textId="77777777" w:rsidR="008C0BAC" w:rsidRPr="00C42353" w:rsidRDefault="008C0BAC" w:rsidP="00AC44D1">
      <w:pPr>
        <w:spacing w:after="0" w:line="360" w:lineRule="auto"/>
        <w:jc w:val="both"/>
        <w:rPr>
          <w:rFonts w:ascii="Times New Roman" w:eastAsia="Times New Roman" w:hAnsi="Times New Roman" w:cs="Times New Roman"/>
          <w:lang w:eastAsia="en-IN"/>
        </w:rPr>
      </w:pPr>
    </w:p>
    <w:p w14:paraId="688623E8" w14:textId="54E07699" w:rsidR="00697CA5" w:rsidRPr="00C42353" w:rsidRDefault="00697CA5" w:rsidP="00AC44D1">
      <w:pPr>
        <w:spacing w:after="0" w:line="360" w:lineRule="auto"/>
        <w:jc w:val="both"/>
        <w:rPr>
          <w:rFonts w:ascii="Times New Roman" w:eastAsia="Times New Roman" w:hAnsi="Times New Roman" w:cs="Times New Roman"/>
          <w:lang w:eastAsia="en-IN"/>
        </w:rPr>
      </w:pPr>
    </w:p>
    <w:p w14:paraId="3BFEDC5A" w14:textId="77777777" w:rsidR="00F079EE" w:rsidRDefault="00F079EE" w:rsidP="00AC44D1">
      <w:pPr>
        <w:spacing w:after="0" w:line="360" w:lineRule="auto"/>
        <w:jc w:val="both"/>
        <w:rPr>
          <w:rFonts w:ascii="Times New Roman" w:eastAsia="Times New Roman" w:hAnsi="Times New Roman" w:cs="Times New Roman"/>
          <w:lang w:eastAsia="en-IN"/>
        </w:rPr>
      </w:pPr>
    </w:p>
    <w:p w14:paraId="5DD616EF" w14:textId="77777777" w:rsidR="005A1CE3" w:rsidRDefault="005A1CE3" w:rsidP="00AC44D1">
      <w:pPr>
        <w:spacing w:after="0" w:line="360" w:lineRule="auto"/>
        <w:jc w:val="both"/>
        <w:rPr>
          <w:rFonts w:ascii="Times New Roman" w:eastAsia="Times New Roman" w:hAnsi="Times New Roman" w:cs="Times New Roman"/>
          <w:lang w:eastAsia="en-IN"/>
        </w:rPr>
      </w:pPr>
    </w:p>
    <w:p w14:paraId="793AAA4F" w14:textId="77777777" w:rsidR="005A1CE3" w:rsidRDefault="005A1CE3" w:rsidP="00AC44D1">
      <w:pPr>
        <w:spacing w:after="0" w:line="360" w:lineRule="auto"/>
        <w:jc w:val="both"/>
        <w:rPr>
          <w:rFonts w:ascii="Times New Roman" w:eastAsia="Times New Roman" w:hAnsi="Times New Roman" w:cs="Times New Roman"/>
          <w:lang w:eastAsia="en-IN"/>
        </w:rPr>
      </w:pPr>
    </w:p>
    <w:p w14:paraId="5AA49095" w14:textId="77777777" w:rsidR="005A1CE3" w:rsidRDefault="005A1CE3" w:rsidP="00AC44D1">
      <w:pPr>
        <w:spacing w:after="0" w:line="360" w:lineRule="auto"/>
        <w:jc w:val="both"/>
        <w:rPr>
          <w:rFonts w:ascii="Times New Roman" w:eastAsia="Times New Roman" w:hAnsi="Times New Roman" w:cs="Times New Roman"/>
          <w:lang w:eastAsia="en-IN"/>
        </w:rPr>
      </w:pPr>
    </w:p>
    <w:p w14:paraId="6D58DDC8" w14:textId="77777777" w:rsidR="00AB66C1" w:rsidRDefault="00AB66C1" w:rsidP="00AC44D1">
      <w:pPr>
        <w:spacing w:after="0" w:line="360" w:lineRule="auto"/>
        <w:jc w:val="both"/>
        <w:rPr>
          <w:rFonts w:ascii="Times New Roman" w:eastAsia="Times New Roman" w:hAnsi="Times New Roman" w:cs="Times New Roman"/>
          <w:lang w:eastAsia="en-IN"/>
        </w:rPr>
      </w:pPr>
    </w:p>
    <w:p w14:paraId="3D4241D2" w14:textId="77777777" w:rsidR="001A0D89" w:rsidRPr="00C42353" w:rsidRDefault="001A0D89" w:rsidP="00AC44D1">
      <w:pPr>
        <w:spacing w:after="0" w:line="360" w:lineRule="auto"/>
        <w:jc w:val="both"/>
        <w:rPr>
          <w:rFonts w:ascii="Times New Roman" w:eastAsia="Times New Roman" w:hAnsi="Times New Roman" w:cs="Times New Roman"/>
          <w:lang w:eastAsia="en-IN"/>
        </w:rPr>
      </w:pPr>
    </w:p>
    <w:p w14:paraId="3B584828" w14:textId="62DE041D" w:rsidR="00F079EE" w:rsidRPr="00B53E19" w:rsidRDefault="00925AEC" w:rsidP="00AC44D1">
      <w:pPr>
        <w:pStyle w:val="ListParagraph"/>
        <w:numPr>
          <w:ilvl w:val="0"/>
          <w:numId w:val="1"/>
        </w:numPr>
        <w:spacing w:after="0" w:line="360" w:lineRule="auto"/>
        <w:jc w:val="both"/>
        <w:rPr>
          <w:rFonts w:ascii="Times New Roman" w:eastAsia="Times New Roman" w:hAnsi="Times New Roman" w:cs="Times New Roman"/>
          <w:b/>
          <w:lang w:eastAsia="en-IN"/>
        </w:rPr>
      </w:pPr>
      <w:r>
        <w:rPr>
          <w:rFonts w:ascii="Times New Roman" w:eastAsia="Times New Roman" w:hAnsi="Times New Roman" w:cs="Times New Roman"/>
          <w:b/>
          <w:lang w:eastAsia="en-IN"/>
        </w:rPr>
        <w:lastRenderedPageBreak/>
        <w:t xml:space="preserve">Fiscal Dominance : The </w:t>
      </w:r>
      <w:r w:rsidR="00F079EE" w:rsidRPr="00B53E19">
        <w:rPr>
          <w:rFonts w:ascii="Times New Roman" w:eastAsia="Times New Roman" w:hAnsi="Times New Roman" w:cs="Times New Roman"/>
          <w:b/>
          <w:lang w:eastAsia="en-IN"/>
        </w:rPr>
        <w:t>Macro-fiscal Framework of Union Budget 2022-23</w:t>
      </w:r>
    </w:p>
    <w:p w14:paraId="2183AADD" w14:textId="77777777" w:rsidR="00D84FAB" w:rsidRPr="00B53E19" w:rsidRDefault="00D84FAB" w:rsidP="00AC44D1">
      <w:pPr>
        <w:spacing w:after="0" w:line="360" w:lineRule="auto"/>
        <w:jc w:val="both"/>
        <w:rPr>
          <w:rFonts w:ascii="Times New Roman" w:eastAsia="Times New Roman" w:hAnsi="Times New Roman" w:cs="Times New Roman"/>
          <w:lang w:eastAsia="en-IN"/>
        </w:rPr>
      </w:pPr>
    </w:p>
    <w:p w14:paraId="035D130C" w14:textId="120F7451" w:rsidR="00C55055" w:rsidRPr="00047871" w:rsidRDefault="00047871" w:rsidP="00047871">
      <w:pPr>
        <w:spacing w:after="0" w:line="360" w:lineRule="auto"/>
        <w:jc w:val="both"/>
        <w:rPr>
          <w:rFonts w:ascii="Times New Roman" w:eastAsia="Times New Roman" w:hAnsi="Times New Roman" w:cs="Times New Roman"/>
          <w:sz w:val="24"/>
          <w:szCs w:val="24"/>
          <w:lang w:eastAsia="en-IN"/>
        </w:rPr>
      </w:pPr>
      <w:r w:rsidRPr="00047871">
        <w:rPr>
          <w:rFonts w:ascii="Times New Roman" w:eastAsia="Times New Roman" w:hAnsi="Times New Roman" w:cs="Times New Roman"/>
          <w:sz w:val="24"/>
          <w:szCs w:val="24"/>
          <w:lang w:eastAsia="en-IN"/>
        </w:rPr>
        <w:t xml:space="preserve">While </w:t>
      </w:r>
      <w:r w:rsidR="00872564" w:rsidRPr="00047871">
        <w:rPr>
          <w:rFonts w:ascii="Times New Roman" w:eastAsia="Times New Roman" w:hAnsi="Times New Roman" w:cs="Times New Roman"/>
          <w:sz w:val="24"/>
          <w:szCs w:val="24"/>
          <w:lang w:eastAsia="en-IN"/>
        </w:rPr>
        <w:t xml:space="preserve"> monetary policy</w:t>
      </w:r>
      <w:r w:rsidRPr="00047871">
        <w:rPr>
          <w:rFonts w:ascii="Times New Roman" w:eastAsia="Times New Roman" w:hAnsi="Times New Roman" w:cs="Times New Roman"/>
          <w:sz w:val="24"/>
          <w:szCs w:val="24"/>
          <w:lang w:eastAsia="en-IN"/>
        </w:rPr>
        <w:t xml:space="preserve"> has limitations to trigger the economy</w:t>
      </w:r>
      <w:r w:rsidR="00872564" w:rsidRPr="00047871">
        <w:rPr>
          <w:rFonts w:ascii="Times New Roman" w:eastAsia="Times New Roman" w:hAnsi="Times New Roman" w:cs="Times New Roman"/>
          <w:sz w:val="24"/>
          <w:szCs w:val="24"/>
          <w:lang w:eastAsia="en-IN"/>
        </w:rPr>
        <w:t xml:space="preserve">, fiscal dominance is crucial for economic growth recovery. The Union Budget 2022-23 has </w:t>
      </w:r>
      <w:r w:rsidR="00F079EE" w:rsidRPr="00047871">
        <w:rPr>
          <w:rFonts w:ascii="Times New Roman" w:eastAsia="Times New Roman" w:hAnsi="Times New Roman" w:cs="Times New Roman"/>
          <w:sz w:val="24"/>
          <w:szCs w:val="24"/>
          <w:lang w:eastAsia="en-IN"/>
        </w:rPr>
        <w:t xml:space="preserve">predominantly </w:t>
      </w:r>
      <w:r w:rsidR="00872564" w:rsidRPr="00047871">
        <w:rPr>
          <w:rFonts w:ascii="Times New Roman" w:eastAsia="Times New Roman" w:hAnsi="Times New Roman" w:cs="Times New Roman"/>
          <w:sz w:val="24"/>
          <w:szCs w:val="24"/>
          <w:lang w:eastAsia="en-IN"/>
        </w:rPr>
        <w:t xml:space="preserve">focussed on the public infrastructure investment for the sustained growth recovery, through crowding-in of private corporate investment. </w:t>
      </w:r>
      <w:r w:rsidR="00C55055" w:rsidRPr="00047871">
        <w:rPr>
          <w:rFonts w:ascii="Times New Roman" w:hAnsi="Times New Roman" w:cs="Times New Roman"/>
          <w:sz w:val="24"/>
          <w:szCs w:val="24"/>
        </w:rPr>
        <w:t>The taxonomy of crowding out—real and financial—has been treated in detail in theoretical literature (</w:t>
      </w:r>
      <w:r>
        <w:rPr>
          <w:rFonts w:ascii="Times New Roman" w:hAnsi="Times New Roman" w:cs="Times New Roman"/>
          <w:sz w:val="24"/>
          <w:szCs w:val="24"/>
        </w:rPr>
        <w:t>Chakraborty, 2016</w:t>
      </w:r>
      <w:r w:rsidR="00C55055" w:rsidRPr="00047871">
        <w:rPr>
          <w:rFonts w:ascii="Times New Roman" w:hAnsi="Times New Roman" w:cs="Times New Roman"/>
          <w:sz w:val="24"/>
          <w:szCs w:val="24"/>
        </w:rPr>
        <w:t xml:space="preserve">). The </w:t>
      </w:r>
      <w:r w:rsidR="00C55055" w:rsidRPr="00047871">
        <w:rPr>
          <w:rFonts w:ascii="Times New Roman" w:hAnsi="Times New Roman" w:cs="Times New Roman"/>
          <w:i/>
          <w:iCs/>
          <w:sz w:val="24"/>
          <w:szCs w:val="24"/>
        </w:rPr>
        <w:t xml:space="preserve">real </w:t>
      </w:r>
      <w:r w:rsidR="00C55055" w:rsidRPr="00047871">
        <w:rPr>
          <w:rFonts w:ascii="Times New Roman" w:hAnsi="Times New Roman" w:cs="Times New Roman"/>
          <w:sz w:val="24"/>
          <w:szCs w:val="24"/>
        </w:rPr>
        <w:t xml:space="preserve">(direct) crowding out occurs when the increase in public investment displaces private capital formation broadly on a </w:t>
      </w:r>
      <w:r w:rsidR="00C55055" w:rsidRPr="00047871">
        <w:rPr>
          <w:rFonts w:ascii="Times New Roman" w:hAnsi="Times New Roman" w:cs="Times New Roman"/>
          <w:i/>
          <w:iCs/>
          <w:sz w:val="24"/>
          <w:szCs w:val="24"/>
        </w:rPr>
        <w:t xml:space="preserve">dollar-for-dollar </w:t>
      </w:r>
      <w:r w:rsidR="00C55055" w:rsidRPr="00047871">
        <w:rPr>
          <w:rFonts w:ascii="Times New Roman" w:hAnsi="Times New Roman" w:cs="Times New Roman"/>
          <w:sz w:val="24"/>
          <w:szCs w:val="24"/>
        </w:rPr>
        <w:t xml:space="preserve">basis, irrespective of the mode of financing the fiscal deficit. The </w:t>
      </w:r>
      <w:r w:rsidR="00C55055" w:rsidRPr="00047871">
        <w:rPr>
          <w:rFonts w:ascii="Times New Roman" w:hAnsi="Times New Roman" w:cs="Times New Roman"/>
          <w:i/>
          <w:iCs/>
          <w:sz w:val="24"/>
          <w:szCs w:val="24"/>
        </w:rPr>
        <w:t xml:space="preserve">financial crowding out </w:t>
      </w:r>
      <w:r w:rsidR="00C55055" w:rsidRPr="00047871">
        <w:rPr>
          <w:rFonts w:ascii="Times New Roman" w:hAnsi="Times New Roman" w:cs="Times New Roman"/>
          <w:sz w:val="24"/>
          <w:szCs w:val="24"/>
        </w:rPr>
        <w:t>is the phenomenon of partial loss of private capital formation, due to the increase in the interest rates emanating from the preemption of real and financial resources by the government through bond financing of fiscal deficit</w:t>
      </w:r>
      <w:r>
        <w:rPr>
          <w:rFonts w:ascii="Times New Roman" w:hAnsi="Times New Roman" w:cs="Times New Roman"/>
          <w:sz w:val="24"/>
          <w:szCs w:val="24"/>
        </w:rPr>
        <w:t xml:space="preserve">. </w:t>
      </w:r>
      <w:r w:rsidR="00846B2F" w:rsidRPr="00047871">
        <w:rPr>
          <w:rFonts w:ascii="Times New Roman" w:hAnsi="Times New Roman" w:cs="Times New Roman"/>
          <w:sz w:val="24"/>
          <w:szCs w:val="24"/>
        </w:rPr>
        <w:t>The Finance Minister, from a position of strength</w:t>
      </w:r>
      <w:r w:rsidR="00A27452">
        <w:rPr>
          <w:rFonts w:ascii="Times New Roman" w:hAnsi="Times New Roman" w:cs="Times New Roman"/>
          <w:sz w:val="24"/>
          <w:szCs w:val="24"/>
        </w:rPr>
        <w:t>,</w:t>
      </w:r>
      <w:r w:rsidR="00846B2F" w:rsidRPr="00047871">
        <w:rPr>
          <w:rFonts w:ascii="Times New Roman" w:hAnsi="Times New Roman" w:cs="Times New Roman"/>
          <w:sz w:val="24"/>
          <w:szCs w:val="24"/>
        </w:rPr>
        <w:t xml:space="preserve"> refuted these neoclassical arguments of crowding –out and </w:t>
      </w:r>
      <w:r w:rsidR="00B717C7" w:rsidRPr="00047871">
        <w:rPr>
          <w:rFonts w:ascii="Times New Roman" w:hAnsi="Times New Roman" w:cs="Times New Roman"/>
          <w:sz w:val="24"/>
          <w:szCs w:val="24"/>
        </w:rPr>
        <w:t xml:space="preserve">she </w:t>
      </w:r>
      <w:r w:rsidR="00846B2F" w:rsidRPr="00047871">
        <w:rPr>
          <w:rFonts w:ascii="Times New Roman" w:hAnsi="Times New Roman" w:cs="Times New Roman"/>
          <w:sz w:val="24"/>
          <w:szCs w:val="24"/>
        </w:rPr>
        <w:t xml:space="preserve">emphasized the significance of “crowding-in” effects of public investment on private corporate investment in the context of emerging economies like India. </w:t>
      </w:r>
      <w:r>
        <w:rPr>
          <w:rFonts w:ascii="Times New Roman" w:hAnsi="Times New Roman" w:cs="Times New Roman"/>
          <w:sz w:val="24"/>
          <w:szCs w:val="24"/>
        </w:rPr>
        <w:t xml:space="preserve">The empirical evidence </w:t>
      </w:r>
      <w:r w:rsidR="00DC6A7A">
        <w:rPr>
          <w:rFonts w:ascii="Times New Roman" w:hAnsi="Times New Roman" w:cs="Times New Roman"/>
          <w:sz w:val="24"/>
          <w:szCs w:val="24"/>
        </w:rPr>
        <w:t xml:space="preserve">also supports </w:t>
      </w:r>
      <w:r>
        <w:rPr>
          <w:rFonts w:ascii="Times New Roman" w:hAnsi="Times New Roman" w:cs="Times New Roman"/>
          <w:sz w:val="24"/>
          <w:szCs w:val="24"/>
        </w:rPr>
        <w:t xml:space="preserve">crowding –in </w:t>
      </w:r>
      <w:r w:rsidR="00DC6A7A">
        <w:rPr>
          <w:rFonts w:ascii="Times New Roman" w:hAnsi="Times New Roman" w:cs="Times New Roman"/>
          <w:sz w:val="24"/>
          <w:szCs w:val="24"/>
        </w:rPr>
        <w:t xml:space="preserve">rather than crowding-out </w:t>
      </w:r>
      <w:r>
        <w:rPr>
          <w:rFonts w:ascii="Times New Roman" w:hAnsi="Times New Roman" w:cs="Times New Roman"/>
          <w:sz w:val="24"/>
          <w:szCs w:val="24"/>
        </w:rPr>
        <w:t xml:space="preserve">effects of public investment </w:t>
      </w:r>
      <w:r w:rsidR="00DC6A7A">
        <w:rPr>
          <w:rFonts w:ascii="Times New Roman" w:hAnsi="Times New Roman" w:cs="Times New Roman"/>
          <w:sz w:val="24"/>
          <w:szCs w:val="24"/>
        </w:rPr>
        <w:t>in the context of India</w:t>
      </w:r>
      <w:r w:rsidR="00D21331">
        <w:rPr>
          <w:rFonts w:ascii="Times New Roman" w:hAnsi="Times New Roman" w:cs="Times New Roman"/>
          <w:sz w:val="24"/>
          <w:szCs w:val="24"/>
        </w:rPr>
        <w:t xml:space="preserve"> (Chakraborty, 2016; Vinod, Karu</w:t>
      </w:r>
      <w:r w:rsidR="00BD2729">
        <w:rPr>
          <w:rFonts w:ascii="Times New Roman" w:hAnsi="Times New Roman" w:cs="Times New Roman"/>
          <w:sz w:val="24"/>
          <w:szCs w:val="24"/>
        </w:rPr>
        <w:t>n and Chakraborty, 2020</w:t>
      </w:r>
      <w:r w:rsidR="00DC6A7A">
        <w:rPr>
          <w:rFonts w:ascii="Times New Roman" w:hAnsi="Times New Roman" w:cs="Times New Roman"/>
          <w:sz w:val="24"/>
          <w:szCs w:val="24"/>
        </w:rPr>
        <w:t xml:space="preserve">). </w:t>
      </w:r>
      <w:r w:rsidR="00B717C7" w:rsidRPr="00047871">
        <w:rPr>
          <w:rFonts w:ascii="Times New Roman" w:hAnsi="Times New Roman" w:cs="Times New Roman"/>
          <w:sz w:val="24"/>
          <w:szCs w:val="24"/>
        </w:rPr>
        <w:t xml:space="preserve">The mechanism through which public investment crowds-in private investment is through the multipliers related to capital infrastructure, and the Union Budget 2022-23 has given emphasis to this narrative.  </w:t>
      </w:r>
    </w:p>
    <w:p w14:paraId="13E4035C" w14:textId="4325E8A4" w:rsidR="008641CC" w:rsidRPr="00A27452" w:rsidRDefault="00D824E2" w:rsidP="00A27452">
      <w:pPr>
        <w:pStyle w:val="NormalWeb"/>
        <w:spacing w:line="360" w:lineRule="auto"/>
        <w:jc w:val="both"/>
      </w:pPr>
      <w:r w:rsidRPr="00047871">
        <w:t>In Unio</w:t>
      </w:r>
      <w:r w:rsidR="00C54118" w:rsidRPr="00047871">
        <w:t xml:space="preserve">n Budget 2022-23, the Government has increased the capital spending to a record high of 2.9 per cent of GDP. However, </w:t>
      </w:r>
      <w:r w:rsidR="00236F81" w:rsidRPr="00047871">
        <w:t xml:space="preserve">the fiscal deficit to GDP is 6.9 per cent in 2021-22 RE as compared to the pegged 6.8 per cent in 2021-22 BE. The fiscal deficit-GDP ratio was 9.2 per cent in 2020-21. High fiscal deficit-GDP ratio of 9.5 per cent of GDP in the RE of 2021-22 against the pegged 3.5 per cent in 2021-22 BE was announced against the backdrop of macroeconomic uncertainty due to covid-19 pandemic. However, an excessive deficit procedure roadmap has also been announced to bring down the fiscal deficit to GDP ratio to 4.5 per cent by financial year (FY) 2025-26. </w:t>
      </w:r>
      <w:r w:rsidR="00055E4B" w:rsidRPr="00047871">
        <w:t xml:space="preserve">The revenue deficit GDP ratio is </w:t>
      </w:r>
      <w:r w:rsidR="00AE65A9" w:rsidRPr="00047871">
        <w:t>3.8 per cent</w:t>
      </w:r>
      <w:r w:rsidR="00055E4B" w:rsidRPr="00047871">
        <w:t xml:space="preserve"> in 2022-23 BE, as against </w:t>
      </w:r>
      <w:r w:rsidR="00AE65A9" w:rsidRPr="00047871">
        <w:t xml:space="preserve">4.7 per cent </w:t>
      </w:r>
      <w:r w:rsidR="00055E4B" w:rsidRPr="00047871">
        <w:t>in 2021-22 RE</w:t>
      </w:r>
      <w:r w:rsidR="00A27452">
        <w:t xml:space="preserve"> (Table 1</w:t>
      </w:r>
      <w:r w:rsidR="00D146E3" w:rsidRPr="00047871">
        <w:t>)</w:t>
      </w:r>
      <w:r w:rsidR="00055E4B" w:rsidRPr="00047871">
        <w:t>.</w:t>
      </w:r>
      <w:r w:rsidR="00D146E3" w:rsidRPr="00047871">
        <w:t xml:space="preserve"> In 2020-21 Actuals, revenue deficit to GDP ratio was 7.3 per cent. In the times of pandemic, the high revenue deficit </w:t>
      </w:r>
      <w:r w:rsidR="00F974C2" w:rsidRPr="00047871">
        <w:t>is</w:t>
      </w:r>
      <w:r w:rsidR="00D146E3" w:rsidRPr="00047871">
        <w:t xml:space="preserve"> crucial for economic growth recovery. </w:t>
      </w:r>
      <w:r w:rsidR="00F974C2" w:rsidRPr="00047871">
        <w:t xml:space="preserve">The “golden rule” of Fiscal Responsibility and Budget Management (FRBM) was to phase out the revenue deficit. </w:t>
      </w:r>
      <w:r w:rsidR="009C2404" w:rsidRPr="00047871">
        <w:t>However,</w:t>
      </w:r>
      <w:r w:rsidR="00F974C2" w:rsidRPr="00047871">
        <w:t xml:space="preserve"> this rule was eliminated in the 2018 Amendment of FRBM and the clauses relate to this is included in the Finance Bill </w:t>
      </w:r>
      <w:r w:rsidR="00F974C2" w:rsidRPr="00047871">
        <w:lastRenderedPageBreak/>
        <w:t xml:space="preserve">of 2018. Making revenue deficit to zero in the time of pandemic is not </w:t>
      </w:r>
      <w:r w:rsidR="009C2404" w:rsidRPr="00047871">
        <w:t xml:space="preserve">feasible, </w:t>
      </w:r>
      <w:r w:rsidR="006D5FF7" w:rsidRPr="00047871">
        <w:t xml:space="preserve">as compression in revenue expenditure can affect </w:t>
      </w:r>
      <w:r w:rsidR="00D21331">
        <w:t>economic recovery</w:t>
      </w:r>
      <w:r w:rsidR="001223CA">
        <w:t xml:space="preserve"> (Chakraborty, 2022)</w:t>
      </w:r>
      <w:r w:rsidR="00A27452">
        <w:t>.</w:t>
      </w:r>
    </w:p>
    <w:p w14:paraId="2D61A91B" w14:textId="207AFF82" w:rsidR="008641CC" w:rsidRPr="003F4BA4" w:rsidRDefault="008641CC" w:rsidP="003F4BA4">
      <w:pPr>
        <w:spacing w:after="0" w:line="240" w:lineRule="auto"/>
        <w:jc w:val="center"/>
        <w:rPr>
          <w:rFonts w:ascii="Times New Roman" w:hAnsi="Times New Roman" w:cs="Times New Roman"/>
          <w:sz w:val="20"/>
          <w:szCs w:val="20"/>
        </w:rPr>
      </w:pPr>
      <w:r w:rsidRPr="008641CC">
        <w:rPr>
          <w:rFonts w:ascii="Times New Roman" w:hAnsi="Times New Roman" w:cs="Times New Roman"/>
          <w:b/>
          <w:sz w:val="20"/>
          <w:szCs w:val="20"/>
        </w:rPr>
        <w:t>Table 1:</w:t>
      </w:r>
      <w:r w:rsidRPr="008641CC">
        <w:rPr>
          <w:rFonts w:ascii="Times New Roman" w:hAnsi="Times New Roman" w:cs="Times New Roman"/>
          <w:sz w:val="20"/>
          <w:szCs w:val="20"/>
        </w:rPr>
        <w:t xml:space="preserve"> Levels of Deficit (Rs crores)</w:t>
      </w:r>
    </w:p>
    <w:tbl>
      <w:tblPr>
        <w:tblW w:w="9100" w:type="dxa"/>
        <w:tblLook w:val="04A0" w:firstRow="1" w:lastRow="0" w:firstColumn="1" w:lastColumn="0" w:noHBand="0" w:noVBand="1"/>
      </w:tblPr>
      <w:tblGrid>
        <w:gridCol w:w="2881"/>
        <w:gridCol w:w="2059"/>
        <w:gridCol w:w="1280"/>
        <w:gridCol w:w="1340"/>
        <w:gridCol w:w="1540"/>
      </w:tblGrid>
      <w:tr w:rsidR="008641CC" w:rsidRPr="008641CC" w14:paraId="3241E2A4" w14:textId="77777777" w:rsidTr="003F4BA4">
        <w:trPr>
          <w:trHeight w:val="280"/>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B2E134D" w14:textId="77777777" w:rsidR="008641CC" w:rsidRPr="008641CC" w:rsidRDefault="008641CC" w:rsidP="008641CC">
            <w:pPr>
              <w:spacing w:after="0" w:line="240" w:lineRule="auto"/>
              <w:rPr>
                <w:rFonts w:ascii="Times New Roman" w:eastAsia="Times New Roman" w:hAnsi="Times New Roman" w:cs="Times New Roman"/>
                <w:sz w:val="20"/>
                <w:szCs w:val="20"/>
                <w:lang w:val="en-US"/>
              </w:rPr>
            </w:pPr>
            <w:r w:rsidRPr="008641CC">
              <w:rPr>
                <w:rFonts w:ascii="Times New Roman" w:eastAsia="Times New Roman" w:hAnsi="Times New Roman" w:cs="Times New Roman"/>
                <w:sz w:val="20"/>
                <w:szCs w:val="20"/>
                <w:lang w:val="en-US"/>
              </w:rPr>
              <w:t> </w:t>
            </w:r>
          </w:p>
        </w:tc>
        <w:tc>
          <w:tcPr>
            <w:tcW w:w="2059" w:type="dxa"/>
            <w:tcBorders>
              <w:top w:val="single" w:sz="4" w:space="0" w:color="auto"/>
              <w:left w:val="nil"/>
              <w:bottom w:val="single" w:sz="4" w:space="0" w:color="auto"/>
              <w:right w:val="single" w:sz="4" w:space="0" w:color="auto"/>
            </w:tcBorders>
            <w:shd w:val="clear" w:color="auto" w:fill="auto"/>
            <w:hideMark/>
          </w:tcPr>
          <w:p w14:paraId="41A75BE5"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 xml:space="preserve">2020-21 Actuals </w:t>
            </w:r>
          </w:p>
        </w:tc>
        <w:tc>
          <w:tcPr>
            <w:tcW w:w="1280" w:type="dxa"/>
            <w:tcBorders>
              <w:top w:val="single" w:sz="4" w:space="0" w:color="auto"/>
              <w:left w:val="nil"/>
              <w:bottom w:val="single" w:sz="4" w:space="0" w:color="auto"/>
              <w:right w:val="single" w:sz="4" w:space="0" w:color="auto"/>
            </w:tcBorders>
            <w:shd w:val="clear" w:color="auto" w:fill="auto"/>
            <w:hideMark/>
          </w:tcPr>
          <w:p w14:paraId="4C7D41BF"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2021-22 BE</w:t>
            </w:r>
          </w:p>
        </w:tc>
        <w:tc>
          <w:tcPr>
            <w:tcW w:w="1340" w:type="dxa"/>
            <w:tcBorders>
              <w:top w:val="single" w:sz="4" w:space="0" w:color="auto"/>
              <w:left w:val="nil"/>
              <w:bottom w:val="single" w:sz="4" w:space="0" w:color="auto"/>
              <w:right w:val="single" w:sz="4" w:space="0" w:color="auto"/>
            </w:tcBorders>
            <w:shd w:val="clear" w:color="auto" w:fill="auto"/>
            <w:hideMark/>
          </w:tcPr>
          <w:p w14:paraId="7C502941"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2021-22 RE</w:t>
            </w:r>
          </w:p>
        </w:tc>
        <w:tc>
          <w:tcPr>
            <w:tcW w:w="1540" w:type="dxa"/>
            <w:tcBorders>
              <w:top w:val="single" w:sz="4" w:space="0" w:color="auto"/>
              <w:left w:val="nil"/>
              <w:bottom w:val="single" w:sz="4" w:space="0" w:color="auto"/>
              <w:right w:val="single" w:sz="4" w:space="0" w:color="auto"/>
            </w:tcBorders>
            <w:shd w:val="clear" w:color="auto" w:fill="auto"/>
            <w:hideMark/>
          </w:tcPr>
          <w:p w14:paraId="2A4B9FE5"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2022-23 BE</w:t>
            </w:r>
          </w:p>
        </w:tc>
      </w:tr>
      <w:tr w:rsidR="008641CC" w:rsidRPr="008641CC" w14:paraId="1B828F6C" w14:textId="77777777" w:rsidTr="008641CC">
        <w:trPr>
          <w:trHeight w:val="520"/>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24A08E3D" w14:textId="77777777" w:rsidR="008641CC" w:rsidRPr="008641CC" w:rsidRDefault="008641CC" w:rsidP="008641CC">
            <w:pPr>
              <w:spacing w:after="0" w:line="240" w:lineRule="auto"/>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 xml:space="preserve"> 1. Fiscal Deficit</w:t>
            </w:r>
          </w:p>
        </w:tc>
        <w:tc>
          <w:tcPr>
            <w:tcW w:w="2059" w:type="dxa"/>
            <w:tcBorders>
              <w:top w:val="nil"/>
              <w:left w:val="nil"/>
              <w:bottom w:val="single" w:sz="4" w:space="0" w:color="auto"/>
              <w:right w:val="single" w:sz="4" w:space="0" w:color="auto"/>
            </w:tcBorders>
            <w:shd w:val="clear" w:color="auto" w:fill="auto"/>
            <w:hideMark/>
          </w:tcPr>
          <w:p w14:paraId="3E7D79C6"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1818291</w:t>
            </w:r>
            <w:r w:rsidRPr="008641CC">
              <w:rPr>
                <w:rFonts w:ascii="Times New Roman" w:eastAsia="Times New Roman" w:hAnsi="Times New Roman" w:cs="Times New Roman"/>
                <w:color w:val="000000"/>
                <w:sz w:val="20"/>
                <w:szCs w:val="20"/>
                <w:lang w:val="en-US"/>
              </w:rPr>
              <w:br/>
              <w:t>(9.2)</w:t>
            </w:r>
          </w:p>
        </w:tc>
        <w:tc>
          <w:tcPr>
            <w:tcW w:w="1280" w:type="dxa"/>
            <w:tcBorders>
              <w:top w:val="nil"/>
              <w:left w:val="nil"/>
              <w:bottom w:val="single" w:sz="4" w:space="0" w:color="auto"/>
              <w:right w:val="single" w:sz="4" w:space="0" w:color="auto"/>
            </w:tcBorders>
            <w:shd w:val="clear" w:color="auto" w:fill="auto"/>
            <w:hideMark/>
          </w:tcPr>
          <w:p w14:paraId="6EB582EF"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1506812</w:t>
            </w:r>
            <w:r w:rsidRPr="008641CC">
              <w:rPr>
                <w:rFonts w:ascii="Times New Roman" w:eastAsia="Times New Roman" w:hAnsi="Times New Roman" w:cs="Times New Roman"/>
                <w:color w:val="000000"/>
                <w:sz w:val="20"/>
                <w:szCs w:val="20"/>
                <w:lang w:val="en-US"/>
              </w:rPr>
              <w:br/>
              <w:t>(6.8)</w:t>
            </w:r>
          </w:p>
        </w:tc>
        <w:tc>
          <w:tcPr>
            <w:tcW w:w="1340" w:type="dxa"/>
            <w:tcBorders>
              <w:top w:val="nil"/>
              <w:left w:val="nil"/>
              <w:bottom w:val="single" w:sz="4" w:space="0" w:color="auto"/>
              <w:right w:val="single" w:sz="4" w:space="0" w:color="auto"/>
            </w:tcBorders>
            <w:shd w:val="clear" w:color="auto" w:fill="auto"/>
            <w:hideMark/>
          </w:tcPr>
          <w:p w14:paraId="446CFB24"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1591089</w:t>
            </w:r>
            <w:r w:rsidRPr="008641CC">
              <w:rPr>
                <w:rFonts w:ascii="Times New Roman" w:eastAsia="Times New Roman" w:hAnsi="Times New Roman" w:cs="Times New Roman"/>
                <w:color w:val="000000"/>
                <w:sz w:val="20"/>
                <w:szCs w:val="20"/>
                <w:lang w:val="en-US"/>
              </w:rPr>
              <w:br/>
              <w:t>(6.9)</w:t>
            </w:r>
          </w:p>
        </w:tc>
        <w:tc>
          <w:tcPr>
            <w:tcW w:w="1540" w:type="dxa"/>
            <w:tcBorders>
              <w:top w:val="nil"/>
              <w:left w:val="nil"/>
              <w:bottom w:val="single" w:sz="4" w:space="0" w:color="auto"/>
              <w:right w:val="single" w:sz="4" w:space="0" w:color="auto"/>
            </w:tcBorders>
            <w:shd w:val="clear" w:color="auto" w:fill="auto"/>
            <w:hideMark/>
          </w:tcPr>
          <w:p w14:paraId="23EB78B5"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1661196</w:t>
            </w:r>
            <w:r w:rsidRPr="008641CC">
              <w:rPr>
                <w:rFonts w:ascii="Times New Roman" w:eastAsia="Times New Roman" w:hAnsi="Times New Roman" w:cs="Times New Roman"/>
                <w:color w:val="000000"/>
                <w:sz w:val="20"/>
                <w:szCs w:val="20"/>
                <w:lang w:val="en-US"/>
              </w:rPr>
              <w:br/>
              <w:t>(6.4)</w:t>
            </w:r>
          </w:p>
        </w:tc>
      </w:tr>
      <w:tr w:rsidR="008641CC" w:rsidRPr="008641CC" w14:paraId="32C36580" w14:textId="77777777" w:rsidTr="008641CC">
        <w:trPr>
          <w:trHeight w:val="520"/>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7AC4E9A3" w14:textId="77777777" w:rsidR="008641CC" w:rsidRPr="008641CC" w:rsidRDefault="008641CC" w:rsidP="008641CC">
            <w:pPr>
              <w:spacing w:after="0" w:line="240" w:lineRule="auto"/>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 xml:space="preserve"> 2. Revenue Deficit</w:t>
            </w:r>
          </w:p>
        </w:tc>
        <w:tc>
          <w:tcPr>
            <w:tcW w:w="2059" w:type="dxa"/>
            <w:tcBorders>
              <w:top w:val="nil"/>
              <w:left w:val="nil"/>
              <w:bottom w:val="single" w:sz="4" w:space="0" w:color="auto"/>
              <w:right w:val="single" w:sz="4" w:space="0" w:color="auto"/>
            </w:tcBorders>
            <w:shd w:val="clear" w:color="auto" w:fill="auto"/>
            <w:hideMark/>
          </w:tcPr>
          <w:p w14:paraId="6F441663"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1449599</w:t>
            </w:r>
            <w:r w:rsidRPr="008641CC">
              <w:rPr>
                <w:rFonts w:ascii="Times New Roman" w:eastAsia="Times New Roman" w:hAnsi="Times New Roman" w:cs="Times New Roman"/>
                <w:color w:val="000000"/>
                <w:sz w:val="20"/>
                <w:szCs w:val="20"/>
                <w:lang w:val="en-US"/>
              </w:rPr>
              <w:br/>
              <w:t>(7.3)</w:t>
            </w:r>
          </w:p>
        </w:tc>
        <w:tc>
          <w:tcPr>
            <w:tcW w:w="1280" w:type="dxa"/>
            <w:tcBorders>
              <w:top w:val="nil"/>
              <w:left w:val="nil"/>
              <w:bottom w:val="single" w:sz="4" w:space="0" w:color="auto"/>
              <w:right w:val="single" w:sz="4" w:space="0" w:color="auto"/>
            </w:tcBorders>
            <w:shd w:val="clear" w:color="auto" w:fill="auto"/>
            <w:hideMark/>
          </w:tcPr>
          <w:p w14:paraId="221BBDB1"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1140576</w:t>
            </w:r>
            <w:r w:rsidRPr="008641CC">
              <w:rPr>
                <w:rFonts w:ascii="Times New Roman" w:eastAsia="Times New Roman" w:hAnsi="Times New Roman" w:cs="Times New Roman"/>
                <w:color w:val="000000"/>
                <w:sz w:val="20"/>
                <w:szCs w:val="20"/>
                <w:lang w:val="en-US"/>
              </w:rPr>
              <w:br/>
              <w:t>(5.1)</w:t>
            </w:r>
          </w:p>
        </w:tc>
        <w:tc>
          <w:tcPr>
            <w:tcW w:w="1340" w:type="dxa"/>
            <w:tcBorders>
              <w:top w:val="nil"/>
              <w:left w:val="nil"/>
              <w:bottom w:val="single" w:sz="4" w:space="0" w:color="auto"/>
              <w:right w:val="single" w:sz="4" w:space="0" w:color="auto"/>
            </w:tcBorders>
            <w:shd w:val="clear" w:color="auto" w:fill="auto"/>
            <w:hideMark/>
          </w:tcPr>
          <w:p w14:paraId="1D48EE2B"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1088352</w:t>
            </w:r>
            <w:r w:rsidRPr="008641CC">
              <w:rPr>
                <w:rFonts w:ascii="Times New Roman" w:eastAsia="Times New Roman" w:hAnsi="Times New Roman" w:cs="Times New Roman"/>
                <w:color w:val="000000"/>
                <w:sz w:val="20"/>
                <w:szCs w:val="20"/>
                <w:lang w:val="en-US"/>
              </w:rPr>
              <w:br/>
              <w:t>(4.7)</w:t>
            </w:r>
          </w:p>
        </w:tc>
        <w:tc>
          <w:tcPr>
            <w:tcW w:w="1540" w:type="dxa"/>
            <w:tcBorders>
              <w:top w:val="nil"/>
              <w:left w:val="nil"/>
              <w:bottom w:val="single" w:sz="4" w:space="0" w:color="auto"/>
              <w:right w:val="single" w:sz="4" w:space="0" w:color="auto"/>
            </w:tcBorders>
            <w:shd w:val="clear" w:color="auto" w:fill="auto"/>
            <w:hideMark/>
          </w:tcPr>
          <w:p w14:paraId="11E5AA4F"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990241</w:t>
            </w:r>
            <w:r w:rsidRPr="008641CC">
              <w:rPr>
                <w:rFonts w:ascii="Times New Roman" w:eastAsia="Times New Roman" w:hAnsi="Times New Roman" w:cs="Times New Roman"/>
                <w:color w:val="000000"/>
                <w:sz w:val="20"/>
                <w:szCs w:val="20"/>
                <w:lang w:val="en-US"/>
              </w:rPr>
              <w:br/>
              <w:t>(3.8)</w:t>
            </w:r>
          </w:p>
        </w:tc>
      </w:tr>
      <w:tr w:rsidR="008641CC" w:rsidRPr="008641CC" w14:paraId="3F90BCD9" w14:textId="77777777" w:rsidTr="00D032D5">
        <w:trPr>
          <w:trHeight w:val="520"/>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D19C050" w14:textId="77777777" w:rsidR="008641CC" w:rsidRPr="008641CC" w:rsidRDefault="008641CC" w:rsidP="008641CC">
            <w:pPr>
              <w:spacing w:after="0" w:line="240" w:lineRule="auto"/>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 xml:space="preserve"> 3. Effective Revenue Deficit</w:t>
            </w:r>
          </w:p>
        </w:tc>
        <w:tc>
          <w:tcPr>
            <w:tcW w:w="2059" w:type="dxa"/>
            <w:tcBorders>
              <w:top w:val="nil"/>
              <w:left w:val="nil"/>
              <w:bottom w:val="single" w:sz="4" w:space="0" w:color="auto"/>
              <w:right w:val="single" w:sz="4" w:space="0" w:color="auto"/>
            </w:tcBorders>
            <w:shd w:val="clear" w:color="auto" w:fill="auto"/>
            <w:hideMark/>
          </w:tcPr>
          <w:p w14:paraId="2FF36440"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1218734</w:t>
            </w:r>
            <w:r w:rsidRPr="008641CC">
              <w:rPr>
                <w:rFonts w:ascii="Times New Roman" w:eastAsia="Times New Roman" w:hAnsi="Times New Roman" w:cs="Times New Roman"/>
                <w:color w:val="000000"/>
                <w:sz w:val="20"/>
                <w:szCs w:val="20"/>
                <w:lang w:val="en-US"/>
              </w:rPr>
              <w:br/>
              <w:t>(6.2)</w:t>
            </w:r>
          </w:p>
        </w:tc>
        <w:tc>
          <w:tcPr>
            <w:tcW w:w="1280" w:type="dxa"/>
            <w:tcBorders>
              <w:top w:val="nil"/>
              <w:left w:val="nil"/>
              <w:bottom w:val="single" w:sz="4" w:space="0" w:color="auto"/>
              <w:right w:val="single" w:sz="4" w:space="0" w:color="auto"/>
            </w:tcBorders>
            <w:shd w:val="clear" w:color="auto" w:fill="auto"/>
            <w:hideMark/>
          </w:tcPr>
          <w:p w14:paraId="2759C504"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921464</w:t>
            </w:r>
            <w:r w:rsidRPr="008641CC">
              <w:rPr>
                <w:rFonts w:ascii="Times New Roman" w:eastAsia="Times New Roman" w:hAnsi="Times New Roman" w:cs="Times New Roman"/>
                <w:color w:val="000000"/>
                <w:sz w:val="20"/>
                <w:szCs w:val="20"/>
                <w:lang w:val="en-US"/>
              </w:rPr>
              <w:br/>
              <w:t>(4.1)</w:t>
            </w:r>
          </w:p>
        </w:tc>
        <w:tc>
          <w:tcPr>
            <w:tcW w:w="1340" w:type="dxa"/>
            <w:tcBorders>
              <w:top w:val="nil"/>
              <w:left w:val="nil"/>
              <w:bottom w:val="single" w:sz="4" w:space="0" w:color="auto"/>
              <w:right w:val="single" w:sz="4" w:space="0" w:color="auto"/>
            </w:tcBorders>
            <w:shd w:val="clear" w:color="auto" w:fill="auto"/>
            <w:hideMark/>
          </w:tcPr>
          <w:p w14:paraId="39E7F528"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850667</w:t>
            </w:r>
            <w:r w:rsidRPr="008641CC">
              <w:rPr>
                <w:rFonts w:ascii="Times New Roman" w:eastAsia="Times New Roman" w:hAnsi="Times New Roman" w:cs="Times New Roman"/>
                <w:color w:val="000000"/>
                <w:sz w:val="20"/>
                <w:szCs w:val="20"/>
                <w:lang w:val="en-US"/>
              </w:rPr>
              <w:br/>
              <w:t>(3.7)</w:t>
            </w:r>
          </w:p>
        </w:tc>
        <w:tc>
          <w:tcPr>
            <w:tcW w:w="1540" w:type="dxa"/>
            <w:tcBorders>
              <w:top w:val="nil"/>
              <w:left w:val="nil"/>
              <w:bottom w:val="single" w:sz="4" w:space="0" w:color="auto"/>
              <w:right w:val="single" w:sz="4" w:space="0" w:color="auto"/>
            </w:tcBorders>
            <w:shd w:val="clear" w:color="auto" w:fill="auto"/>
            <w:hideMark/>
          </w:tcPr>
          <w:p w14:paraId="12B4DD0B"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672598</w:t>
            </w:r>
            <w:r w:rsidRPr="008641CC">
              <w:rPr>
                <w:rFonts w:ascii="Times New Roman" w:eastAsia="Times New Roman" w:hAnsi="Times New Roman" w:cs="Times New Roman"/>
                <w:color w:val="000000"/>
                <w:sz w:val="20"/>
                <w:szCs w:val="20"/>
                <w:lang w:val="en-US"/>
              </w:rPr>
              <w:br/>
              <w:t>(2.6)</w:t>
            </w:r>
          </w:p>
        </w:tc>
      </w:tr>
      <w:tr w:rsidR="008641CC" w:rsidRPr="008641CC" w14:paraId="765A6C6E" w14:textId="77777777" w:rsidTr="00D032D5">
        <w:trPr>
          <w:trHeight w:val="520"/>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2EA9A01C" w14:textId="77777777" w:rsidR="008641CC" w:rsidRPr="00D032D5" w:rsidRDefault="008641CC" w:rsidP="008641CC">
            <w:pPr>
              <w:spacing w:after="0" w:line="240" w:lineRule="auto"/>
              <w:rPr>
                <w:rFonts w:ascii="Times New Roman" w:eastAsia="Times New Roman" w:hAnsi="Times New Roman" w:cs="Times New Roman"/>
                <w:color w:val="000000"/>
                <w:sz w:val="20"/>
                <w:szCs w:val="20"/>
                <w:lang w:val="en-US"/>
              </w:rPr>
            </w:pPr>
            <w:r w:rsidRPr="00D032D5">
              <w:rPr>
                <w:rFonts w:ascii="Times New Roman" w:eastAsia="Times New Roman" w:hAnsi="Times New Roman" w:cs="Times New Roman"/>
                <w:color w:val="000000"/>
                <w:sz w:val="20"/>
                <w:szCs w:val="20"/>
                <w:lang w:val="en-US"/>
              </w:rPr>
              <w:t xml:space="preserve"> 4. Primary Deficit </w:t>
            </w:r>
          </w:p>
        </w:tc>
        <w:tc>
          <w:tcPr>
            <w:tcW w:w="2059" w:type="dxa"/>
            <w:tcBorders>
              <w:top w:val="single" w:sz="4" w:space="0" w:color="auto"/>
              <w:left w:val="nil"/>
              <w:bottom w:val="single" w:sz="4" w:space="0" w:color="auto"/>
              <w:right w:val="single" w:sz="4" w:space="0" w:color="auto"/>
            </w:tcBorders>
            <w:shd w:val="clear" w:color="auto" w:fill="auto"/>
            <w:hideMark/>
          </w:tcPr>
          <w:p w14:paraId="3C700C64"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1138422</w:t>
            </w:r>
            <w:r w:rsidRPr="008641CC">
              <w:rPr>
                <w:rFonts w:ascii="Times New Roman" w:eastAsia="Times New Roman" w:hAnsi="Times New Roman" w:cs="Times New Roman"/>
                <w:color w:val="000000"/>
                <w:sz w:val="20"/>
                <w:szCs w:val="20"/>
                <w:lang w:val="en-US"/>
              </w:rPr>
              <w:br/>
              <w:t>(5.8)</w:t>
            </w:r>
          </w:p>
        </w:tc>
        <w:tc>
          <w:tcPr>
            <w:tcW w:w="1280" w:type="dxa"/>
            <w:tcBorders>
              <w:top w:val="single" w:sz="4" w:space="0" w:color="auto"/>
              <w:left w:val="nil"/>
              <w:bottom w:val="single" w:sz="4" w:space="0" w:color="auto"/>
              <w:right w:val="single" w:sz="4" w:space="0" w:color="auto"/>
            </w:tcBorders>
            <w:shd w:val="clear" w:color="auto" w:fill="auto"/>
            <w:hideMark/>
          </w:tcPr>
          <w:p w14:paraId="31983757"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697111</w:t>
            </w:r>
            <w:r w:rsidRPr="008641CC">
              <w:rPr>
                <w:rFonts w:ascii="Times New Roman" w:eastAsia="Times New Roman" w:hAnsi="Times New Roman" w:cs="Times New Roman"/>
                <w:color w:val="000000"/>
                <w:sz w:val="20"/>
                <w:szCs w:val="20"/>
                <w:lang w:val="en-US"/>
              </w:rPr>
              <w:br/>
              <w:t>(3.1)</w:t>
            </w:r>
          </w:p>
        </w:tc>
        <w:tc>
          <w:tcPr>
            <w:tcW w:w="1340" w:type="dxa"/>
            <w:tcBorders>
              <w:top w:val="single" w:sz="4" w:space="0" w:color="auto"/>
              <w:left w:val="nil"/>
              <w:bottom w:val="single" w:sz="4" w:space="0" w:color="auto"/>
              <w:right w:val="single" w:sz="4" w:space="0" w:color="auto"/>
            </w:tcBorders>
            <w:shd w:val="clear" w:color="auto" w:fill="auto"/>
            <w:hideMark/>
          </w:tcPr>
          <w:p w14:paraId="378FC45F"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777298</w:t>
            </w:r>
            <w:r w:rsidRPr="008641CC">
              <w:rPr>
                <w:rFonts w:ascii="Times New Roman" w:eastAsia="Times New Roman" w:hAnsi="Times New Roman" w:cs="Times New Roman"/>
                <w:color w:val="000000"/>
                <w:sz w:val="20"/>
                <w:szCs w:val="20"/>
                <w:lang w:val="en-US"/>
              </w:rPr>
              <w:br/>
              <w:t>(3.3)</w:t>
            </w:r>
          </w:p>
        </w:tc>
        <w:tc>
          <w:tcPr>
            <w:tcW w:w="1540" w:type="dxa"/>
            <w:tcBorders>
              <w:top w:val="single" w:sz="4" w:space="0" w:color="auto"/>
              <w:left w:val="nil"/>
              <w:bottom w:val="single" w:sz="4" w:space="0" w:color="auto"/>
              <w:right w:val="single" w:sz="4" w:space="0" w:color="auto"/>
            </w:tcBorders>
            <w:shd w:val="clear" w:color="auto" w:fill="auto"/>
            <w:hideMark/>
          </w:tcPr>
          <w:p w14:paraId="216D3A18" w14:textId="77777777" w:rsidR="008641CC" w:rsidRPr="008641CC" w:rsidRDefault="008641CC" w:rsidP="008641CC">
            <w:pPr>
              <w:spacing w:after="0" w:line="240" w:lineRule="auto"/>
              <w:jc w:val="right"/>
              <w:rPr>
                <w:rFonts w:ascii="Times New Roman" w:eastAsia="Times New Roman" w:hAnsi="Times New Roman" w:cs="Times New Roman"/>
                <w:color w:val="000000"/>
                <w:sz w:val="20"/>
                <w:szCs w:val="20"/>
                <w:lang w:val="en-US"/>
              </w:rPr>
            </w:pPr>
            <w:r w:rsidRPr="008641CC">
              <w:rPr>
                <w:rFonts w:ascii="Times New Roman" w:eastAsia="Times New Roman" w:hAnsi="Times New Roman" w:cs="Times New Roman"/>
                <w:color w:val="000000"/>
                <w:sz w:val="20"/>
                <w:szCs w:val="20"/>
                <w:lang w:val="en-US"/>
              </w:rPr>
              <w:t>720545</w:t>
            </w:r>
            <w:r w:rsidRPr="008641CC">
              <w:rPr>
                <w:rFonts w:ascii="Times New Roman" w:eastAsia="Times New Roman" w:hAnsi="Times New Roman" w:cs="Times New Roman"/>
                <w:color w:val="000000"/>
                <w:sz w:val="20"/>
                <w:szCs w:val="20"/>
                <w:lang w:val="en-US"/>
              </w:rPr>
              <w:br/>
              <w:t>(2.8)</w:t>
            </w:r>
          </w:p>
        </w:tc>
      </w:tr>
      <w:tr w:rsidR="00F741AC" w:rsidRPr="008641CC" w14:paraId="5F345C92" w14:textId="77777777" w:rsidTr="00D032D5">
        <w:trPr>
          <w:trHeight w:val="520"/>
        </w:trPr>
        <w:tc>
          <w:tcPr>
            <w:tcW w:w="2881" w:type="dxa"/>
            <w:tcBorders>
              <w:top w:val="single" w:sz="4" w:space="0" w:color="auto"/>
              <w:left w:val="single" w:sz="4" w:space="0" w:color="auto"/>
              <w:bottom w:val="single" w:sz="4" w:space="0" w:color="auto"/>
              <w:right w:val="single" w:sz="4" w:space="0" w:color="auto"/>
            </w:tcBorders>
            <w:shd w:val="clear" w:color="auto" w:fill="auto"/>
          </w:tcPr>
          <w:p w14:paraId="416A2722" w14:textId="133CBBA5" w:rsidR="00F741AC" w:rsidRPr="00B97EA5" w:rsidRDefault="00D032D5" w:rsidP="008641CC">
            <w:pPr>
              <w:spacing w:after="0" w:line="240" w:lineRule="auto"/>
              <w:rPr>
                <w:rFonts w:ascii="Times New Roman" w:eastAsia="Times New Roman" w:hAnsi="Times New Roman" w:cs="Times New Roman"/>
                <w:b/>
                <w:color w:val="000000"/>
                <w:sz w:val="20"/>
                <w:szCs w:val="20"/>
                <w:lang w:val="en-US"/>
              </w:rPr>
            </w:pPr>
            <w:r w:rsidRPr="00B97EA5">
              <w:rPr>
                <w:rFonts w:ascii="Times New Roman" w:hAnsi="Times New Roman" w:cs="Times New Roman"/>
                <w:b/>
                <w:sz w:val="20"/>
                <w:szCs w:val="20"/>
                <w:lang w:val="en-US"/>
              </w:rPr>
              <w:t>Revenue Deficit to Fiscal Deficit Ratio</w:t>
            </w:r>
            <w:r w:rsidR="00B97EA5">
              <w:rPr>
                <w:rFonts w:ascii="Times New Roman" w:hAnsi="Times New Roman" w:cs="Times New Roman"/>
                <w:b/>
                <w:sz w:val="20"/>
                <w:szCs w:val="20"/>
                <w:lang w:val="en-US"/>
              </w:rPr>
              <w:t xml:space="preserve"> (%)</w:t>
            </w:r>
          </w:p>
        </w:tc>
        <w:tc>
          <w:tcPr>
            <w:tcW w:w="2059" w:type="dxa"/>
            <w:tcBorders>
              <w:top w:val="single" w:sz="4" w:space="0" w:color="auto"/>
              <w:left w:val="nil"/>
              <w:bottom w:val="single" w:sz="4" w:space="0" w:color="auto"/>
              <w:right w:val="single" w:sz="4" w:space="0" w:color="auto"/>
            </w:tcBorders>
            <w:shd w:val="clear" w:color="auto" w:fill="auto"/>
          </w:tcPr>
          <w:p w14:paraId="206C1A1F" w14:textId="5FCB3F00" w:rsidR="00F741AC" w:rsidRPr="0074188B" w:rsidRDefault="00B97EA5" w:rsidP="008641CC">
            <w:pPr>
              <w:spacing w:after="0" w:line="240" w:lineRule="auto"/>
              <w:jc w:val="right"/>
              <w:rPr>
                <w:rFonts w:ascii="Times New Roman" w:eastAsia="Times New Roman" w:hAnsi="Times New Roman" w:cs="Times New Roman"/>
                <w:b/>
                <w:color w:val="000000"/>
                <w:sz w:val="20"/>
                <w:szCs w:val="20"/>
                <w:lang w:val="en-US"/>
              </w:rPr>
            </w:pPr>
            <w:r w:rsidRPr="0074188B">
              <w:rPr>
                <w:rFonts w:ascii="Times New Roman" w:eastAsia="Times New Roman" w:hAnsi="Times New Roman" w:cs="Times New Roman"/>
                <w:b/>
                <w:color w:val="000000"/>
                <w:sz w:val="20"/>
                <w:szCs w:val="20"/>
                <w:lang w:val="en-US"/>
              </w:rPr>
              <w:t>79.72</w:t>
            </w:r>
          </w:p>
        </w:tc>
        <w:tc>
          <w:tcPr>
            <w:tcW w:w="1280" w:type="dxa"/>
            <w:tcBorders>
              <w:top w:val="single" w:sz="4" w:space="0" w:color="auto"/>
              <w:left w:val="nil"/>
              <w:bottom w:val="single" w:sz="4" w:space="0" w:color="auto"/>
              <w:right w:val="single" w:sz="4" w:space="0" w:color="auto"/>
            </w:tcBorders>
            <w:shd w:val="clear" w:color="auto" w:fill="auto"/>
          </w:tcPr>
          <w:p w14:paraId="6E32D7C6" w14:textId="1BF757D9" w:rsidR="00F741AC" w:rsidRPr="0074188B" w:rsidRDefault="00B97EA5" w:rsidP="008641CC">
            <w:pPr>
              <w:spacing w:after="0" w:line="240" w:lineRule="auto"/>
              <w:jc w:val="right"/>
              <w:rPr>
                <w:rFonts w:ascii="Times New Roman" w:eastAsia="Times New Roman" w:hAnsi="Times New Roman" w:cs="Times New Roman"/>
                <w:b/>
                <w:color w:val="000000"/>
                <w:sz w:val="20"/>
                <w:szCs w:val="20"/>
                <w:lang w:val="en-US"/>
              </w:rPr>
            </w:pPr>
            <w:r w:rsidRPr="0074188B">
              <w:rPr>
                <w:rFonts w:ascii="Times New Roman" w:eastAsia="Times New Roman" w:hAnsi="Times New Roman" w:cs="Times New Roman"/>
                <w:b/>
                <w:color w:val="000000"/>
                <w:sz w:val="20"/>
                <w:szCs w:val="20"/>
                <w:lang w:val="en-US"/>
              </w:rPr>
              <w:t>76.00</w:t>
            </w:r>
          </w:p>
        </w:tc>
        <w:tc>
          <w:tcPr>
            <w:tcW w:w="1340" w:type="dxa"/>
            <w:tcBorders>
              <w:top w:val="single" w:sz="4" w:space="0" w:color="auto"/>
              <w:left w:val="nil"/>
              <w:bottom w:val="single" w:sz="4" w:space="0" w:color="auto"/>
              <w:right w:val="single" w:sz="4" w:space="0" w:color="auto"/>
            </w:tcBorders>
            <w:shd w:val="clear" w:color="auto" w:fill="auto"/>
          </w:tcPr>
          <w:p w14:paraId="2F8CAFD5" w14:textId="7AF1EE6E" w:rsidR="00F741AC" w:rsidRPr="0074188B" w:rsidRDefault="00B97EA5" w:rsidP="008641CC">
            <w:pPr>
              <w:spacing w:after="0" w:line="240" w:lineRule="auto"/>
              <w:jc w:val="right"/>
              <w:rPr>
                <w:rFonts w:ascii="Times New Roman" w:eastAsia="Times New Roman" w:hAnsi="Times New Roman" w:cs="Times New Roman"/>
                <w:b/>
                <w:color w:val="000000"/>
                <w:sz w:val="20"/>
                <w:szCs w:val="20"/>
                <w:lang w:val="en-US"/>
              </w:rPr>
            </w:pPr>
            <w:r w:rsidRPr="0074188B">
              <w:rPr>
                <w:rFonts w:ascii="Times New Roman" w:eastAsia="Times New Roman" w:hAnsi="Times New Roman" w:cs="Times New Roman"/>
                <w:b/>
                <w:color w:val="000000"/>
                <w:sz w:val="20"/>
                <w:szCs w:val="20"/>
                <w:lang w:val="en-US"/>
              </w:rPr>
              <w:t>68.40</w:t>
            </w:r>
          </w:p>
        </w:tc>
        <w:tc>
          <w:tcPr>
            <w:tcW w:w="1540" w:type="dxa"/>
            <w:tcBorders>
              <w:top w:val="single" w:sz="4" w:space="0" w:color="auto"/>
              <w:left w:val="nil"/>
              <w:bottom w:val="single" w:sz="4" w:space="0" w:color="auto"/>
              <w:right w:val="single" w:sz="4" w:space="0" w:color="auto"/>
            </w:tcBorders>
            <w:shd w:val="clear" w:color="auto" w:fill="auto"/>
          </w:tcPr>
          <w:p w14:paraId="43423D3E" w14:textId="2E54E08E" w:rsidR="00F741AC" w:rsidRPr="0074188B" w:rsidRDefault="00B97EA5" w:rsidP="008641CC">
            <w:pPr>
              <w:spacing w:after="0" w:line="240" w:lineRule="auto"/>
              <w:jc w:val="right"/>
              <w:rPr>
                <w:rFonts w:ascii="Times New Roman" w:eastAsia="Times New Roman" w:hAnsi="Times New Roman" w:cs="Times New Roman"/>
                <w:b/>
                <w:color w:val="000000"/>
                <w:sz w:val="20"/>
                <w:szCs w:val="20"/>
                <w:lang w:val="en-US"/>
              </w:rPr>
            </w:pPr>
            <w:r w:rsidRPr="0074188B">
              <w:rPr>
                <w:rFonts w:ascii="Times New Roman" w:eastAsia="Times New Roman" w:hAnsi="Times New Roman" w:cs="Times New Roman"/>
                <w:b/>
                <w:color w:val="000000"/>
                <w:sz w:val="20"/>
                <w:szCs w:val="20"/>
                <w:lang w:val="en-US"/>
              </w:rPr>
              <w:t>59.61</w:t>
            </w:r>
          </w:p>
        </w:tc>
      </w:tr>
    </w:tbl>
    <w:p w14:paraId="2B2DC239" w14:textId="39CE5A71" w:rsidR="003F4BA4" w:rsidRPr="0088258B" w:rsidRDefault="003F4BA4" w:rsidP="003F4BA4">
      <w:pPr>
        <w:spacing w:after="0" w:line="240" w:lineRule="auto"/>
        <w:jc w:val="both"/>
        <w:rPr>
          <w:rFonts w:ascii="Times New Roman" w:hAnsi="Times New Roman" w:cs="Times New Roman"/>
          <w:sz w:val="18"/>
          <w:szCs w:val="18"/>
        </w:rPr>
      </w:pPr>
      <w:r w:rsidRPr="0088258B">
        <w:rPr>
          <w:rFonts w:ascii="Times New Roman" w:hAnsi="Times New Roman" w:cs="Times New Roman"/>
          <w:b/>
          <w:i/>
          <w:sz w:val="18"/>
          <w:szCs w:val="18"/>
        </w:rPr>
        <w:t>Source:</w:t>
      </w:r>
      <w:r w:rsidR="00BF068E">
        <w:rPr>
          <w:rFonts w:ascii="Times New Roman" w:hAnsi="Times New Roman" w:cs="Times New Roman"/>
          <w:sz w:val="18"/>
          <w:szCs w:val="18"/>
        </w:rPr>
        <w:t xml:space="preserve"> Government of India (2022</w:t>
      </w:r>
      <w:r w:rsidRPr="0088258B">
        <w:rPr>
          <w:rFonts w:ascii="Times New Roman" w:hAnsi="Times New Roman" w:cs="Times New Roman"/>
          <w:sz w:val="18"/>
          <w:szCs w:val="18"/>
        </w:rPr>
        <w:t>), Union Budget documents</w:t>
      </w:r>
    </w:p>
    <w:p w14:paraId="1580DFE6" w14:textId="77777777" w:rsidR="003F4BA4" w:rsidRPr="0088258B" w:rsidRDefault="003F4BA4" w:rsidP="003F4BA4">
      <w:pPr>
        <w:shd w:val="clear" w:color="auto" w:fill="FFFFFF"/>
        <w:spacing w:after="0" w:line="240" w:lineRule="auto"/>
        <w:jc w:val="both"/>
        <w:rPr>
          <w:rFonts w:ascii="Times New Roman" w:eastAsia="Times New Roman" w:hAnsi="Times New Roman" w:cs="Times New Roman"/>
          <w:color w:val="222222"/>
          <w:lang w:eastAsia="en-IN"/>
        </w:rPr>
      </w:pPr>
    </w:p>
    <w:p w14:paraId="01BBF031" w14:textId="77777777" w:rsidR="00F90FDF" w:rsidRDefault="008026B6" w:rsidP="00A27452">
      <w:pPr>
        <w:pStyle w:val="NormalWeb"/>
        <w:spacing w:line="360" w:lineRule="auto"/>
        <w:jc w:val="both"/>
        <w:rPr>
          <w:sz w:val="22"/>
          <w:szCs w:val="22"/>
        </w:rPr>
      </w:pPr>
      <w:r w:rsidRPr="008026B6">
        <w:rPr>
          <w:rFonts w:eastAsia="Times New Roman"/>
          <w:color w:val="222222"/>
          <w:sz w:val="22"/>
          <w:szCs w:val="22"/>
          <w:lang w:eastAsia="en-IN"/>
        </w:rPr>
        <w:t>The revenue deficit to fiscal deficit ratio i</w:t>
      </w:r>
      <w:r w:rsidR="0074188B">
        <w:rPr>
          <w:rFonts w:eastAsia="Times New Roman"/>
          <w:color w:val="222222"/>
          <w:sz w:val="22"/>
          <w:szCs w:val="22"/>
          <w:lang w:eastAsia="en-IN"/>
        </w:rPr>
        <w:t xml:space="preserve">s 59.61 per cent in 2022-23 BE. This ratio </w:t>
      </w:r>
      <w:r w:rsidRPr="008026B6">
        <w:rPr>
          <w:rFonts w:eastAsia="Times New Roman"/>
          <w:color w:val="222222"/>
          <w:sz w:val="22"/>
          <w:szCs w:val="22"/>
          <w:lang w:eastAsia="en-IN"/>
        </w:rPr>
        <w:t>was 79.72 per cent in 2021-22 Actuals (Table 1).</w:t>
      </w:r>
      <w:r>
        <w:rPr>
          <w:rFonts w:eastAsia="Times New Roman"/>
          <w:color w:val="222222"/>
          <w:sz w:val="22"/>
          <w:szCs w:val="22"/>
          <w:lang w:eastAsia="en-IN"/>
        </w:rPr>
        <w:t xml:space="preserve"> The primary deficit, which is difference between fiscal deficit and interest payments, is pegged at 2.8 per cent in 2022-23 BE. The primary deficit to GDP has reduced from 5.8 per cent in 2021-22 (actuals) to 3.3 per cent in 2021-22 (RE). The primary deficit reflects the current fiscal policy stance of the government, without the legacy of past interest liabilities. </w:t>
      </w:r>
      <w:r w:rsidR="001E3E06">
        <w:rPr>
          <w:rFonts w:eastAsia="Times New Roman"/>
          <w:color w:val="222222"/>
          <w:sz w:val="22"/>
          <w:szCs w:val="22"/>
          <w:lang w:eastAsia="en-IN"/>
        </w:rPr>
        <w:t>The Union Budget 2022-23 needs to be co-read with the FRBM Act, which includes the statements of the macroeconomic framewo</w:t>
      </w:r>
      <w:r w:rsidR="00722687">
        <w:rPr>
          <w:rFonts w:eastAsia="Times New Roman"/>
          <w:color w:val="222222"/>
          <w:sz w:val="22"/>
          <w:szCs w:val="22"/>
          <w:lang w:eastAsia="en-IN"/>
        </w:rPr>
        <w:t>r</w:t>
      </w:r>
      <w:r w:rsidR="001E3E06">
        <w:rPr>
          <w:rFonts w:eastAsia="Times New Roman"/>
          <w:color w:val="222222"/>
          <w:sz w:val="22"/>
          <w:szCs w:val="22"/>
          <w:lang w:eastAsia="en-IN"/>
        </w:rPr>
        <w:t xml:space="preserve">k and medium term fiscal policy cum strategy </w:t>
      </w:r>
      <w:r w:rsidR="00722687">
        <w:rPr>
          <w:rFonts w:eastAsia="Times New Roman"/>
          <w:color w:val="222222"/>
          <w:sz w:val="22"/>
          <w:szCs w:val="22"/>
          <w:lang w:eastAsia="en-IN"/>
        </w:rPr>
        <w:t xml:space="preserve">to reduce the current general government debt to GDP of 90.6 per cent </w:t>
      </w:r>
      <w:r w:rsidR="001E3E06">
        <w:rPr>
          <w:rFonts w:eastAsia="Times New Roman"/>
          <w:color w:val="222222"/>
          <w:sz w:val="22"/>
          <w:szCs w:val="22"/>
          <w:lang w:eastAsia="en-IN"/>
        </w:rPr>
        <w:t xml:space="preserve">(Singh, 2022). </w:t>
      </w:r>
      <w:r w:rsidR="00243001">
        <w:rPr>
          <w:rFonts w:eastAsia="Times New Roman"/>
          <w:color w:val="222222"/>
          <w:sz w:val="22"/>
          <w:szCs w:val="22"/>
          <w:lang w:eastAsia="en-IN"/>
        </w:rPr>
        <w:t xml:space="preserve">However, the efficacy of </w:t>
      </w:r>
      <w:r w:rsidR="00243001">
        <w:rPr>
          <w:sz w:val="22"/>
          <w:szCs w:val="22"/>
        </w:rPr>
        <w:t>“</w:t>
      </w:r>
      <w:r w:rsidR="00A268DD" w:rsidRPr="00A268DD">
        <w:rPr>
          <w:sz w:val="22"/>
          <w:szCs w:val="22"/>
        </w:rPr>
        <w:t>cy</w:t>
      </w:r>
      <w:r w:rsidR="00F74881">
        <w:rPr>
          <w:sz w:val="22"/>
          <w:szCs w:val="22"/>
        </w:rPr>
        <w:t>clically neutral fiscal deficit</w:t>
      </w:r>
      <w:r w:rsidR="00243001">
        <w:rPr>
          <w:sz w:val="22"/>
          <w:szCs w:val="22"/>
        </w:rPr>
        <w:t xml:space="preserve">” needs to be threaded with caution, because if the fall in GDP is a permanent drop </w:t>
      </w:r>
      <w:r w:rsidR="00A268DD" w:rsidRPr="00A268DD">
        <w:rPr>
          <w:sz w:val="22"/>
          <w:szCs w:val="22"/>
        </w:rPr>
        <w:t>from the trend growth rather than a</w:t>
      </w:r>
      <w:r w:rsidR="0078499A">
        <w:rPr>
          <w:sz w:val="22"/>
          <w:szCs w:val="22"/>
        </w:rPr>
        <w:t xml:space="preserve"> </w:t>
      </w:r>
      <w:r w:rsidR="00243001">
        <w:rPr>
          <w:sz w:val="22"/>
          <w:szCs w:val="22"/>
        </w:rPr>
        <w:t xml:space="preserve">transient </w:t>
      </w:r>
      <w:r w:rsidR="0078499A">
        <w:rPr>
          <w:sz w:val="22"/>
          <w:szCs w:val="22"/>
        </w:rPr>
        <w:t>deviation,</w:t>
      </w:r>
      <w:r w:rsidR="00A268DD" w:rsidRPr="00A268DD">
        <w:rPr>
          <w:sz w:val="22"/>
          <w:szCs w:val="22"/>
        </w:rPr>
        <w:t xml:space="preserve"> it is incorrect to assume that an upturn in bu</w:t>
      </w:r>
      <w:r w:rsidR="0078499A">
        <w:rPr>
          <w:sz w:val="22"/>
          <w:szCs w:val="22"/>
        </w:rPr>
        <w:t>siness cycle can eliminate the cyclical</w:t>
      </w:r>
      <w:r w:rsidR="00A268DD" w:rsidRPr="00A268DD">
        <w:rPr>
          <w:sz w:val="22"/>
          <w:szCs w:val="22"/>
        </w:rPr>
        <w:t xml:space="preserve"> part of deficit</w:t>
      </w:r>
      <w:r w:rsidR="001223CA">
        <w:rPr>
          <w:sz w:val="22"/>
          <w:szCs w:val="22"/>
        </w:rPr>
        <w:t xml:space="preserve"> (Chakraborty, 2021)</w:t>
      </w:r>
      <w:r w:rsidR="00A268DD" w:rsidRPr="00A268DD">
        <w:rPr>
          <w:sz w:val="22"/>
          <w:szCs w:val="22"/>
        </w:rPr>
        <w:t xml:space="preserve">. </w:t>
      </w:r>
      <w:r w:rsidR="00F90FDF">
        <w:rPr>
          <w:sz w:val="22"/>
          <w:szCs w:val="22"/>
        </w:rPr>
        <w:t xml:space="preserve"> </w:t>
      </w:r>
    </w:p>
    <w:p w14:paraId="01EBDEF3" w14:textId="33F571D8" w:rsidR="00A268DD" w:rsidRPr="00A268DD" w:rsidRDefault="00F90FDF" w:rsidP="00F90FDF">
      <w:pPr>
        <w:pStyle w:val="NormalWeb"/>
        <w:spacing w:line="360" w:lineRule="auto"/>
        <w:ind w:firstLine="720"/>
        <w:jc w:val="both"/>
        <w:rPr>
          <w:sz w:val="22"/>
          <w:szCs w:val="22"/>
        </w:rPr>
      </w:pPr>
      <w:r>
        <w:rPr>
          <w:sz w:val="22"/>
          <w:szCs w:val="22"/>
        </w:rPr>
        <w:t xml:space="preserve">The fiscal rules at the State level has been revised and borrowing limit of 4 per cent than the 3 per cent in the state FRBM with 0.5 per cent is efficiency parameter-linked to power sector </w:t>
      </w:r>
      <w:r w:rsidR="00B76E30">
        <w:rPr>
          <w:sz w:val="22"/>
          <w:szCs w:val="22"/>
        </w:rPr>
        <w:t xml:space="preserve">reforms. In addition to this, a capital outlay of Rs one lakh crore is transferred to the </w:t>
      </w:r>
      <w:r>
        <w:rPr>
          <w:sz w:val="22"/>
          <w:szCs w:val="22"/>
        </w:rPr>
        <w:t xml:space="preserve">States </w:t>
      </w:r>
      <w:r w:rsidR="00B76E30">
        <w:rPr>
          <w:sz w:val="22"/>
          <w:szCs w:val="22"/>
        </w:rPr>
        <w:t xml:space="preserve">for strengthening their infrastructure development through state highways, Pradhan </w:t>
      </w:r>
      <w:proofErr w:type="spellStart"/>
      <w:r w:rsidR="00B76E30">
        <w:rPr>
          <w:sz w:val="22"/>
          <w:szCs w:val="22"/>
        </w:rPr>
        <w:t>Mantri</w:t>
      </w:r>
      <w:proofErr w:type="spellEnd"/>
      <w:r w:rsidR="00B76E30">
        <w:rPr>
          <w:sz w:val="22"/>
          <w:szCs w:val="22"/>
        </w:rPr>
        <w:t xml:space="preserve"> Gram </w:t>
      </w:r>
      <w:proofErr w:type="spellStart"/>
      <w:r w:rsidR="00B76E30">
        <w:rPr>
          <w:sz w:val="22"/>
          <w:szCs w:val="22"/>
        </w:rPr>
        <w:t>Sadak</w:t>
      </w:r>
      <w:proofErr w:type="spellEnd"/>
      <w:r w:rsidR="00B76E30">
        <w:rPr>
          <w:sz w:val="22"/>
          <w:szCs w:val="22"/>
        </w:rPr>
        <w:t xml:space="preserve"> Yojana and other related capital projects. </w:t>
      </w:r>
      <w:r w:rsidR="001E6190">
        <w:rPr>
          <w:sz w:val="22"/>
          <w:szCs w:val="22"/>
        </w:rPr>
        <w:t xml:space="preserve">This focus on infrastructure projects to the states is against the backdrop of State elections. However, the Union Budget 2022-23 has not engaged in populist policy announcements to incentivize the “calculus of consent” of voters.  </w:t>
      </w:r>
    </w:p>
    <w:p w14:paraId="6400F31A" w14:textId="53111BFB" w:rsidR="008D223E" w:rsidRDefault="001E6190" w:rsidP="00907614">
      <w:pPr>
        <w:shd w:val="clear" w:color="auto" w:fill="FFFFFF"/>
        <w:spacing w:after="0" w:line="360" w:lineRule="auto"/>
        <w:ind w:firstLine="720"/>
        <w:jc w:val="both"/>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A</w:t>
      </w:r>
      <w:r w:rsidR="00907614">
        <w:rPr>
          <w:rFonts w:ascii="Times New Roman" w:eastAsia="Times New Roman" w:hAnsi="Times New Roman" w:cs="Times New Roman"/>
          <w:color w:val="222222"/>
          <w:lang w:eastAsia="en-IN"/>
        </w:rPr>
        <w:t xml:space="preserve"> t</w:t>
      </w:r>
      <w:r w:rsidR="004D1698">
        <w:rPr>
          <w:rFonts w:ascii="Times New Roman" w:eastAsia="Times New Roman" w:hAnsi="Times New Roman" w:cs="Times New Roman"/>
          <w:color w:val="222222"/>
          <w:lang w:eastAsia="en-IN"/>
        </w:rPr>
        <w:t>hreshold-ratio of debt and deficit and the fiscal rules might prove detrimental in the time of pandemic as it constraints the fiscal space. High p</w:t>
      </w:r>
      <w:r w:rsidR="004D1698" w:rsidRPr="004D1698">
        <w:rPr>
          <w:rFonts w:ascii="Times New Roman" w:eastAsia="Times New Roman" w:hAnsi="Times New Roman" w:cs="Times New Roman"/>
          <w:color w:val="222222"/>
          <w:lang w:eastAsia="en-IN"/>
        </w:rPr>
        <w:t xml:space="preserve">ublic debt has no fiscal costs if real rate of interest </w:t>
      </w:r>
      <w:r w:rsidR="00424B5C">
        <w:rPr>
          <w:rFonts w:ascii="Times New Roman" w:eastAsia="Times New Roman" w:hAnsi="Times New Roman" w:cs="Times New Roman"/>
          <w:color w:val="222222"/>
          <w:lang w:eastAsia="en-IN"/>
        </w:rPr>
        <w:t xml:space="preserve"> (.r) </w:t>
      </w:r>
      <w:r w:rsidR="004D1698" w:rsidRPr="004D1698">
        <w:rPr>
          <w:rFonts w:ascii="Times New Roman" w:eastAsia="Times New Roman" w:hAnsi="Times New Roman" w:cs="Times New Roman"/>
          <w:color w:val="222222"/>
          <w:lang w:eastAsia="en-IN"/>
        </w:rPr>
        <w:t>is not greater than r</w:t>
      </w:r>
      <w:r w:rsidR="004D1698">
        <w:rPr>
          <w:rFonts w:ascii="Times New Roman" w:eastAsia="Times New Roman" w:hAnsi="Times New Roman" w:cs="Times New Roman"/>
          <w:color w:val="222222"/>
          <w:lang w:eastAsia="en-IN"/>
        </w:rPr>
        <w:t xml:space="preserve">eal rate of growth </w:t>
      </w:r>
      <w:r w:rsidR="00424B5C">
        <w:rPr>
          <w:rFonts w:ascii="Times New Roman" w:eastAsia="Times New Roman" w:hAnsi="Times New Roman" w:cs="Times New Roman"/>
          <w:color w:val="222222"/>
          <w:lang w:eastAsia="en-IN"/>
        </w:rPr>
        <w:t xml:space="preserve">(g) </w:t>
      </w:r>
      <w:r w:rsidR="004D1698">
        <w:rPr>
          <w:rFonts w:ascii="Times New Roman" w:eastAsia="Times New Roman" w:hAnsi="Times New Roman" w:cs="Times New Roman"/>
          <w:color w:val="222222"/>
          <w:lang w:eastAsia="en-IN"/>
        </w:rPr>
        <w:t xml:space="preserve">of economy. </w:t>
      </w:r>
      <w:r w:rsidR="00761A8A" w:rsidRPr="008D223E">
        <w:rPr>
          <w:rFonts w:ascii="Times New Roman" w:hAnsi="Times New Roman" w:cs="Times New Roman"/>
        </w:rPr>
        <w:t xml:space="preserve">In </w:t>
      </w:r>
      <w:r w:rsidR="00907614">
        <w:rPr>
          <w:rFonts w:ascii="Times New Roman" w:hAnsi="Times New Roman" w:cs="Times New Roman"/>
        </w:rPr>
        <w:t xml:space="preserve">the </w:t>
      </w:r>
      <w:r w:rsidR="00761A8A" w:rsidRPr="008D223E">
        <w:rPr>
          <w:rFonts w:ascii="Times New Roman" w:hAnsi="Times New Roman" w:cs="Times New Roman"/>
        </w:rPr>
        <w:t xml:space="preserve">Union Budget 2022-23 BE, the fiscal </w:t>
      </w:r>
      <w:r w:rsidR="00761A8A" w:rsidRPr="008D223E">
        <w:rPr>
          <w:rFonts w:ascii="Times New Roman" w:hAnsi="Times New Roman" w:cs="Times New Roman"/>
        </w:rPr>
        <w:lastRenderedPageBreak/>
        <w:t xml:space="preserve">deficit to GDP ratio is pegged to be 6.4 per cent. </w:t>
      </w:r>
      <w:r w:rsidR="00AE3A0F" w:rsidRPr="008D223E">
        <w:rPr>
          <w:rFonts w:ascii="Times New Roman" w:hAnsi="Times New Roman" w:cs="Times New Roman"/>
        </w:rPr>
        <w:t xml:space="preserve">In the last </w:t>
      </w:r>
      <w:r w:rsidR="00510164" w:rsidRPr="008D223E">
        <w:rPr>
          <w:rFonts w:ascii="Times New Roman" w:hAnsi="Times New Roman" w:cs="Times New Roman"/>
        </w:rPr>
        <w:t xml:space="preserve">Union </w:t>
      </w:r>
      <w:r w:rsidR="00AE3A0F" w:rsidRPr="008D223E">
        <w:rPr>
          <w:rFonts w:ascii="Times New Roman" w:hAnsi="Times New Roman" w:cs="Times New Roman"/>
        </w:rPr>
        <w:t xml:space="preserve">Budget, </w:t>
      </w:r>
      <w:r w:rsidR="00510164" w:rsidRPr="008D223E">
        <w:rPr>
          <w:rFonts w:ascii="Times New Roman" w:hAnsi="Times New Roman" w:cs="Times New Roman"/>
        </w:rPr>
        <w:t xml:space="preserve">budget transparency was given an emphasis, by incorporating a portion of off-budget borrowings – for instance, The Food Corporation of India’s borrowings from the National Small Savings Fund (NSSF) was stopped. Therefore, the fiscal deficit of 9.2 per cent of GDP in 2021-22 was inclusive of budget transparency as well, along with new expenditure priorities. </w:t>
      </w:r>
      <w:r w:rsidR="008D223E" w:rsidRPr="008D223E">
        <w:rPr>
          <w:rFonts w:ascii="Times New Roman" w:eastAsia="Times New Roman" w:hAnsi="Times New Roman" w:cs="Times New Roman"/>
          <w:color w:val="222222"/>
          <w:lang w:eastAsia="en-IN"/>
        </w:rPr>
        <w:t xml:space="preserve">The sources of financing the fiscal </w:t>
      </w:r>
      <w:r w:rsidR="00EC08DB">
        <w:rPr>
          <w:rFonts w:ascii="Times New Roman" w:eastAsia="Times New Roman" w:hAnsi="Times New Roman" w:cs="Times New Roman"/>
          <w:color w:val="222222"/>
          <w:lang w:eastAsia="en-IN"/>
        </w:rPr>
        <w:t xml:space="preserve">deficit </w:t>
      </w:r>
      <w:r w:rsidR="008D223E" w:rsidRPr="008D223E">
        <w:rPr>
          <w:rFonts w:ascii="Times New Roman" w:eastAsia="Times New Roman" w:hAnsi="Times New Roman" w:cs="Times New Roman"/>
          <w:color w:val="222222"/>
          <w:lang w:eastAsia="en-IN"/>
        </w:rPr>
        <w:t xml:space="preserve">show that </w:t>
      </w:r>
      <w:r w:rsidR="00EC08DB">
        <w:rPr>
          <w:rFonts w:ascii="Times New Roman" w:eastAsia="Times New Roman" w:hAnsi="Times New Roman" w:cs="Times New Roman"/>
          <w:color w:val="222222"/>
          <w:lang w:eastAsia="en-IN"/>
        </w:rPr>
        <w:t xml:space="preserve">there is a deviation between BE and RE for the </w:t>
      </w:r>
      <w:r w:rsidR="008D223E" w:rsidRPr="008D223E">
        <w:rPr>
          <w:rFonts w:ascii="Times New Roman" w:eastAsia="Times New Roman" w:hAnsi="Times New Roman" w:cs="Times New Roman"/>
          <w:color w:val="222222"/>
          <w:lang w:eastAsia="en-IN"/>
        </w:rPr>
        <w:t>gross market borrowing</w:t>
      </w:r>
      <w:r w:rsidR="00EC08DB">
        <w:rPr>
          <w:rFonts w:ascii="Times New Roman" w:eastAsia="Times New Roman" w:hAnsi="Times New Roman" w:cs="Times New Roman"/>
          <w:color w:val="222222"/>
          <w:lang w:eastAsia="en-IN"/>
        </w:rPr>
        <w:t xml:space="preserve"> in 2021-22, from Rs 9</w:t>
      </w:r>
      <w:r w:rsidR="006D2EBD">
        <w:rPr>
          <w:rFonts w:ascii="Times New Roman" w:eastAsia="Times New Roman" w:hAnsi="Times New Roman" w:cs="Times New Roman"/>
          <w:color w:val="222222"/>
          <w:lang w:eastAsia="en-IN"/>
        </w:rPr>
        <w:t>,</w:t>
      </w:r>
      <w:r w:rsidR="00EC08DB">
        <w:rPr>
          <w:rFonts w:ascii="Times New Roman" w:eastAsia="Times New Roman" w:hAnsi="Times New Roman" w:cs="Times New Roman"/>
          <w:color w:val="222222"/>
          <w:lang w:eastAsia="en-IN"/>
        </w:rPr>
        <w:t>74</w:t>
      </w:r>
      <w:r w:rsidR="006D2EBD">
        <w:rPr>
          <w:rFonts w:ascii="Times New Roman" w:eastAsia="Times New Roman" w:hAnsi="Times New Roman" w:cs="Times New Roman"/>
          <w:color w:val="222222"/>
          <w:lang w:eastAsia="en-IN"/>
        </w:rPr>
        <w:t>,</w:t>
      </w:r>
      <w:r w:rsidR="00EC08DB">
        <w:rPr>
          <w:rFonts w:ascii="Times New Roman" w:eastAsia="Times New Roman" w:hAnsi="Times New Roman" w:cs="Times New Roman"/>
          <w:color w:val="222222"/>
          <w:lang w:eastAsia="en-IN"/>
        </w:rPr>
        <w:t>708 crores to Rs 8</w:t>
      </w:r>
      <w:r w:rsidR="006D2EBD">
        <w:rPr>
          <w:rFonts w:ascii="Times New Roman" w:eastAsia="Times New Roman" w:hAnsi="Times New Roman" w:cs="Times New Roman"/>
          <w:color w:val="222222"/>
          <w:lang w:eastAsia="en-IN"/>
        </w:rPr>
        <w:t>,</w:t>
      </w:r>
      <w:r w:rsidR="00EC08DB">
        <w:rPr>
          <w:rFonts w:ascii="Times New Roman" w:eastAsia="Times New Roman" w:hAnsi="Times New Roman" w:cs="Times New Roman"/>
          <w:color w:val="222222"/>
          <w:lang w:eastAsia="en-IN"/>
        </w:rPr>
        <w:t>75</w:t>
      </w:r>
      <w:r w:rsidR="006D2EBD">
        <w:rPr>
          <w:rFonts w:ascii="Times New Roman" w:eastAsia="Times New Roman" w:hAnsi="Times New Roman" w:cs="Times New Roman"/>
          <w:color w:val="222222"/>
          <w:lang w:eastAsia="en-IN"/>
        </w:rPr>
        <w:t>,</w:t>
      </w:r>
      <w:r w:rsidR="00EC08DB">
        <w:rPr>
          <w:rFonts w:ascii="Times New Roman" w:eastAsia="Times New Roman" w:hAnsi="Times New Roman" w:cs="Times New Roman"/>
          <w:color w:val="222222"/>
          <w:lang w:eastAsia="en-IN"/>
        </w:rPr>
        <w:t xml:space="preserve">771 crores. </w:t>
      </w:r>
    </w:p>
    <w:p w14:paraId="6D7CA715" w14:textId="77777777" w:rsidR="008026B6" w:rsidRPr="008D223E" w:rsidRDefault="008026B6" w:rsidP="008D223E">
      <w:pPr>
        <w:shd w:val="clear" w:color="auto" w:fill="FFFFFF"/>
        <w:spacing w:after="0" w:line="240" w:lineRule="auto"/>
        <w:ind w:firstLine="720"/>
        <w:jc w:val="both"/>
        <w:rPr>
          <w:rFonts w:ascii="Times New Roman" w:eastAsia="Times New Roman" w:hAnsi="Times New Roman" w:cs="Times New Roman"/>
          <w:color w:val="222222"/>
          <w:lang w:eastAsia="en-IN"/>
        </w:rPr>
      </w:pPr>
    </w:p>
    <w:p w14:paraId="0CAB5B1C" w14:textId="6222D09B" w:rsidR="00236F81" w:rsidRPr="008026B6" w:rsidRDefault="008026B6" w:rsidP="008026B6">
      <w:pPr>
        <w:spacing w:after="0" w:line="240" w:lineRule="auto"/>
        <w:jc w:val="center"/>
        <w:rPr>
          <w:rFonts w:ascii="Times New Roman" w:hAnsi="Times New Roman" w:cs="Times New Roman"/>
        </w:rPr>
      </w:pPr>
      <w:r w:rsidRPr="008026B6">
        <w:rPr>
          <w:rFonts w:ascii="Times New Roman" w:hAnsi="Times New Roman" w:cs="Times New Roman"/>
          <w:b/>
        </w:rPr>
        <w:t>Table 2:</w:t>
      </w:r>
      <w:r w:rsidRPr="008026B6">
        <w:rPr>
          <w:rFonts w:ascii="Times New Roman" w:hAnsi="Times New Roman" w:cs="Times New Roman"/>
        </w:rPr>
        <w:t xml:space="preserve"> Sources of Financing Fiscal Deficit (Rs crores)</w:t>
      </w:r>
    </w:p>
    <w:tbl>
      <w:tblPr>
        <w:tblW w:w="7460" w:type="dxa"/>
        <w:tblLook w:val="04A0" w:firstRow="1" w:lastRow="0" w:firstColumn="1" w:lastColumn="0" w:noHBand="0" w:noVBand="1"/>
      </w:tblPr>
      <w:tblGrid>
        <w:gridCol w:w="1246"/>
        <w:gridCol w:w="811"/>
        <w:gridCol w:w="858"/>
        <w:gridCol w:w="874"/>
        <w:gridCol w:w="969"/>
        <w:gridCol w:w="732"/>
        <w:gridCol w:w="700"/>
        <w:gridCol w:w="680"/>
        <w:gridCol w:w="590"/>
      </w:tblGrid>
      <w:tr w:rsidR="006D2EBD" w:rsidRPr="001E5C68" w14:paraId="6E760B26" w14:textId="77777777" w:rsidTr="00BF5D9F">
        <w:trPr>
          <w:trHeight w:val="520"/>
        </w:trPr>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025921B5" w14:textId="77777777" w:rsidR="006D2EBD" w:rsidRPr="001E5C68" w:rsidRDefault="006D2EBD"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w:t>
            </w:r>
          </w:p>
        </w:tc>
        <w:tc>
          <w:tcPr>
            <w:tcW w:w="811" w:type="dxa"/>
            <w:tcBorders>
              <w:top w:val="single" w:sz="4" w:space="0" w:color="auto"/>
              <w:left w:val="nil"/>
              <w:bottom w:val="single" w:sz="4" w:space="0" w:color="auto"/>
              <w:right w:val="single" w:sz="4" w:space="0" w:color="auto"/>
            </w:tcBorders>
            <w:shd w:val="clear" w:color="auto" w:fill="auto"/>
            <w:hideMark/>
          </w:tcPr>
          <w:p w14:paraId="306ED028" w14:textId="77777777" w:rsidR="006D2EBD" w:rsidRPr="001E5C68" w:rsidRDefault="006D2EBD" w:rsidP="001E5C68">
            <w:pPr>
              <w:spacing w:after="0" w:line="240" w:lineRule="auto"/>
              <w:jc w:val="right"/>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 xml:space="preserve">2020-21 Actuals </w:t>
            </w:r>
          </w:p>
        </w:tc>
        <w:tc>
          <w:tcPr>
            <w:tcW w:w="858" w:type="dxa"/>
            <w:tcBorders>
              <w:top w:val="single" w:sz="4" w:space="0" w:color="auto"/>
              <w:left w:val="nil"/>
              <w:bottom w:val="single" w:sz="4" w:space="0" w:color="auto"/>
              <w:right w:val="single" w:sz="4" w:space="0" w:color="auto"/>
            </w:tcBorders>
            <w:shd w:val="clear" w:color="auto" w:fill="auto"/>
            <w:hideMark/>
          </w:tcPr>
          <w:p w14:paraId="2634593D" w14:textId="77777777" w:rsidR="006D2EBD" w:rsidRPr="001E5C68" w:rsidRDefault="006D2EBD" w:rsidP="001E5C68">
            <w:pPr>
              <w:spacing w:after="0" w:line="240" w:lineRule="auto"/>
              <w:jc w:val="right"/>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2021-22 BE</w:t>
            </w:r>
          </w:p>
        </w:tc>
        <w:tc>
          <w:tcPr>
            <w:tcW w:w="874" w:type="dxa"/>
            <w:tcBorders>
              <w:top w:val="single" w:sz="4" w:space="0" w:color="auto"/>
              <w:left w:val="nil"/>
              <w:bottom w:val="single" w:sz="4" w:space="0" w:color="auto"/>
              <w:right w:val="single" w:sz="4" w:space="0" w:color="auto"/>
            </w:tcBorders>
            <w:shd w:val="clear" w:color="auto" w:fill="auto"/>
            <w:hideMark/>
          </w:tcPr>
          <w:p w14:paraId="41504750" w14:textId="77777777" w:rsidR="006D2EBD" w:rsidRPr="001E5C68" w:rsidRDefault="006D2EBD" w:rsidP="001E5C68">
            <w:pPr>
              <w:spacing w:after="0" w:line="240" w:lineRule="auto"/>
              <w:jc w:val="right"/>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2021-22 RE</w:t>
            </w:r>
          </w:p>
        </w:tc>
        <w:tc>
          <w:tcPr>
            <w:tcW w:w="969" w:type="dxa"/>
            <w:tcBorders>
              <w:top w:val="single" w:sz="4" w:space="0" w:color="auto"/>
              <w:left w:val="nil"/>
              <w:bottom w:val="single" w:sz="4" w:space="0" w:color="auto"/>
              <w:right w:val="single" w:sz="4" w:space="0" w:color="auto"/>
            </w:tcBorders>
            <w:shd w:val="clear" w:color="auto" w:fill="auto"/>
            <w:hideMark/>
          </w:tcPr>
          <w:p w14:paraId="3FCC8CD9" w14:textId="77777777" w:rsidR="006D2EBD" w:rsidRPr="001E5C68" w:rsidRDefault="006D2EBD" w:rsidP="001E5C68">
            <w:pPr>
              <w:spacing w:after="0" w:line="240" w:lineRule="auto"/>
              <w:jc w:val="right"/>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2022-23 BE</w:t>
            </w:r>
          </w:p>
        </w:tc>
        <w:tc>
          <w:tcPr>
            <w:tcW w:w="2702" w:type="dxa"/>
            <w:gridSpan w:val="4"/>
            <w:tcBorders>
              <w:top w:val="single" w:sz="4" w:space="0" w:color="auto"/>
              <w:left w:val="nil"/>
              <w:bottom w:val="single" w:sz="4" w:space="0" w:color="auto"/>
              <w:right w:val="single" w:sz="4" w:space="0" w:color="auto"/>
            </w:tcBorders>
            <w:shd w:val="clear" w:color="auto" w:fill="auto"/>
            <w:hideMark/>
          </w:tcPr>
          <w:p w14:paraId="1D5C069A" w14:textId="5FDB33FB" w:rsidR="006D2EBD" w:rsidRPr="001E5C68" w:rsidRDefault="006D2EBD" w:rsidP="001E5C68">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Composition</w:t>
            </w:r>
          </w:p>
        </w:tc>
      </w:tr>
      <w:tr w:rsidR="001E5C68" w:rsidRPr="001E5C68" w14:paraId="5D54942A" w14:textId="77777777" w:rsidTr="001E5C68">
        <w:trPr>
          <w:trHeight w:val="390"/>
        </w:trPr>
        <w:tc>
          <w:tcPr>
            <w:tcW w:w="1246" w:type="dxa"/>
            <w:tcBorders>
              <w:top w:val="nil"/>
              <w:left w:val="single" w:sz="4" w:space="0" w:color="auto"/>
              <w:bottom w:val="single" w:sz="4" w:space="0" w:color="auto"/>
              <w:right w:val="single" w:sz="4" w:space="0" w:color="auto"/>
            </w:tcBorders>
            <w:shd w:val="clear" w:color="auto" w:fill="auto"/>
            <w:hideMark/>
          </w:tcPr>
          <w:p w14:paraId="41969C67" w14:textId="77777777" w:rsidR="001E5C68" w:rsidRPr="001E5C68" w:rsidRDefault="001E5C68" w:rsidP="001E5C68">
            <w:pPr>
              <w:spacing w:after="0" w:line="240" w:lineRule="auto"/>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 Debt Receipts (Net)</w:t>
            </w:r>
          </w:p>
        </w:tc>
        <w:tc>
          <w:tcPr>
            <w:tcW w:w="811" w:type="dxa"/>
            <w:tcBorders>
              <w:top w:val="nil"/>
              <w:left w:val="nil"/>
              <w:bottom w:val="single" w:sz="4" w:space="0" w:color="auto"/>
              <w:right w:val="single" w:sz="4" w:space="0" w:color="auto"/>
            </w:tcBorders>
            <w:shd w:val="clear" w:color="auto" w:fill="auto"/>
            <w:hideMark/>
          </w:tcPr>
          <w:p w14:paraId="49FAEEF6"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1825479</w:t>
            </w:r>
          </w:p>
        </w:tc>
        <w:tc>
          <w:tcPr>
            <w:tcW w:w="858" w:type="dxa"/>
            <w:tcBorders>
              <w:top w:val="nil"/>
              <w:left w:val="nil"/>
              <w:bottom w:val="single" w:sz="4" w:space="0" w:color="auto"/>
              <w:right w:val="single" w:sz="4" w:space="0" w:color="auto"/>
            </w:tcBorders>
            <w:shd w:val="clear" w:color="auto" w:fill="auto"/>
            <w:hideMark/>
          </w:tcPr>
          <w:p w14:paraId="3AAE4183"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1435428</w:t>
            </w:r>
          </w:p>
        </w:tc>
        <w:tc>
          <w:tcPr>
            <w:tcW w:w="874" w:type="dxa"/>
            <w:tcBorders>
              <w:top w:val="nil"/>
              <w:left w:val="nil"/>
              <w:bottom w:val="single" w:sz="4" w:space="0" w:color="auto"/>
              <w:right w:val="single" w:sz="4" w:space="0" w:color="auto"/>
            </w:tcBorders>
            <w:shd w:val="clear" w:color="auto" w:fill="auto"/>
            <w:hideMark/>
          </w:tcPr>
          <w:p w14:paraId="4A1418E1"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1416902</w:t>
            </w:r>
          </w:p>
        </w:tc>
        <w:tc>
          <w:tcPr>
            <w:tcW w:w="969" w:type="dxa"/>
            <w:tcBorders>
              <w:top w:val="nil"/>
              <w:left w:val="nil"/>
              <w:bottom w:val="single" w:sz="4" w:space="0" w:color="auto"/>
              <w:right w:val="single" w:sz="4" w:space="0" w:color="auto"/>
            </w:tcBorders>
            <w:shd w:val="clear" w:color="auto" w:fill="auto"/>
            <w:hideMark/>
          </w:tcPr>
          <w:p w14:paraId="000B44DC"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1660444</w:t>
            </w:r>
          </w:p>
        </w:tc>
        <w:tc>
          <w:tcPr>
            <w:tcW w:w="732" w:type="dxa"/>
            <w:tcBorders>
              <w:top w:val="nil"/>
              <w:left w:val="nil"/>
              <w:bottom w:val="single" w:sz="4" w:space="0" w:color="auto"/>
              <w:right w:val="single" w:sz="4" w:space="0" w:color="auto"/>
            </w:tcBorders>
            <w:shd w:val="clear" w:color="auto" w:fill="auto"/>
            <w:noWrap/>
            <w:vAlign w:val="bottom"/>
            <w:hideMark/>
          </w:tcPr>
          <w:p w14:paraId="4B5D6C96" w14:textId="02FB3F01" w:rsidR="001E5C68" w:rsidRPr="001E5C68" w:rsidRDefault="001E5C68" w:rsidP="001E5C68">
            <w:pPr>
              <w:spacing w:after="0" w:line="240" w:lineRule="auto"/>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 </w:t>
            </w:r>
            <w:r w:rsidR="006D2EBD" w:rsidRPr="001E5C68">
              <w:rPr>
                <w:rFonts w:ascii="Times New Roman" w:eastAsia="Times New Roman" w:hAnsi="Times New Roman" w:cs="Times New Roman"/>
                <w:b/>
                <w:bCs/>
                <w:color w:val="000000"/>
                <w:sz w:val="16"/>
                <w:szCs w:val="16"/>
                <w:lang w:val="en-US"/>
              </w:rPr>
              <w:t>2020-21 Actuals</w:t>
            </w:r>
          </w:p>
        </w:tc>
        <w:tc>
          <w:tcPr>
            <w:tcW w:w="700" w:type="dxa"/>
            <w:tcBorders>
              <w:top w:val="nil"/>
              <w:left w:val="nil"/>
              <w:bottom w:val="single" w:sz="4" w:space="0" w:color="auto"/>
              <w:right w:val="single" w:sz="4" w:space="0" w:color="auto"/>
            </w:tcBorders>
            <w:shd w:val="clear" w:color="auto" w:fill="auto"/>
            <w:noWrap/>
            <w:hideMark/>
          </w:tcPr>
          <w:p w14:paraId="5A1B86F7" w14:textId="3C3671C1" w:rsidR="001E5C68" w:rsidRPr="001E5C68" w:rsidRDefault="001E5C68" w:rsidP="001E5C68">
            <w:pPr>
              <w:spacing w:after="0" w:line="240" w:lineRule="auto"/>
              <w:rPr>
                <w:rFonts w:ascii="Times New Roman" w:eastAsia="Times New Roman" w:hAnsi="Times New Roman" w:cs="Times New Roman"/>
                <w:sz w:val="16"/>
                <w:szCs w:val="16"/>
                <w:lang w:val="en-US"/>
              </w:rPr>
            </w:pPr>
            <w:r w:rsidRPr="001E5C68">
              <w:rPr>
                <w:rFonts w:ascii="Times New Roman" w:eastAsia="Times New Roman" w:hAnsi="Times New Roman" w:cs="Times New Roman"/>
                <w:b/>
                <w:bCs/>
                <w:color w:val="000000"/>
                <w:sz w:val="16"/>
                <w:szCs w:val="16"/>
                <w:lang w:val="en-US"/>
              </w:rPr>
              <w:t>2021-22 BE</w:t>
            </w:r>
          </w:p>
        </w:tc>
        <w:tc>
          <w:tcPr>
            <w:tcW w:w="680" w:type="dxa"/>
            <w:tcBorders>
              <w:top w:val="nil"/>
              <w:left w:val="nil"/>
              <w:bottom w:val="single" w:sz="4" w:space="0" w:color="auto"/>
              <w:right w:val="single" w:sz="4" w:space="0" w:color="auto"/>
            </w:tcBorders>
            <w:shd w:val="clear" w:color="auto" w:fill="auto"/>
            <w:noWrap/>
            <w:hideMark/>
          </w:tcPr>
          <w:p w14:paraId="6D159C5A" w14:textId="7593979E" w:rsidR="001E5C68" w:rsidRPr="001E5C68" w:rsidRDefault="001E5C68" w:rsidP="001E5C68">
            <w:pPr>
              <w:spacing w:after="0" w:line="240" w:lineRule="auto"/>
              <w:rPr>
                <w:rFonts w:ascii="Times New Roman" w:eastAsia="Times New Roman" w:hAnsi="Times New Roman" w:cs="Times New Roman"/>
                <w:sz w:val="16"/>
                <w:szCs w:val="16"/>
                <w:lang w:val="en-US"/>
              </w:rPr>
            </w:pPr>
            <w:r w:rsidRPr="001E5C68">
              <w:rPr>
                <w:rFonts w:ascii="Times New Roman" w:eastAsia="Times New Roman" w:hAnsi="Times New Roman" w:cs="Times New Roman"/>
                <w:b/>
                <w:bCs/>
                <w:color w:val="000000"/>
                <w:sz w:val="16"/>
                <w:szCs w:val="16"/>
                <w:lang w:val="en-US"/>
              </w:rPr>
              <w:t>2021-22 RE</w:t>
            </w:r>
          </w:p>
        </w:tc>
        <w:tc>
          <w:tcPr>
            <w:tcW w:w="590" w:type="dxa"/>
            <w:tcBorders>
              <w:top w:val="nil"/>
              <w:left w:val="nil"/>
              <w:bottom w:val="single" w:sz="4" w:space="0" w:color="auto"/>
              <w:right w:val="single" w:sz="4" w:space="0" w:color="auto"/>
            </w:tcBorders>
            <w:shd w:val="clear" w:color="auto" w:fill="auto"/>
            <w:noWrap/>
            <w:hideMark/>
          </w:tcPr>
          <w:p w14:paraId="711C14BD" w14:textId="585C1AE2" w:rsidR="001E5C68" w:rsidRPr="001E5C68" w:rsidRDefault="001E5C68" w:rsidP="001E5C68">
            <w:pPr>
              <w:spacing w:after="0" w:line="240" w:lineRule="auto"/>
              <w:rPr>
                <w:rFonts w:ascii="Times New Roman" w:eastAsia="Times New Roman" w:hAnsi="Times New Roman" w:cs="Times New Roman"/>
                <w:sz w:val="16"/>
                <w:szCs w:val="16"/>
                <w:lang w:val="en-US"/>
              </w:rPr>
            </w:pPr>
            <w:r w:rsidRPr="001E5C68">
              <w:rPr>
                <w:rFonts w:ascii="Times New Roman" w:eastAsia="Times New Roman" w:hAnsi="Times New Roman" w:cs="Times New Roman"/>
                <w:b/>
                <w:bCs/>
                <w:color w:val="000000"/>
                <w:sz w:val="16"/>
                <w:szCs w:val="16"/>
                <w:lang w:val="en-US"/>
              </w:rPr>
              <w:t>2022-23 BE</w:t>
            </w:r>
          </w:p>
        </w:tc>
      </w:tr>
      <w:tr w:rsidR="001E5C68" w:rsidRPr="001E5C68" w14:paraId="1978FAE4" w14:textId="77777777" w:rsidTr="001E5C68">
        <w:trPr>
          <w:trHeight w:val="780"/>
        </w:trPr>
        <w:tc>
          <w:tcPr>
            <w:tcW w:w="1246" w:type="dxa"/>
            <w:tcBorders>
              <w:top w:val="nil"/>
              <w:left w:val="single" w:sz="4" w:space="0" w:color="auto"/>
              <w:bottom w:val="single" w:sz="4" w:space="0" w:color="auto"/>
              <w:right w:val="single" w:sz="4" w:space="0" w:color="auto"/>
            </w:tcBorders>
            <w:shd w:val="clear" w:color="auto" w:fill="auto"/>
            <w:hideMark/>
          </w:tcPr>
          <w:p w14:paraId="10C4F2B1"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xml:space="preserve">    2. Market Borrowings(G-sec +T Bills)</w:t>
            </w:r>
          </w:p>
        </w:tc>
        <w:tc>
          <w:tcPr>
            <w:tcW w:w="811" w:type="dxa"/>
            <w:tcBorders>
              <w:top w:val="nil"/>
              <w:left w:val="nil"/>
              <w:bottom w:val="single" w:sz="4" w:space="0" w:color="auto"/>
              <w:right w:val="single" w:sz="4" w:space="0" w:color="auto"/>
            </w:tcBorders>
            <w:shd w:val="clear" w:color="auto" w:fill="auto"/>
            <w:hideMark/>
          </w:tcPr>
          <w:p w14:paraId="6E9F2533"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1239737</w:t>
            </w:r>
          </w:p>
        </w:tc>
        <w:tc>
          <w:tcPr>
            <w:tcW w:w="858" w:type="dxa"/>
            <w:tcBorders>
              <w:top w:val="nil"/>
              <w:left w:val="nil"/>
              <w:bottom w:val="single" w:sz="4" w:space="0" w:color="auto"/>
              <w:right w:val="single" w:sz="4" w:space="0" w:color="auto"/>
            </w:tcBorders>
            <w:shd w:val="clear" w:color="auto" w:fill="auto"/>
            <w:hideMark/>
          </w:tcPr>
          <w:p w14:paraId="6A62F881"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974708</w:t>
            </w:r>
          </w:p>
        </w:tc>
        <w:tc>
          <w:tcPr>
            <w:tcW w:w="874" w:type="dxa"/>
            <w:tcBorders>
              <w:top w:val="nil"/>
              <w:left w:val="nil"/>
              <w:bottom w:val="single" w:sz="4" w:space="0" w:color="auto"/>
              <w:right w:val="single" w:sz="4" w:space="0" w:color="auto"/>
            </w:tcBorders>
            <w:shd w:val="clear" w:color="auto" w:fill="auto"/>
            <w:hideMark/>
          </w:tcPr>
          <w:p w14:paraId="71E46B1D"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875771</w:t>
            </w:r>
          </w:p>
        </w:tc>
        <w:tc>
          <w:tcPr>
            <w:tcW w:w="969" w:type="dxa"/>
            <w:tcBorders>
              <w:top w:val="nil"/>
              <w:left w:val="nil"/>
              <w:bottom w:val="single" w:sz="4" w:space="0" w:color="auto"/>
              <w:right w:val="single" w:sz="4" w:space="0" w:color="auto"/>
            </w:tcBorders>
            <w:shd w:val="clear" w:color="auto" w:fill="auto"/>
            <w:hideMark/>
          </w:tcPr>
          <w:p w14:paraId="62EE3A35"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1158719</w:t>
            </w:r>
          </w:p>
        </w:tc>
        <w:tc>
          <w:tcPr>
            <w:tcW w:w="732" w:type="dxa"/>
            <w:tcBorders>
              <w:top w:val="nil"/>
              <w:left w:val="nil"/>
              <w:bottom w:val="single" w:sz="4" w:space="0" w:color="auto"/>
              <w:right w:val="single" w:sz="4" w:space="0" w:color="auto"/>
            </w:tcBorders>
            <w:shd w:val="clear" w:color="auto" w:fill="auto"/>
            <w:noWrap/>
            <w:vAlign w:val="bottom"/>
            <w:hideMark/>
          </w:tcPr>
          <w:p w14:paraId="683BFB10"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68.18</w:t>
            </w:r>
          </w:p>
        </w:tc>
        <w:tc>
          <w:tcPr>
            <w:tcW w:w="700" w:type="dxa"/>
            <w:tcBorders>
              <w:top w:val="nil"/>
              <w:left w:val="nil"/>
              <w:bottom w:val="single" w:sz="4" w:space="0" w:color="auto"/>
              <w:right w:val="single" w:sz="4" w:space="0" w:color="auto"/>
            </w:tcBorders>
            <w:shd w:val="clear" w:color="auto" w:fill="auto"/>
            <w:noWrap/>
            <w:vAlign w:val="bottom"/>
            <w:hideMark/>
          </w:tcPr>
          <w:p w14:paraId="601B7FA9"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64.69</w:t>
            </w:r>
          </w:p>
        </w:tc>
        <w:tc>
          <w:tcPr>
            <w:tcW w:w="680" w:type="dxa"/>
            <w:tcBorders>
              <w:top w:val="nil"/>
              <w:left w:val="nil"/>
              <w:bottom w:val="single" w:sz="4" w:space="0" w:color="auto"/>
              <w:right w:val="single" w:sz="4" w:space="0" w:color="auto"/>
            </w:tcBorders>
            <w:shd w:val="clear" w:color="auto" w:fill="auto"/>
            <w:noWrap/>
            <w:vAlign w:val="bottom"/>
            <w:hideMark/>
          </w:tcPr>
          <w:p w14:paraId="19FD50FC"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55.04</w:t>
            </w:r>
          </w:p>
        </w:tc>
        <w:tc>
          <w:tcPr>
            <w:tcW w:w="590" w:type="dxa"/>
            <w:tcBorders>
              <w:top w:val="nil"/>
              <w:left w:val="nil"/>
              <w:bottom w:val="single" w:sz="4" w:space="0" w:color="auto"/>
              <w:right w:val="single" w:sz="4" w:space="0" w:color="auto"/>
            </w:tcBorders>
            <w:shd w:val="clear" w:color="auto" w:fill="auto"/>
            <w:noWrap/>
            <w:vAlign w:val="bottom"/>
            <w:hideMark/>
          </w:tcPr>
          <w:p w14:paraId="26189E2D"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69.75</w:t>
            </w:r>
          </w:p>
        </w:tc>
      </w:tr>
      <w:tr w:rsidR="001E5C68" w:rsidRPr="001E5C68" w14:paraId="2837D041" w14:textId="77777777" w:rsidTr="001E5C68">
        <w:trPr>
          <w:trHeight w:val="260"/>
        </w:trPr>
        <w:tc>
          <w:tcPr>
            <w:tcW w:w="1246" w:type="dxa"/>
            <w:tcBorders>
              <w:top w:val="nil"/>
              <w:left w:val="single" w:sz="4" w:space="0" w:color="auto"/>
              <w:bottom w:val="single" w:sz="4" w:space="0" w:color="auto"/>
              <w:right w:val="single" w:sz="4" w:space="0" w:color="auto"/>
            </w:tcBorders>
            <w:shd w:val="clear" w:color="auto" w:fill="auto"/>
            <w:hideMark/>
          </w:tcPr>
          <w:p w14:paraId="513DCECD"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xml:space="preserve">    3. Securities against Small Savings</w:t>
            </w:r>
          </w:p>
        </w:tc>
        <w:tc>
          <w:tcPr>
            <w:tcW w:w="811" w:type="dxa"/>
            <w:tcBorders>
              <w:top w:val="nil"/>
              <w:left w:val="nil"/>
              <w:bottom w:val="single" w:sz="4" w:space="0" w:color="auto"/>
              <w:right w:val="single" w:sz="4" w:space="0" w:color="auto"/>
            </w:tcBorders>
            <w:shd w:val="clear" w:color="auto" w:fill="auto"/>
            <w:hideMark/>
          </w:tcPr>
          <w:p w14:paraId="4B335D5F"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483733</w:t>
            </w:r>
          </w:p>
        </w:tc>
        <w:tc>
          <w:tcPr>
            <w:tcW w:w="858" w:type="dxa"/>
            <w:tcBorders>
              <w:top w:val="nil"/>
              <w:left w:val="nil"/>
              <w:bottom w:val="single" w:sz="4" w:space="0" w:color="auto"/>
              <w:right w:val="single" w:sz="4" w:space="0" w:color="auto"/>
            </w:tcBorders>
            <w:shd w:val="clear" w:color="auto" w:fill="auto"/>
            <w:hideMark/>
          </w:tcPr>
          <w:p w14:paraId="0C91E99F"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391927</w:t>
            </w:r>
          </w:p>
        </w:tc>
        <w:tc>
          <w:tcPr>
            <w:tcW w:w="874" w:type="dxa"/>
            <w:tcBorders>
              <w:top w:val="nil"/>
              <w:left w:val="nil"/>
              <w:bottom w:val="single" w:sz="4" w:space="0" w:color="auto"/>
              <w:right w:val="single" w:sz="4" w:space="0" w:color="auto"/>
            </w:tcBorders>
            <w:shd w:val="clear" w:color="auto" w:fill="auto"/>
            <w:hideMark/>
          </w:tcPr>
          <w:p w14:paraId="54BC1FA6"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591524</w:t>
            </w:r>
          </w:p>
        </w:tc>
        <w:tc>
          <w:tcPr>
            <w:tcW w:w="969" w:type="dxa"/>
            <w:tcBorders>
              <w:top w:val="nil"/>
              <w:left w:val="nil"/>
              <w:bottom w:val="single" w:sz="4" w:space="0" w:color="auto"/>
              <w:right w:val="single" w:sz="4" w:space="0" w:color="auto"/>
            </w:tcBorders>
            <w:shd w:val="clear" w:color="auto" w:fill="auto"/>
            <w:hideMark/>
          </w:tcPr>
          <w:p w14:paraId="5017078F"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425449</w:t>
            </w:r>
          </w:p>
        </w:tc>
        <w:tc>
          <w:tcPr>
            <w:tcW w:w="732" w:type="dxa"/>
            <w:tcBorders>
              <w:top w:val="nil"/>
              <w:left w:val="nil"/>
              <w:bottom w:val="single" w:sz="4" w:space="0" w:color="auto"/>
              <w:right w:val="single" w:sz="4" w:space="0" w:color="auto"/>
            </w:tcBorders>
            <w:shd w:val="clear" w:color="auto" w:fill="auto"/>
            <w:noWrap/>
            <w:vAlign w:val="bottom"/>
            <w:hideMark/>
          </w:tcPr>
          <w:p w14:paraId="1E89D424"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26.60</w:t>
            </w:r>
          </w:p>
        </w:tc>
        <w:tc>
          <w:tcPr>
            <w:tcW w:w="700" w:type="dxa"/>
            <w:tcBorders>
              <w:top w:val="nil"/>
              <w:left w:val="nil"/>
              <w:bottom w:val="single" w:sz="4" w:space="0" w:color="auto"/>
              <w:right w:val="single" w:sz="4" w:space="0" w:color="auto"/>
            </w:tcBorders>
            <w:shd w:val="clear" w:color="auto" w:fill="auto"/>
            <w:noWrap/>
            <w:vAlign w:val="bottom"/>
            <w:hideMark/>
          </w:tcPr>
          <w:p w14:paraId="289C1EBB"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26.01</w:t>
            </w:r>
          </w:p>
        </w:tc>
        <w:tc>
          <w:tcPr>
            <w:tcW w:w="680" w:type="dxa"/>
            <w:tcBorders>
              <w:top w:val="nil"/>
              <w:left w:val="nil"/>
              <w:bottom w:val="single" w:sz="4" w:space="0" w:color="auto"/>
              <w:right w:val="single" w:sz="4" w:space="0" w:color="auto"/>
            </w:tcBorders>
            <w:shd w:val="clear" w:color="auto" w:fill="auto"/>
            <w:noWrap/>
            <w:vAlign w:val="bottom"/>
            <w:hideMark/>
          </w:tcPr>
          <w:p w14:paraId="0853A183"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37.18</w:t>
            </w:r>
          </w:p>
        </w:tc>
        <w:tc>
          <w:tcPr>
            <w:tcW w:w="590" w:type="dxa"/>
            <w:tcBorders>
              <w:top w:val="nil"/>
              <w:left w:val="nil"/>
              <w:bottom w:val="single" w:sz="4" w:space="0" w:color="auto"/>
              <w:right w:val="single" w:sz="4" w:space="0" w:color="auto"/>
            </w:tcBorders>
            <w:shd w:val="clear" w:color="auto" w:fill="auto"/>
            <w:noWrap/>
            <w:vAlign w:val="bottom"/>
            <w:hideMark/>
          </w:tcPr>
          <w:p w14:paraId="0B67CD33"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25.61</w:t>
            </w:r>
          </w:p>
        </w:tc>
      </w:tr>
      <w:tr w:rsidR="001E5C68" w:rsidRPr="001E5C68" w14:paraId="6E129AD7" w14:textId="77777777" w:rsidTr="001E5C68">
        <w:trPr>
          <w:trHeight w:val="520"/>
        </w:trPr>
        <w:tc>
          <w:tcPr>
            <w:tcW w:w="1246" w:type="dxa"/>
            <w:tcBorders>
              <w:top w:val="nil"/>
              <w:left w:val="single" w:sz="4" w:space="0" w:color="auto"/>
              <w:bottom w:val="single" w:sz="4" w:space="0" w:color="auto"/>
              <w:right w:val="single" w:sz="4" w:space="0" w:color="auto"/>
            </w:tcBorders>
            <w:shd w:val="clear" w:color="auto" w:fill="auto"/>
            <w:hideMark/>
          </w:tcPr>
          <w:p w14:paraId="003D2655"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xml:space="preserve">    4. State Provident Funds</w:t>
            </w:r>
          </w:p>
        </w:tc>
        <w:tc>
          <w:tcPr>
            <w:tcW w:w="811" w:type="dxa"/>
            <w:tcBorders>
              <w:top w:val="nil"/>
              <w:left w:val="nil"/>
              <w:bottom w:val="single" w:sz="4" w:space="0" w:color="auto"/>
              <w:right w:val="single" w:sz="4" w:space="0" w:color="auto"/>
            </w:tcBorders>
            <w:shd w:val="clear" w:color="auto" w:fill="auto"/>
            <w:hideMark/>
          </w:tcPr>
          <w:p w14:paraId="44F440C1"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18514</w:t>
            </w:r>
          </w:p>
        </w:tc>
        <w:tc>
          <w:tcPr>
            <w:tcW w:w="858" w:type="dxa"/>
            <w:tcBorders>
              <w:top w:val="nil"/>
              <w:left w:val="nil"/>
              <w:bottom w:val="single" w:sz="4" w:space="0" w:color="auto"/>
              <w:right w:val="single" w:sz="4" w:space="0" w:color="auto"/>
            </w:tcBorders>
            <w:shd w:val="clear" w:color="auto" w:fill="auto"/>
            <w:hideMark/>
          </w:tcPr>
          <w:p w14:paraId="6964F697"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20000</w:t>
            </w:r>
          </w:p>
        </w:tc>
        <w:tc>
          <w:tcPr>
            <w:tcW w:w="874" w:type="dxa"/>
            <w:tcBorders>
              <w:top w:val="nil"/>
              <w:left w:val="nil"/>
              <w:bottom w:val="single" w:sz="4" w:space="0" w:color="auto"/>
              <w:right w:val="single" w:sz="4" w:space="0" w:color="auto"/>
            </w:tcBorders>
            <w:shd w:val="clear" w:color="auto" w:fill="auto"/>
            <w:hideMark/>
          </w:tcPr>
          <w:p w14:paraId="6154FC35"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20000</w:t>
            </w:r>
          </w:p>
        </w:tc>
        <w:tc>
          <w:tcPr>
            <w:tcW w:w="969" w:type="dxa"/>
            <w:tcBorders>
              <w:top w:val="nil"/>
              <w:left w:val="nil"/>
              <w:bottom w:val="single" w:sz="4" w:space="0" w:color="auto"/>
              <w:right w:val="single" w:sz="4" w:space="0" w:color="auto"/>
            </w:tcBorders>
            <w:shd w:val="clear" w:color="auto" w:fill="auto"/>
            <w:hideMark/>
          </w:tcPr>
          <w:p w14:paraId="145C790A"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20000</w:t>
            </w:r>
          </w:p>
        </w:tc>
        <w:tc>
          <w:tcPr>
            <w:tcW w:w="732" w:type="dxa"/>
            <w:tcBorders>
              <w:top w:val="nil"/>
              <w:left w:val="nil"/>
              <w:bottom w:val="single" w:sz="4" w:space="0" w:color="auto"/>
              <w:right w:val="single" w:sz="4" w:space="0" w:color="auto"/>
            </w:tcBorders>
            <w:shd w:val="clear" w:color="auto" w:fill="auto"/>
            <w:noWrap/>
            <w:vAlign w:val="bottom"/>
            <w:hideMark/>
          </w:tcPr>
          <w:p w14:paraId="3A9C2ACE"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1.02</w:t>
            </w:r>
          </w:p>
        </w:tc>
        <w:tc>
          <w:tcPr>
            <w:tcW w:w="700" w:type="dxa"/>
            <w:tcBorders>
              <w:top w:val="nil"/>
              <w:left w:val="nil"/>
              <w:bottom w:val="single" w:sz="4" w:space="0" w:color="auto"/>
              <w:right w:val="single" w:sz="4" w:space="0" w:color="auto"/>
            </w:tcBorders>
            <w:shd w:val="clear" w:color="auto" w:fill="auto"/>
            <w:noWrap/>
            <w:vAlign w:val="bottom"/>
            <w:hideMark/>
          </w:tcPr>
          <w:p w14:paraId="14230731"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1.33</w:t>
            </w:r>
          </w:p>
        </w:tc>
        <w:tc>
          <w:tcPr>
            <w:tcW w:w="680" w:type="dxa"/>
            <w:tcBorders>
              <w:top w:val="nil"/>
              <w:left w:val="nil"/>
              <w:bottom w:val="single" w:sz="4" w:space="0" w:color="auto"/>
              <w:right w:val="single" w:sz="4" w:space="0" w:color="auto"/>
            </w:tcBorders>
            <w:shd w:val="clear" w:color="auto" w:fill="auto"/>
            <w:noWrap/>
            <w:vAlign w:val="bottom"/>
            <w:hideMark/>
          </w:tcPr>
          <w:p w14:paraId="1ED79AED"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1.26</w:t>
            </w:r>
          </w:p>
        </w:tc>
        <w:tc>
          <w:tcPr>
            <w:tcW w:w="590" w:type="dxa"/>
            <w:tcBorders>
              <w:top w:val="nil"/>
              <w:left w:val="nil"/>
              <w:bottom w:val="single" w:sz="4" w:space="0" w:color="auto"/>
              <w:right w:val="single" w:sz="4" w:space="0" w:color="auto"/>
            </w:tcBorders>
            <w:shd w:val="clear" w:color="auto" w:fill="auto"/>
            <w:noWrap/>
            <w:vAlign w:val="bottom"/>
            <w:hideMark/>
          </w:tcPr>
          <w:p w14:paraId="505F2B72"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1.20</w:t>
            </w:r>
          </w:p>
        </w:tc>
      </w:tr>
      <w:tr w:rsidR="001E5C68" w:rsidRPr="001E5C68" w14:paraId="3FB1CE08" w14:textId="77777777" w:rsidTr="001E5C68">
        <w:trPr>
          <w:trHeight w:val="660"/>
        </w:trPr>
        <w:tc>
          <w:tcPr>
            <w:tcW w:w="1246" w:type="dxa"/>
            <w:tcBorders>
              <w:top w:val="nil"/>
              <w:left w:val="single" w:sz="4" w:space="0" w:color="auto"/>
              <w:bottom w:val="single" w:sz="4" w:space="0" w:color="auto"/>
              <w:right w:val="single" w:sz="4" w:space="0" w:color="auto"/>
            </w:tcBorders>
            <w:shd w:val="clear" w:color="auto" w:fill="auto"/>
            <w:hideMark/>
          </w:tcPr>
          <w:p w14:paraId="5ACB0F8F"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xml:space="preserve">    5. Other Receipts (Internal Debts and Public Account)</w:t>
            </w:r>
          </w:p>
        </w:tc>
        <w:tc>
          <w:tcPr>
            <w:tcW w:w="811" w:type="dxa"/>
            <w:tcBorders>
              <w:top w:val="nil"/>
              <w:left w:val="nil"/>
              <w:bottom w:val="single" w:sz="4" w:space="0" w:color="auto"/>
              <w:right w:val="single" w:sz="4" w:space="0" w:color="auto"/>
            </w:tcBorders>
            <w:shd w:val="clear" w:color="auto" w:fill="auto"/>
            <w:vAlign w:val="bottom"/>
            <w:hideMark/>
          </w:tcPr>
          <w:p w14:paraId="3B20B8B1"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13314</w:t>
            </w:r>
          </w:p>
        </w:tc>
        <w:tc>
          <w:tcPr>
            <w:tcW w:w="858" w:type="dxa"/>
            <w:tcBorders>
              <w:top w:val="nil"/>
              <w:left w:val="nil"/>
              <w:bottom w:val="single" w:sz="4" w:space="0" w:color="auto"/>
              <w:right w:val="single" w:sz="4" w:space="0" w:color="auto"/>
            </w:tcBorders>
            <w:shd w:val="clear" w:color="auto" w:fill="auto"/>
            <w:vAlign w:val="bottom"/>
            <w:hideMark/>
          </w:tcPr>
          <w:p w14:paraId="715A2CAC"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54279</w:t>
            </w:r>
          </w:p>
        </w:tc>
        <w:tc>
          <w:tcPr>
            <w:tcW w:w="874" w:type="dxa"/>
            <w:tcBorders>
              <w:top w:val="nil"/>
              <w:left w:val="nil"/>
              <w:bottom w:val="single" w:sz="4" w:space="0" w:color="auto"/>
              <w:right w:val="single" w:sz="4" w:space="0" w:color="auto"/>
            </w:tcBorders>
            <w:shd w:val="clear" w:color="auto" w:fill="auto"/>
            <w:vAlign w:val="bottom"/>
            <w:hideMark/>
          </w:tcPr>
          <w:p w14:paraId="2B70C28A"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(-)90140</w:t>
            </w:r>
          </w:p>
        </w:tc>
        <w:tc>
          <w:tcPr>
            <w:tcW w:w="969" w:type="dxa"/>
            <w:tcBorders>
              <w:top w:val="nil"/>
              <w:left w:val="nil"/>
              <w:bottom w:val="single" w:sz="4" w:space="0" w:color="auto"/>
              <w:right w:val="single" w:sz="4" w:space="0" w:color="auto"/>
            </w:tcBorders>
            <w:shd w:val="clear" w:color="auto" w:fill="auto"/>
            <w:vAlign w:val="bottom"/>
            <w:hideMark/>
          </w:tcPr>
          <w:p w14:paraId="1FE3EBF2"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37025</w:t>
            </w:r>
          </w:p>
        </w:tc>
        <w:tc>
          <w:tcPr>
            <w:tcW w:w="732" w:type="dxa"/>
            <w:tcBorders>
              <w:top w:val="nil"/>
              <w:left w:val="nil"/>
              <w:bottom w:val="single" w:sz="4" w:space="0" w:color="auto"/>
              <w:right w:val="single" w:sz="4" w:space="0" w:color="auto"/>
            </w:tcBorders>
            <w:shd w:val="clear" w:color="auto" w:fill="auto"/>
            <w:noWrap/>
            <w:vAlign w:val="bottom"/>
            <w:hideMark/>
          </w:tcPr>
          <w:p w14:paraId="05DF6528"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0.73</w:t>
            </w:r>
          </w:p>
        </w:tc>
        <w:tc>
          <w:tcPr>
            <w:tcW w:w="700" w:type="dxa"/>
            <w:tcBorders>
              <w:top w:val="nil"/>
              <w:left w:val="nil"/>
              <w:bottom w:val="single" w:sz="4" w:space="0" w:color="auto"/>
              <w:right w:val="single" w:sz="4" w:space="0" w:color="auto"/>
            </w:tcBorders>
            <w:shd w:val="clear" w:color="auto" w:fill="auto"/>
            <w:noWrap/>
            <w:vAlign w:val="bottom"/>
            <w:hideMark/>
          </w:tcPr>
          <w:p w14:paraId="66385285"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3.60</w:t>
            </w:r>
          </w:p>
        </w:tc>
        <w:tc>
          <w:tcPr>
            <w:tcW w:w="680" w:type="dxa"/>
            <w:tcBorders>
              <w:top w:val="nil"/>
              <w:left w:val="nil"/>
              <w:bottom w:val="single" w:sz="4" w:space="0" w:color="auto"/>
              <w:right w:val="single" w:sz="4" w:space="0" w:color="auto"/>
            </w:tcBorders>
            <w:shd w:val="clear" w:color="auto" w:fill="auto"/>
            <w:noWrap/>
            <w:vAlign w:val="bottom"/>
            <w:hideMark/>
          </w:tcPr>
          <w:p w14:paraId="19C2B1DA" w14:textId="77777777" w:rsidR="001E5C68" w:rsidRPr="001E5C68" w:rsidRDefault="001E5C68" w:rsidP="001E5C68">
            <w:pPr>
              <w:spacing w:after="0" w:line="240" w:lineRule="auto"/>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 </w:t>
            </w:r>
          </w:p>
        </w:tc>
        <w:tc>
          <w:tcPr>
            <w:tcW w:w="590" w:type="dxa"/>
            <w:tcBorders>
              <w:top w:val="nil"/>
              <w:left w:val="nil"/>
              <w:bottom w:val="single" w:sz="4" w:space="0" w:color="auto"/>
              <w:right w:val="single" w:sz="4" w:space="0" w:color="auto"/>
            </w:tcBorders>
            <w:shd w:val="clear" w:color="auto" w:fill="auto"/>
            <w:noWrap/>
            <w:vAlign w:val="bottom"/>
            <w:hideMark/>
          </w:tcPr>
          <w:p w14:paraId="5D2DC37F"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2.23</w:t>
            </w:r>
          </w:p>
        </w:tc>
      </w:tr>
      <w:tr w:rsidR="001E5C68" w:rsidRPr="001E5C68" w14:paraId="3BFEEA42" w14:textId="77777777" w:rsidTr="001E5C68">
        <w:trPr>
          <w:trHeight w:val="375"/>
        </w:trPr>
        <w:tc>
          <w:tcPr>
            <w:tcW w:w="1246" w:type="dxa"/>
            <w:tcBorders>
              <w:top w:val="nil"/>
              <w:left w:val="single" w:sz="4" w:space="0" w:color="auto"/>
              <w:bottom w:val="single" w:sz="4" w:space="0" w:color="auto"/>
              <w:right w:val="single" w:sz="4" w:space="0" w:color="auto"/>
            </w:tcBorders>
            <w:shd w:val="clear" w:color="auto" w:fill="auto"/>
            <w:hideMark/>
          </w:tcPr>
          <w:p w14:paraId="2339DC27"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 xml:space="preserve">    6. External Debt</w:t>
            </w:r>
          </w:p>
        </w:tc>
        <w:tc>
          <w:tcPr>
            <w:tcW w:w="811" w:type="dxa"/>
            <w:tcBorders>
              <w:top w:val="nil"/>
              <w:left w:val="nil"/>
              <w:bottom w:val="single" w:sz="4" w:space="0" w:color="auto"/>
              <w:right w:val="single" w:sz="4" w:space="0" w:color="auto"/>
            </w:tcBorders>
            <w:shd w:val="clear" w:color="auto" w:fill="auto"/>
            <w:hideMark/>
          </w:tcPr>
          <w:p w14:paraId="7DBF9670"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70181</w:t>
            </w:r>
          </w:p>
        </w:tc>
        <w:tc>
          <w:tcPr>
            <w:tcW w:w="858" w:type="dxa"/>
            <w:tcBorders>
              <w:top w:val="nil"/>
              <w:left w:val="nil"/>
              <w:bottom w:val="single" w:sz="4" w:space="0" w:color="auto"/>
              <w:right w:val="single" w:sz="4" w:space="0" w:color="auto"/>
            </w:tcBorders>
            <w:shd w:val="clear" w:color="auto" w:fill="auto"/>
            <w:hideMark/>
          </w:tcPr>
          <w:p w14:paraId="39FB3176"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1514</w:t>
            </w:r>
          </w:p>
        </w:tc>
        <w:tc>
          <w:tcPr>
            <w:tcW w:w="874" w:type="dxa"/>
            <w:tcBorders>
              <w:top w:val="nil"/>
              <w:left w:val="nil"/>
              <w:bottom w:val="single" w:sz="4" w:space="0" w:color="auto"/>
              <w:right w:val="single" w:sz="4" w:space="0" w:color="auto"/>
            </w:tcBorders>
            <w:shd w:val="clear" w:color="auto" w:fill="auto"/>
            <w:hideMark/>
          </w:tcPr>
          <w:p w14:paraId="74A54F8F"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19746</w:t>
            </w:r>
          </w:p>
        </w:tc>
        <w:tc>
          <w:tcPr>
            <w:tcW w:w="969" w:type="dxa"/>
            <w:tcBorders>
              <w:top w:val="nil"/>
              <w:left w:val="nil"/>
              <w:bottom w:val="single" w:sz="4" w:space="0" w:color="auto"/>
              <w:right w:val="single" w:sz="4" w:space="0" w:color="auto"/>
            </w:tcBorders>
            <w:shd w:val="clear" w:color="auto" w:fill="auto"/>
            <w:hideMark/>
          </w:tcPr>
          <w:p w14:paraId="04EA1D09"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19251</w:t>
            </w:r>
          </w:p>
        </w:tc>
        <w:tc>
          <w:tcPr>
            <w:tcW w:w="732" w:type="dxa"/>
            <w:tcBorders>
              <w:top w:val="nil"/>
              <w:left w:val="nil"/>
              <w:bottom w:val="single" w:sz="4" w:space="0" w:color="auto"/>
              <w:right w:val="single" w:sz="4" w:space="0" w:color="auto"/>
            </w:tcBorders>
            <w:shd w:val="clear" w:color="auto" w:fill="auto"/>
            <w:noWrap/>
            <w:vAlign w:val="bottom"/>
            <w:hideMark/>
          </w:tcPr>
          <w:p w14:paraId="24688DF4"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3.86</w:t>
            </w:r>
          </w:p>
        </w:tc>
        <w:tc>
          <w:tcPr>
            <w:tcW w:w="700" w:type="dxa"/>
            <w:tcBorders>
              <w:top w:val="nil"/>
              <w:left w:val="nil"/>
              <w:bottom w:val="single" w:sz="4" w:space="0" w:color="auto"/>
              <w:right w:val="single" w:sz="4" w:space="0" w:color="auto"/>
            </w:tcBorders>
            <w:shd w:val="clear" w:color="auto" w:fill="auto"/>
            <w:noWrap/>
            <w:vAlign w:val="bottom"/>
            <w:hideMark/>
          </w:tcPr>
          <w:p w14:paraId="5A1A9F82"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0.10</w:t>
            </w:r>
          </w:p>
        </w:tc>
        <w:tc>
          <w:tcPr>
            <w:tcW w:w="680" w:type="dxa"/>
            <w:tcBorders>
              <w:top w:val="nil"/>
              <w:left w:val="nil"/>
              <w:bottom w:val="single" w:sz="4" w:space="0" w:color="auto"/>
              <w:right w:val="single" w:sz="4" w:space="0" w:color="auto"/>
            </w:tcBorders>
            <w:shd w:val="clear" w:color="auto" w:fill="auto"/>
            <w:noWrap/>
            <w:vAlign w:val="bottom"/>
            <w:hideMark/>
          </w:tcPr>
          <w:p w14:paraId="4A661E36"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1.24</w:t>
            </w:r>
          </w:p>
        </w:tc>
        <w:tc>
          <w:tcPr>
            <w:tcW w:w="590" w:type="dxa"/>
            <w:tcBorders>
              <w:top w:val="nil"/>
              <w:left w:val="nil"/>
              <w:bottom w:val="single" w:sz="4" w:space="0" w:color="auto"/>
              <w:right w:val="single" w:sz="4" w:space="0" w:color="auto"/>
            </w:tcBorders>
            <w:shd w:val="clear" w:color="auto" w:fill="auto"/>
            <w:noWrap/>
            <w:vAlign w:val="bottom"/>
            <w:hideMark/>
          </w:tcPr>
          <w:p w14:paraId="4AA1CB3E"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1.16</w:t>
            </w:r>
          </w:p>
        </w:tc>
      </w:tr>
      <w:tr w:rsidR="001E5C68" w:rsidRPr="001E5C68" w14:paraId="7AAEAF6A" w14:textId="77777777" w:rsidTr="001E5C68">
        <w:trPr>
          <w:trHeight w:val="520"/>
        </w:trPr>
        <w:tc>
          <w:tcPr>
            <w:tcW w:w="1246" w:type="dxa"/>
            <w:tcBorders>
              <w:top w:val="nil"/>
              <w:left w:val="single" w:sz="4" w:space="0" w:color="auto"/>
              <w:bottom w:val="single" w:sz="4" w:space="0" w:color="auto"/>
              <w:right w:val="single" w:sz="4" w:space="0" w:color="auto"/>
            </w:tcBorders>
            <w:shd w:val="clear" w:color="auto" w:fill="auto"/>
            <w:hideMark/>
          </w:tcPr>
          <w:p w14:paraId="3D6DAC8F" w14:textId="77777777" w:rsidR="001E5C68" w:rsidRPr="001E5C68" w:rsidRDefault="001E5C68" w:rsidP="001E5C68">
            <w:pPr>
              <w:spacing w:after="0" w:line="240" w:lineRule="auto"/>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7. Draw Down of Cash Balance</w:t>
            </w:r>
          </w:p>
        </w:tc>
        <w:tc>
          <w:tcPr>
            <w:tcW w:w="811" w:type="dxa"/>
            <w:tcBorders>
              <w:top w:val="nil"/>
              <w:left w:val="nil"/>
              <w:bottom w:val="single" w:sz="4" w:space="0" w:color="auto"/>
              <w:right w:val="single" w:sz="4" w:space="0" w:color="auto"/>
            </w:tcBorders>
            <w:shd w:val="clear" w:color="auto" w:fill="auto"/>
            <w:hideMark/>
          </w:tcPr>
          <w:p w14:paraId="3381C7D6"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(-)7187</w:t>
            </w:r>
          </w:p>
        </w:tc>
        <w:tc>
          <w:tcPr>
            <w:tcW w:w="858" w:type="dxa"/>
            <w:tcBorders>
              <w:top w:val="nil"/>
              <w:left w:val="nil"/>
              <w:bottom w:val="single" w:sz="4" w:space="0" w:color="auto"/>
              <w:right w:val="single" w:sz="4" w:space="0" w:color="auto"/>
            </w:tcBorders>
            <w:shd w:val="clear" w:color="auto" w:fill="auto"/>
            <w:hideMark/>
          </w:tcPr>
          <w:p w14:paraId="14DC2713"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71383</w:t>
            </w:r>
          </w:p>
        </w:tc>
        <w:tc>
          <w:tcPr>
            <w:tcW w:w="874" w:type="dxa"/>
            <w:tcBorders>
              <w:top w:val="nil"/>
              <w:left w:val="nil"/>
              <w:bottom w:val="single" w:sz="4" w:space="0" w:color="auto"/>
              <w:right w:val="single" w:sz="4" w:space="0" w:color="auto"/>
            </w:tcBorders>
            <w:shd w:val="clear" w:color="auto" w:fill="auto"/>
            <w:hideMark/>
          </w:tcPr>
          <w:p w14:paraId="5CD3BE92"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174187</w:t>
            </w:r>
          </w:p>
        </w:tc>
        <w:tc>
          <w:tcPr>
            <w:tcW w:w="969" w:type="dxa"/>
            <w:tcBorders>
              <w:top w:val="nil"/>
              <w:left w:val="nil"/>
              <w:bottom w:val="single" w:sz="4" w:space="0" w:color="auto"/>
              <w:right w:val="single" w:sz="4" w:space="0" w:color="auto"/>
            </w:tcBorders>
            <w:shd w:val="clear" w:color="auto" w:fill="auto"/>
            <w:hideMark/>
          </w:tcPr>
          <w:p w14:paraId="4242C97F" w14:textId="77777777" w:rsidR="001E5C68" w:rsidRPr="001E5C68" w:rsidRDefault="001E5C68" w:rsidP="001E5C68">
            <w:pPr>
              <w:spacing w:after="0" w:line="240" w:lineRule="auto"/>
              <w:jc w:val="center"/>
              <w:rPr>
                <w:rFonts w:ascii="Times New Roman" w:eastAsia="Times New Roman" w:hAnsi="Times New Roman" w:cs="Times New Roman"/>
                <w:color w:val="000000"/>
                <w:sz w:val="16"/>
                <w:szCs w:val="16"/>
                <w:lang w:val="en-US"/>
              </w:rPr>
            </w:pPr>
            <w:r w:rsidRPr="001E5C68">
              <w:rPr>
                <w:rFonts w:ascii="Times New Roman" w:eastAsia="Times New Roman" w:hAnsi="Times New Roman" w:cs="Times New Roman"/>
                <w:color w:val="000000"/>
                <w:sz w:val="16"/>
                <w:szCs w:val="16"/>
                <w:lang w:val="en-US"/>
              </w:rPr>
              <w:t>752</w:t>
            </w:r>
          </w:p>
        </w:tc>
        <w:tc>
          <w:tcPr>
            <w:tcW w:w="732" w:type="dxa"/>
            <w:tcBorders>
              <w:top w:val="nil"/>
              <w:left w:val="nil"/>
              <w:bottom w:val="single" w:sz="4" w:space="0" w:color="auto"/>
              <w:right w:val="single" w:sz="4" w:space="0" w:color="auto"/>
            </w:tcBorders>
            <w:shd w:val="clear" w:color="auto" w:fill="auto"/>
            <w:noWrap/>
            <w:vAlign w:val="bottom"/>
            <w:hideMark/>
          </w:tcPr>
          <w:p w14:paraId="1738DA8A"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-0.40</w:t>
            </w:r>
          </w:p>
        </w:tc>
        <w:tc>
          <w:tcPr>
            <w:tcW w:w="700" w:type="dxa"/>
            <w:tcBorders>
              <w:top w:val="nil"/>
              <w:left w:val="nil"/>
              <w:bottom w:val="single" w:sz="4" w:space="0" w:color="auto"/>
              <w:right w:val="single" w:sz="4" w:space="0" w:color="auto"/>
            </w:tcBorders>
            <w:shd w:val="clear" w:color="auto" w:fill="auto"/>
            <w:noWrap/>
            <w:vAlign w:val="bottom"/>
            <w:hideMark/>
          </w:tcPr>
          <w:p w14:paraId="7B24ABF5"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4.74</w:t>
            </w:r>
          </w:p>
        </w:tc>
        <w:tc>
          <w:tcPr>
            <w:tcW w:w="680" w:type="dxa"/>
            <w:tcBorders>
              <w:top w:val="nil"/>
              <w:left w:val="nil"/>
              <w:bottom w:val="single" w:sz="4" w:space="0" w:color="auto"/>
              <w:right w:val="single" w:sz="4" w:space="0" w:color="auto"/>
            </w:tcBorders>
            <w:shd w:val="clear" w:color="auto" w:fill="auto"/>
            <w:noWrap/>
            <w:vAlign w:val="bottom"/>
            <w:hideMark/>
          </w:tcPr>
          <w:p w14:paraId="48E5CF50"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10.95</w:t>
            </w:r>
          </w:p>
        </w:tc>
        <w:tc>
          <w:tcPr>
            <w:tcW w:w="590" w:type="dxa"/>
            <w:tcBorders>
              <w:top w:val="nil"/>
              <w:left w:val="nil"/>
              <w:bottom w:val="single" w:sz="4" w:space="0" w:color="auto"/>
              <w:right w:val="single" w:sz="4" w:space="0" w:color="auto"/>
            </w:tcBorders>
            <w:shd w:val="clear" w:color="auto" w:fill="auto"/>
            <w:noWrap/>
            <w:vAlign w:val="bottom"/>
            <w:hideMark/>
          </w:tcPr>
          <w:p w14:paraId="334F0CE6"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0.05</w:t>
            </w:r>
          </w:p>
        </w:tc>
      </w:tr>
      <w:tr w:rsidR="001E5C68" w:rsidRPr="001E5C68" w14:paraId="5E9E9139" w14:textId="77777777" w:rsidTr="001E5C68">
        <w:trPr>
          <w:trHeight w:val="260"/>
        </w:trPr>
        <w:tc>
          <w:tcPr>
            <w:tcW w:w="1246" w:type="dxa"/>
            <w:tcBorders>
              <w:top w:val="nil"/>
              <w:left w:val="single" w:sz="4" w:space="0" w:color="auto"/>
              <w:bottom w:val="single" w:sz="4" w:space="0" w:color="auto"/>
              <w:right w:val="single" w:sz="4" w:space="0" w:color="auto"/>
            </w:tcBorders>
            <w:shd w:val="clear" w:color="auto" w:fill="auto"/>
            <w:hideMark/>
          </w:tcPr>
          <w:p w14:paraId="1A8C69E0" w14:textId="77777777" w:rsidR="001E5C68" w:rsidRPr="001E5C68" w:rsidRDefault="001E5C68" w:rsidP="001E5C68">
            <w:pPr>
              <w:spacing w:after="0" w:line="240" w:lineRule="auto"/>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8. Grand Total (1+7)</w:t>
            </w:r>
          </w:p>
        </w:tc>
        <w:tc>
          <w:tcPr>
            <w:tcW w:w="811" w:type="dxa"/>
            <w:tcBorders>
              <w:top w:val="nil"/>
              <w:left w:val="nil"/>
              <w:bottom w:val="single" w:sz="4" w:space="0" w:color="auto"/>
              <w:right w:val="single" w:sz="4" w:space="0" w:color="auto"/>
            </w:tcBorders>
            <w:shd w:val="clear" w:color="auto" w:fill="auto"/>
            <w:hideMark/>
          </w:tcPr>
          <w:p w14:paraId="17C66D4D"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1818291</w:t>
            </w:r>
          </w:p>
        </w:tc>
        <w:tc>
          <w:tcPr>
            <w:tcW w:w="858" w:type="dxa"/>
            <w:tcBorders>
              <w:top w:val="nil"/>
              <w:left w:val="nil"/>
              <w:bottom w:val="single" w:sz="4" w:space="0" w:color="auto"/>
              <w:right w:val="single" w:sz="4" w:space="0" w:color="auto"/>
            </w:tcBorders>
            <w:shd w:val="clear" w:color="auto" w:fill="auto"/>
            <w:hideMark/>
          </w:tcPr>
          <w:p w14:paraId="325BDBEB"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1506812</w:t>
            </w:r>
          </w:p>
        </w:tc>
        <w:tc>
          <w:tcPr>
            <w:tcW w:w="874" w:type="dxa"/>
            <w:tcBorders>
              <w:top w:val="nil"/>
              <w:left w:val="nil"/>
              <w:bottom w:val="single" w:sz="4" w:space="0" w:color="auto"/>
              <w:right w:val="single" w:sz="4" w:space="0" w:color="auto"/>
            </w:tcBorders>
            <w:shd w:val="clear" w:color="auto" w:fill="auto"/>
            <w:hideMark/>
          </w:tcPr>
          <w:p w14:paraId="0910A203"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1591089</w:t>
            </w:r>
          </w:p>
        </w:tc>
        <w:tc>
          <w:tcPr>
            <w:tcW w:w="969" w:type="dxa"/>
            <w:tcBorders>
              <w:top w:val="nil"/>
              <w:left w:val="nil"/>
              <w:bottom w:val="single" w:sz="4" w:space="0" w:color="auto"/>
              <w:right w:val="single" w:sz="4" w:space="0" w:color="auto"/>
            </w:tcBorders>
            <w:shd w:val="clear" w:color="auto" w:fill="auto"/>
            <w:hideMark/>
          </w:tcPr>
          <w:p w14:paraId="5E24062F" w14:textId="77777777" w:rsidR="001E5C68" w:rsidRPr="001E5C68" w:rsidRDefault="001E5C68" w:rsidP="001E5C68">
            <w:pPr>
              <w:spacing w:after="0" w:line="240" w:lineRule="auto"/>
              <w:jc w:val="center"/>
              <w:rPr>
                <w:rFonts w:ascii="Times New Roman" w:eastAsia="Times New Roman" w:hAnsi="Times New Roman" w:cs="Times New Roman"/>
                <w:b/>
                <w:bCs/>
                <w:color w:val="000000"/>
                <w:sz w:val="16"/>
                <w:szCs w:val="16"/>
                <w:lang w:val="en-US"/>
              </w:rPr>
            </w:pPr>
            <w:r w:rsidRPr="001E5C68">
              <w:rPr>
                <w:rFonts w:ascii="Times New Roman" w:eastAsia="Times New Roman" w:hAnsi="Times New Roman" w:cs="Times New Roman"/>
                <w:b/>
                <w:bCs/>
                <w:color w:val="000000"/>
                <w:sz w:val="16"/>
                <w:szCs w:val="16"/>
                <w:lang w:val="en-US"/>
              </w:rPr>
              <w:t>1661196</w:t>
            </w:r>
          </w:p>
        </w:tc>
        <w:tc>
          <w:tcPr>
            <w:tcW w:w="732" w:type="dxa"/>
            <w:tcBorders>
              <w:top w:val="nil"/>
              <w:left w:val="nil"/>
              <w:bottom w:val="single" w:sz="4" w:space="0" w:color="auto"/>
              <w:right w:val="single" w:sz="4" w:space="0" w:color="auto"/>
            </w:tcBorders>
            <w:shd w:val="clear" w:color="auto" w:fill="auto"/>
            <w:noWrap/>
            <w:vAlign w:val="bottom"/>
            <w:hideMark/>
          </w:tcPr>
          <w:p w14:paraId="270E22A6"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100</w:t>
            </w:r>
          </w:p>
        </w:tc>
        <w:tc>
          <w:tcPr>
            <w:tcW w:w="700" w:type="dxa"/>
            <w:tcBorders>
              <w:top w:val="nil"/>
              <w:left w:val="nil"/>
              <w:bottom w:val="single" w:sz="4" w:space="0" w:color="auto"/>
              <w:right w:val="single" w:sz="4" w:space="0" w:color="auto"/>
            </w:tcBorders>
            <w:shd w:val="clear" w:color="auto" w:fill="auto"/>
            <w:noWrap/>
            <w:vAlign w:val="bottom"/>
            <w:hideMark/>
          </w:tcPr>
          <w:p w14:paraId="64541185"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100</w:t>
            </w:r>
          </w:p>
        </w:tc>
        <w:tc>
          <w:tcPr>
            <w:tcW w:w="680" w:type="dxa"/>
            <w:tcBorders>
              <w:top w:val="nil"/>
              <w:left w:val="nil"/>
              <w:bottom w:val="single" w:sz="4" w:space="0" w:color="auto"/>
              <w:right w:val="single" w:sz="4" w:space="0" w:color="auto"/>
            </w:tcBorders>
            <w:shd w:val="clear" w:color="auto" w:fill="auto"/>
            <w:noWrap/>
            <w:vAlign w:val="bottom"/>
            <w:hideMark/>
          </w:tcPr>
          <w:p w14:paraId="083105A5"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100</w:t>
            </w:r>
          </w:p>
        </w:tc>
        <w:tc>
          <w:tcPr>
            <w:tcW w:w="590" w:type="dxa"/>
            <w:tcBorders>
              <w:top w:val="nil"/>
              <w:left w:val="nil"/>
              <w:bottom w:val="single" w:sz="4" w:space="0" w:color="auto"/>
              <w:right w:val="single" w:sz="4" w:space="0" w:color="auto"/>
            </w:tcBorders>
            <w:shd w:val="clear" w:color="auto" w:fill="auto"/>
            <w:noWrap/>
            <w:vAlign w:val="bottom"/>
            <w:hideMark/>
          </w:tcPr>
          <w:p w14:paraId="5BB234C0" w14:textId="77777777" w:rsidR="001E5C68" w:rsidRPr="001E5C68" w:rsidRDefault="001E5C68" w:rsidP="001E5C68">
            <w:pPr>
              <w:spacing w:after="0" w:line="240" w:lineRule="auto"/>
              <w:jc w:val="right"/>
              <w:rPr>
                <w:rFonts w:ascii="Times New Roman" w:eastAsia="Times New Roman" w:hAnsi="Times New Roman" w:cs="Times New Roman"/>
                <w:sz w:val="16"/>
                <w:szCs w:val="16"/>
                <w:lang w:val="en-US"/>
              </w:rPr>
            </w:pPr>
            <w:r w:rsidRPr="001E5C68">
              <w:rPr>
                <w:rFonts w:ascii="Times New Roman" w:eastAsia="Times New Roman" w:hAnsi="Times New Roman" w:cs="Times New Roman"/>
                <w:sz w:val="16"/>
                <w:szCs w:val="16"/>
                <w:lang w:val="en-US"/>
              </w:rPr>
              <w:t>100</w:t>
            </w:r>
          </w:p>
        </w:tc>
      </w:tr>
    </w:tbl>
    <w:p w14:paraId="09A93F36" w14:textId="6669E16C" w:rsidR="008862AC" w:rsidRPr="008862AC" w:rsidRDefault="008862AC" w:rsidP="008862AC">
      <w:pPr>
        <w:pStyle w:val="NormalWeb"/>
        <w:spacing w:before="0" w:beforeAutospacing="0" w:after="0" w:afterAutospacing="0"/>
        <w:jc w:val="both"/>
        <w:rPr>
          <w:sz w:val="18"/>
          <w:szCs w:val="18"/>
        </w:rPr>
      </w:pPr>
      <w:r w:rsidRPr="008862AC">
        <w:rPr>
          <w:b/>
          <w:i/>
          <w:sz w:val="18"/>
          <w:szCs w:val="18"/>
        </w:rPr>
        <w:t>Source:</w:t>
      </w:r>
      <w:r w:rsidR="00BF068E">
        <w:rPr>
          <w:sz w:val="18"/>
          <w:szCs w:val="18"/>
        </w:rPr>
        <w:t xml:space="preserve"> Government of India (2022</w:t>
      </w:r>
      <w:r w:rsidRPr="008862AC">
        <w:rPr>
          <w:sz w:val="18"/>
          <w:szCs w:val="18"/>
        </w:rPr>
        <w:t>), Union Budget documents</w:t>
      </w:r>
    </w:p>
    <w:p w14:paraId="48735531" w14:textId="77777777" w:rsidR="004F43B7" w:rsidRDefault="004F43B7" w:rsidP="004F43B7">
      <w:pPr>
        <w:shd w:val="clear" w:color="auto" w:fill="FFFFFF"/>
        <w:spacing w:after="0" w:line="240" w:lineRule="auto"/>
        <w:ind w:firstLine="720"/>
        <w:jc w:val="both"/>
        <w:rPr>
          <w:rFonts w:ascii="Times New Roman" w:eastAsia="Times New Roman" w:hAnsi="Times New Roman" w:cs="Times New Roman"/>
          <w:color w:val="222222"/>
          <w:lang w:eastAsia="en-IN"/>
        </w:rPr>
      </w:pPr>
    </w:p>
    <w:p w14:paraId="13E07D27" w14:textId="173E3799" w:rsidR="002439C9" w:rsidRPr="0000366E" w:rsidRDefault="004F43B7" w:rsidP="00C04D34">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sidRPr="0000366E">
        <w:rPr>
          <w:rFonts w:ascii="Times New Roman" w:eastAsia="Times New Roman" w:hAnsi="Times New Roman" w:cs="Times New Roman"/>
          <w:color w:val="222222"/>
          <w:sz w:val="24"/>
          <w:szCs w:val="24"/>
          <w:lang w:eastAsia="en-IN"/>
        </w:rPr>
        <w:t>In the Union Budget 2022-23(BE), gross market borrowings is Rs 16</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60</w:t>
      </w:r>
      <w:r w:rsidR="00DC1DD3" w:rsidRPr="0000366E">
        <w:rPr>
          <w:rFonts w:ascii="Times New Roman" w:eastAsia="Times New Roman" w:hAnsi="Times New Roman" w:cs="Times New Roman"/>
          <w:color w:val="222222"/>
          <w:sz w:val="24"/>
          <w:szCs w:val="24"/>
          <w:lang w:eastAsia="en-IN"/>
        </w:rPr>
        <w:t>,</w:t>
      </w:r>
      <w:r w:rsidR="000E4D65" w:rsidRPr="0000366E">
        <w:rPr>
          <w:rFonts w:ascii="Times New Roman" w:eastAsia="Times New Roman" w:hAnsi="Times New Roman" w:cs="Times New Roman"/>
          <w:color w:val="222222"/>
          <w:sz w:val="24"/>
          <w:szCs w:val="24"/>
          <w:lang w:eastAsia="en-IN"/>
        </w:rPr>
        <w:t>444 crores</w:t>
      </w:r>
      <w:r w:rsidRPr="0000366E">
        <w:rPr>
          <w:rFonts w:ascii="Times New Roman" w:eastAsia="Times New Roman" w:hAnsi="Times New Roman" w:cs="Times New Roman"/>
          <w:color w:val="222222"/>
          <w:sz w:val="24"/>
          <w:szCs w:val="24"/>
          <w:lang w:eastAsia="en-IN"/>
        </w:rPr>
        <w:t>, around 69.75 per cent of total debt. There is a deviation between BE and RE for the securities against Small Savings in the year 2021-22, it has increased from Rs 3</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91</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524 crores (BE) to Rs 5</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91</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524 crores. The securities against Small Savings constitute 25.61 per cent of total debt in 2022-23 (BE) (Table 2). The State Provident Fund constitute</w:t>
      </w:r>
      <w:r w:rsidR="00DC1DD3" w:rsidRPr="0000366E">
        <w:rPr>
          <w:rFonts w:ascii="Times New Roman" w:eastAsia="Times New Roman" w:hAnsi="Times New Roman" w:cs="Times New Roman"/>
          <w:color w:val="222222"/>
          <w:sz w:val="24"/>
          <w:szCs w:val="24"/>
          <w:lang w:eastAsia="en-IN"/>
        </w:rPr>
        <w:t>s</w:t>
      </w:r>
      <w:r w:rsidRPr="0000366E">
        <w:rPr>
          <w:rFonts w:ascii="Times New Roman" w:eastAsia="Times New Roman" w:hAnsi="Times New Roman" w:cs="Times New Roman"/>
          <w:color w:val="222222"/>
          <w:sz w:val="24"/>
          <w:szCs w:val="24"/>
          <w:lang w:eastAsia="en-IN"/>
        </w:rPr>
        <w:t xml:space="preserve"> 1.20 per cent of total public debt</w:t>
      </w:r>
      <w:r w:rsidR="00DC1DD3" w:rsidRPr="0000366E">
        <w:rPr>
          <w:rFonts w:ascii="Times New Roman" w:eastAsia="Times New Roman" w:hAnsi="Times New Roman" w:cs="Times New Roman"/>
          <w:color w:val="222222"/>
          <w:sz w:val="24"/>
          <w:szCs w:val="24"/>
          <w:lang w:eastAsia="en-IN"/>
        </w:rPr>
        <w:t xml:space="preserve"> in FY23</w:t>
      </w:r>
      <w:r w:rsidRPr="0000366E">
        <w:rPr>
          <w:rFonts w:ascii="Times New Roman" w:eastAsia="Times New Roman" w:hAnsi="Times New Roman" w:cs="Times New Roman"/>
          <w:color w:val="222222"/>
          <w:sz w:val="24"/>
          <w:szCs w:val="24"/>
          <w:lang w:eastAsia="en-IN"/>
        </w:rPr>
        <w:t xml:space="preserve">. The deficit incurred through off-budget borrowings (OBB) through public sector enterprises is not the part of fiscal deficit; it can be captured better through the construction of “Public Sector Borrowing Requirement” (PSBR) data. The coverage of PSBR is the general government deficit plus borrowing through public sector enterprises. However, India has not yet constructed a time series on PSBR. </w:t>
      </w:r>
    </w:p>
    <w:p w14:paraId="3569A3F6" w14:textId="77777777" w:rsidR="00C04D34" w:rsidRPr="0000366E" w:rsidRDefault="00C04D34" w:rsidP="00C04D34">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5E1F9798" w14:textId="55E7EDF0" w:rsidR="004F43B7" w:rsidRPr="0000366E" w:rsidRDefault="000F7EEA" w:rsidP="00C04D34">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00366E">
        <w:rPr>
          <w:rFonts w:ascii="Times New Roman" w:eastAsia="Times New Roman" w:hAnsi="Times New Roman" w:cs="Times New Roman"/>
          <w:color w:val="222222"/>
          <w:sz w:val="24"/>
          <w:szCs w:val="24"/>
          <w:lang w:eastAsia="en-IN"/>
        </w:rPr>
        <w:lastRenderedPageBreak/>
        <w:t>I</w:t>
      </w:r>
      <w:r w:rsidR="00DC1DD3" w:rsidRPr="0000366E">
        <w:rPr>
          <w:rFonts w:ascii="Times New Roman" w:eastAsia="Times New Roman" w:hAnsi="Times New Roman" w:cs="Times New Roman"/>
          <w:color w:val="222222"/>
          <w:sz w:val="24"/>
          <w:szCs w:val="24"/>
          <w:lang w:eastAsia="en-IN"/>
        </w:rPr>
        <w:t>n the Union Budget 2021-</w:t>
      </w:r>
      <w:r w:rsidRPr="0000366E">
        <w:rPr>
          <w:rFonts w:ascii="Times New Roman" w:eastAsia="Times New Roman" w:hAnsi="Times New Roman" w:cs="Times New Roman"/>
          <w:color w:val="222222"/>
          <w:sz w:val="24"/>
          <w:szCs w:val="24"/>
          <w:lang w:eastAsia="en-IN"/>
        </w:rPr>
        <w:t>22</w:t>
      </w:r>
      <w:r w:rsidR="00DE7275" w:rsidRPr="0000366E">
        <w:rPr>
          <w:rFonts w:ascii="Times New Roman" w:eastAsia="Times New Roman" w:hAnsi="Times New Roman" w:cs="Times New Roman"/>
          <w:color w:val="222222"/>
          <w:sz w:val="24"/>
          <w:szCs w:val="24"/>
          <w:lang w:eastAsia="en-IN"/>
        </w:rPr>
        <w:t xml:space="preserve">, </w:t>
      </w:r>
      <w:r w:rsidRPr="0000366E">
        <w:rPr>
          <w:rFonts w:ascii="Times New Roman" w:eastAsia="Times New Roman" w:hAnsi="Times New Roman" w:cs="Times New Roman"/>
          <w:color w:val="222222"/>
          <w:sz w:val="24"/>
          <w:szCs w:val="24"/>
          <w:lang w:eastAsia="en-IN"/>
        </w:rPr>
        <w:t xml:space="preserve">in the revenue account, </w:t>
      </w:r>
      <w:r w:rsidR="00DC1DD3" w:rsidRPr="0000366E">
        <w:rPr>
          <w:rFonts w:ascii="Times New Roman" w:eastAsia="Times New Roman" w:hAnsi="Times New Roman" w:cs="Times New Roman"/>
          <w:color w:val="222222"/>
          <w:sz w:val="24"/>
          <w:szCs w:val="24"/>
          <w:lang w:eastAsia="en-IN"/>
        </w:rPr>
        <w:t xml:space="preserve">the revised estimates (RE) was higher than budget estimates (BE) for </w:t>
      </w:r>
      <w:r w:rsidRPr="0000366E">
        <w:rPr>
          <w:rFonts w:ascii="Times New Roman" w:eastAsia="Times New Roman" w:hAnsi="Times New Roman" w:cs="Times New Roman"/>
          <w:color w:val="222222"/>
          <w:sz w:val="24"/>
          <w:szCs w:val="24"/>
          <w:lang w:eastAsia="en-IN"/>
        </w:rPr>
        <w:t>the tax and nontax revenue buoyancy.  However, the non-debt creating capital receipts, particularly the disinvestment/privatisation proceeds</w:t>
      </w:r>
      <w:r w:rsidR="00DC1DD3" w:rsidRPr="0000366E">
        <w:rPr>
          <w:rFonts w:ascii="Times New Roman" w:eastAsia="Times New Roman" w:hAnsi="Times New Roman" w:cs="Times New Roman"/>
          <w:color w:val="222222"/>
          <w:sz w:val="24"/>
          <w:szCs w:val="24"/>
          <w:lang w:eastAsia="en-IN"/>
        </w:rPr>
        <w:t>,</w:t>
      </w:r>
      <w:r w:rsidRPr="0000366E">
        <w:rPr>
          <w:rFonts w:ascii="Times New Roman" w:eastAsia="Times New Roman" w:hAnsi="Times New Roman" w:cs="Times New Roman"/>
          <w:color w:val="222222"/>
          <w:sz w:val="24"/>
          <w:szCs w:val="24"/>
          <w:lang w:eastAsia="en-IN"/>
        </w:rPr>
        <w:t xml:space="preserve"> showed </w:t>
      </w:r>
      <w:r w:rsidR="00DC1DD3" w:rsidRPr="0000366E">
        <w:rPr>
          <w:rFonts w:ascii="Times New Roman" w:eastAsia="Times New Roman" w:hAnsi="Times New Roman" w:cs="Times New Roman"/>
          <w:color w:val="222222"/>
          <w:sz w:val="24"/>
          <w:szCs w:val="24"/>
          <w:lang w:eastAsia="en-IN"/>
        </w:rPr>
        <w:t xml:space="preserve">a </w:t>
      </w:r>
      <w:r w:rsidRPr="0000366E">
        <w:rPr>
          <w:rFonts w:ascii="Times New Roman" w:eastAsia="Times New Roman" w:hAnsi="Times New Roman" w:cs="Times New Roman"/>
          <w:color w:val="222222"/>
          <w:sz w:val="24"/>
          <w:szCs w:val="24"/>
          <w:lang w:eastAsia="en-IN"/>
        </w:rPr>
        <w:t xml:space="preserve">fiscal slippage. </w:t>
      </w:r>
      <w:r w:rsidR="007456EA" w:rsidRPr="0000366E">
        <w:rPr>
          <w:rFonts w:ascii="Times New Roman" w:eastAsia="Times New Roman" w:hAnsi="Times New Roman" w:cs="Times New Roman"/>
          <w:color w:val="222222"/>
          <w:sz w:val="24"/>
          <w:szCs w:val="24"/>
          <w:lang w:eastAsia="en-IN"/>
        </w:rPr>
        <w:t xml:space="preserve">With a </w:t>
      </w:r>
      <w:r w:rsidR="0022419E" w:rsidRPr="0000366E">
        <w:rPr>
          <w:rFonts w:ascii="Times New Roman" w:eastAsia="Times New Roman" w:hAnsi="Times New Roman" w:cs="Times New Roman"/>
          <w:color w:val="222222"/>
          <w:sz w:val="24"/>
          <w:szCs w:val="24"/>
          <w:lang w:eastAsia="en-IN"/>
        </w:rPr>
        <w:t xml:space="preserve">disinvestment target </w:t>
      </w:r>
      <w:r w:rsidR="007456EA" w:rsidRPr="0000366E">
        <w:rPr>
          <w:rFonts w:ascii="Times New Roman" w:eastAsia="Times New Roman" w:hAnsi="Times New Roman" w:cs="Times New Roman"/>
          <w:color w:val="222222"/>
          <w:sz w:val="24"/>
          <w:szCs w:val="24"/>
          <w:lang w:eastAsia="en-IN"/>
        </w:rPr>
        <w:t xml:space="preserve">of Rs 1.75 lakh crore, government has received only Rs </w:t>
      </w:r>
      <w:r w:rsidR="000C3054" w:rsidRPr="0000366E">
        <w:rPr>
          <w:rFonts w:ascii="Times New Roman" w:eastAsia="Times New Roman" w:hAnsi="Times New Roman" w:cs="Times New Roman"/>
          <w:color w:val="222222"/>
          <w:sz w:val="24"/>
          <w:szCs w:val="24"/>
          <w:lang w:eastAsia="en-IN"/>
        </w:rPr>
        <w:t>78,000 crores in 20</w:t>
      </w:r>
      <w:r w:rsidR="007456EA" w:rsidRPr="0000366E">
        <w:rPr>
          <w:rFonts w:ascii="Times New Roman" w:eastAsia="Times New Roman" w:hAnsi="Times New Roman" w:cs="Times New Roman"/>
          <w:color w:val="222222"/>
          <w:sz w:val="24"/>
          <w:szCs w:val="24"/>
          <w:lang w:eastAsia="en-IN"/>
        </w:rPr>
        <w:t>21</w:t>
      </w:r>
      <w:r w:rsidR="000C3054" w:rsidRPr="0000366E">
        <w:rPr>
          <w:rFonts w:ascii="Times New Roman" w:eastAsia="Times New Roman" w:hAnsi="Times New Roman" w:cs="Times New Roman"/>
          <w:color w:val="222222"/>
          <w:sz w:val="24"/>
          <w:szCs w:val="24"/>
          <w:lang w:eastAsia="en-IN"/>
        </w:rPr>
        <w:t>-22</w:t>
      </w:r>
      <w:r w:rsidR="007456EA" w:rsidRPr="0000366E">
        <w:rPr>
          <w:rFonts w:ascii="Times New Roman" w:eastAsia="Times New Roman" w:hAnsi="Times New Roman" w:cs="Times New Roman"/>
          <w:color w:val="222222"/>
          <w:sz w:val="24"/>
          <w:szCs w:val="24"/>
          <w:lang w:eastAsia="en-IN"/>
        </w:rPr>
        <w:t xml:space="preserve">. </w:t>
      </w:r>
      <w:r w:rsidR="000C3054" w:rsidRPr="0000366E">
        <w:rPr>
          <w:rFonts w:ascii="Times New Roman" w:eastAsia="Times New Roman" w:hAnsi="Times New Roman" w:cs="Times New Roman"/>
          <w:color w:val="222222"/>
          <w:sz w:val="24"/>
          <w:szCs w:val="24"/>
          <w:lang w:eastAsia="en-IN"/>
        </w:rPr>
        <w:t>In 2020-21</w:t>
      </w:r>
      <w:r w:rsidR="007456EA" w:rsidRPr="0000366E">
        <w:rPr>
          <w:rFonts w:ascii="Times New Roman" w:eastAsia="Times New Roman" w:hAnsi="Times New Roman" w:cs="Times New Roman"/>
          <w:color w:val="222222"/>
          <w:sz w:val="24"/>
          <w:szCs w:val="24"/>
          <w:lang w:eastAsia="en-IN"/>
        </w:rPr>
        <w:t xml:space="preserve">, the proceeds from disinvestment was only Rs </w:t>
      </w:r>
      <w:r w:rsidR="000C3054" w:rsidRPr="0000366E">
        <w:rPr>
          <w:rFonts w:ascii="Times New Roman" w:eastAsia="Times New Roman" w:hAnsi="Times New Roman" w:cs="Times New Roman"/>
          <w:color w:val="222222"/>
          <w:sz w:val="24"/>
          <w:szCs w:val="24"/>
          <w:lang w:eastAsia="en-IN"/>
        </w:rPr>
        <w:t>37,897</w:t>
      </w:r>
      <w:r w:rsidR="007456EA" w:rsidRPr="0000366E">
        <w:rPr>
          <w:rFonts w:ascii="Times New Roman" w:eastAsia="Times New Roman" w:hAnsi="Times New Roman" w:cs="Times New Roman"/>
          <w:color w:val="222222"/>
          <w:sz w:val="24"/>
          <w:szCs w:val="24"/>
          <w:lang w:eastAsia="en-IN"/>
        </w:rPr>
        <w:t xml:space="preserve"> crores as against the target of Rs 2.1 lakh crores. In</w:t>
      </w:r>
      <w:r w:rsidR="00DC1DD3" w:rsidRPr="0000366E">
        <w:rPr>
          <w:rFonts w:ascii="Times New Roman" w:eastAsia="Times New Roman" w:hAnsi="Times New Roman" w:cs="Times New Roman"/>
          <w:color w:val="222222"/>
          <w:sz w:val="24"/>
          <w:szCs w:val="24"/>
          <w:lang w:eastAsia="en-IN"/>
        </w:rPr>
        <w:t xml:space="preserve"> 2022-23 BE</w:t>
      </w:r>
      <w:r w:rsidR="007456EA" w:rsidRPr="0000366E">
        <w:rPr>
          <w:rFonts w:ascii="Times New Roman" w:eastAsia="Times New Roman" w:hAnsi="Times New Roman" w:cs="Times New Roman"/>
          <w:color w:val="222222"/>
          <w:sz w:val="24"/>
          <w:szCs w:val="24"/>
          <w:lang w:eastAsia="en-IN"/>
        </w:rPr>
        <w:t xml:space="preserve">, government has provided very conservative estimate targeting only </w:t>
      </w:r>
      <w:r w:rsidR="000C3054" w:rsidRPr="0000366E">
        <w:rPr>
          <w:rFonts w:ascii="Times New Roman" w:eastAsia="Times New Roman" w:hAnsi="Times New Roman" w:cs="Times New Roman"/>
          <w:color w:val="222222"/>
          <w:sz w:val="24"/>
          <w:szCs w:val="24"/>
          <w:lang w:eastAsia="en-IN"/>
        </w:rPr>
        <w:t xml:space="preserve">Rs 65,000 crores (Table 3). </w:t>
      </w:r>
    </w:p>
    <w:p w14:paraId="7D078F16" w14:textId="5BD3E71B" w:rsidR="004F43B7" w:rsidRPr="009E1931" w:rsidRDefault="009E1931" w:rsidP="00236F81">
      <w:pPr>
        <w:pStyle w:val="NormalWeb"/>
        <w:rPr>
          <w:b/>
          <w:sz w:val="22"/>
          <w:szCs w:val="22"/>
        </w:rPr>
      </w:pPr>
      <w:r w:rsidRPr="009E1931">
        <w:rPr>
          <w:b/>
          <w:sz w:val="22"/>
          <w:szCs w:val="22"/>
        </w:rPr>
        <w:t xml:space="preserve">Table 3: </w:t>
      </w:r>
      <w:r>
        <w:rPr>
          <w:b/>
          <w:sz w:val="22"/>
          <w:szCs w:val="22"/>
        </w:rPr>
        <w:t>Union Budget 2022-23</w:t>
      </w:r>
      <w:r w:rsidRPr="009E1931">
        <w:rPr>
          <w:b/>
          <w:sz w:val="22"/>
          <w:szCs w:val="22"/>
        </w:rPr>
        <w:t xml:space="preserve">: </w:t>
      </w:r>
      <w:r>
        <w:rPr>
          <w:b/>
          <w:sz w:val="22"/>
          <w:szCs w:val="22"/>
        </w:rPr>
        <w:t xml:space="preserve">Disaggregated </w:t>
      </w:r>
      <w:r w:rsidRPr="009E1931">
        <w:rPr>
          <w:b/>
          <w:sz w:val="22"/>
          <w:szCs w:val="22"/>
        </w:rPr>
        <w:t xml:space="preserve">Revenue and Expenditure </w:t>
      </w:r>
    </w:p>
    <w:tbl>
      <w:tblPr>
        <w:tblW w:w="8075" w:type="dxa"/>
        <w:tblLook w:val="04A0" w:firstRow="1" w:lastRow="0" w:firstColumn="1" w:lastColumn="0" w:noHBand="0" w:noVBand="1"/>
      </w:tblPr>
      <w:tblGrid>
        <w:gridCol w:w="2801"/>
        <w:gridCol w:w="995"/>
        <w:gridCol w:w="995"/>
        <w:gridCol w:w="995"/>
        <w:gridCol w:w="995"/>
        <w:gridCol w:w="1294"/>
      </w:tblGrid>
      <w:tr w:rsidR="00BC7005" w:rsidRPr="00BC7005" w14:paraId="6098E49F" w14:textId="77777777" w:rsidTr="004F43B7">
        <w:trPr>
          <w:trHeight w:val="340"/>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FEE05"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w:t>
            </w:r>
          </w:p>
        </w:tc>
        <w:tc>
          <w:tcPr>
            <w:tcW w:w="995" w:type="dxa"/>
            <w:tcBorders>
              <w:top w:val="single" w:sz="4" w:space="0" w:color="auto"/>
              <w:left w:val="nil"/>
              <w:bottom w:val="single" w:sz="4" w:space="0" w:color="auto"/>
              <w:right w:val="single" w:sz="4" w:space="0" w:color="auto"/>
            </w:tcBorders>
            <w:shd w:val="clear" w:color="auto" w:fill="auto"/>
            <w:hideMark/>
          </w:tcPr>
          <w:p w14:paraId="08FB1A00"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 xml:space="preserve">2020-21 Actuals </w:t>
            </w:r>
          </w:p>
        </w:tc>
        <w:tc>
          <w:tcPr>
            <w:tcW w:w="995" w:type="dxa"/>
            <w:tcBorders>
              <w:top w:val="single" w:sz="4" w:space="0" w:color="auto"/>
              <w:left w:val="nil"/>
              <w:bottom w:val="single" w:sz="4" w:space="0" w:color="auto"/>
              <w:right w:val="single" w:sz="4" w:space="0" w:color="auto"/>
            </w:tcBorders>
            <w:shd w:val="clear" w:color="auto" w:fill="auto"/>
            <w:hideMark/>
          </w:tcPr>
          <w:p w14:paraId="24211FDC"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2021-22 BE</w:t>
            </w:r>
          </w:p>
        </w:tc>
        <w:tc>
          <w:tcPr>
            <w:tcW w:w="995" w:type="dxa"/>
            <w:tcBorders>
              <w:top w:val="single" w:sz="4" w:space="0" w:color="auto"/>
              <w:left w:val="nil"/>
              <w:bottom w:val="single" w:sz="4" w:space="0" w:color="auto"/>
              <w:right w:val="single" w:sz="4" w:space="0" w:color="auto"/>
            </w:tcBorders>
            <w:shd w:val="clear" w:color="auto" w:fill="auto"/>
            <w:hideMark/>
          </w:tcPr>
          <w:p w14:paraId="25CFF4B2"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2021-22 RE</w:t>
            </w:r>
          </w:p>
        </w:tc>
        <w:tc>
          <w:tcPr>
            <w:tcW w:w="995" w:type="dxa"/>
            <w:tcBorders>
              <w:top w:val="single" w:sz="4" w:space="0" w:color="auto"/>
              <w:left w:val="nil"/>
              <w:bottom w:val="single" w:sz="4" w:space="0" w:color="auto"/>
              <w:right w:val="single" w:sz="4" w:space="0" w:color="auto"/>
            </w:tcBorders>
            <w:shd w:val="clear" w:color="auto" w:fill="auto"/>
            <w:hideMark/>
          </w:tcPr>
          <w:p w14:paraId="35EB05DD"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2022-23 BE</w:t>
            </w:r>
          </w:p>
        </w:tc>
        <w:tc>
          <w:tcPr>
            <w:tcW w:w="1294" w:type="dxa"/>
            <w:tcBorders>
              <w:top w:val="single" w:sz="4" w:space="0" w:color="auto"/>
              <w:left w:val="nil"/>
              <w:bottom w:val="single" w:sz="4" w:space="0" w:color="auto"/>
              <w:right w:val="single" w:sz="4" w:space="0" w:color="auto"/>
            </w:tcBorders>
            <w:shd w:val="clear" w:color="auto" w:fill="auto"/>
            <w:hideMark/>
          </w:tcPr>
          <w:p w14:paraId="15C3712D" w14:textId="0B981E68" w:rsid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 xml:space="preserve"> (2021-22)</w:t>
            </w:r>
          </w:p>
          <w:p w14:paraId="144CC7C7" w14:textId="71AEE8A3" w:rsidR="004F43B7" w:rsidRPr="00BC7005" w:rsidRDefault="004F43B7" w:rsidP="00BC7005">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RE/BE Ratio</w:t>
            </w:r>
          </w:p>
        </w:tc>
      </w:tr>
      <w:tr w:rsidR="00BC7005" w:rsidRPr="00BC7005" w14:paraId="11A01931"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6487A4F7" w14:textId="77777777" w:rsidR="00BC7005" w:rsidRPr="00BC7005" w:rsidRDefault="00BC7005" w:rsidP="00BC7005">
            <w:pPr>
              <w:spacing w:after="0" w:line="240" w:lineRule="auto"/>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 Revenue Receipts</w:t>
            </w:r>
          </w:p>
        </w:tc>
        <w:tc>
          <w:tcPr>
            <w:tcW w:w="995" w:type="dxa"/>
            <w:tcBorders>
              <w:top w:val="nil"/>
              <w:left w:val="nil"/>
              <w:bottom w:val="single" w:sz="4" w:space="0" w:color="auto"/>
              <w:right w:val="single" w:sz="4" w:space="0" w:color="auto"/>
            </w:tcBorders>
            <w:shd w:val="clear" w:color="auto" w:fill="auto"/>
            <w:hideMark/>
          </w:tcPr>
          <w:p w14:paraId="42D08593"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1633920</w:t>
            </w:r>
          </w:p>
        </w:tc>
        <w:tc>
          <w:tcPr>
            <w:tcW w:w="995" w:type="dxa"/>
            <w:tcBorders>
              <w:top w:val="nil"/>
              <w:left w:val="nil"/>
              <w:bottom w:val="single" w:sz="4" w:space="0" w:color="auto"/>
              <w:right w:val="single" w:sz="4" w:space="0" w:color="auto"/>
            </w:tcBorders>
            <w:shd w:val="clear" w:color="auto" w:fill="auto"/>
            <w:hideMark/>
          </w:tcPr>
          <w:p w14:paraId="54A13D2E"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1788424</w:t>
            </w:r>
          </w:p>
        </w:tc>
        <w:tc>
          <w:tcPr>
            <w:tcW w:w="995" w:type="dxa"/>
            <w:tcBorders>
              <w:top w:val="nil"/>
              <w:left w:val="nil"/>
              <w:bottom w:val="single" w:sz="4" w:space="0" w:color="auto"/>
              <w:right w:val="single" w:sz="4" w:space="0" w:color="auto"/>
            </w:tcBorders>
            <w:shd w:val="clear" w:color="auto" w:fill="auto"/>
            <w:hideMark/>
          </w:tcPr>
          <w:p w14:paraId="48B4F350"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2078936</w:t>
            </w:r>
          </w:p>
        </w:tc>
        <w:tc>
          <w:tcPr>
            <w:tcW w:w="995" w:type="dxa"/>
            <w:tcBorders>
              <w:top w:val="nil"/>
              <w:left w:val="nil"/>
              <w:bottom w:val="single" w:sz="4" w:space="0" w:color="auto"/>
              <w:right w:val="single" w:sz="4" w:space="0" w:color="auto"/>
            </w:tcBorders>
            <w:shd w:val="clear" w:color="auto" w:fill="auto"/>
            <w:hideMark/>
          </w:tcPr>
          <w:p w14:paraId="60E72997"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2204422</w:t>
            </w:r>
          </w:p>
        </w:tc>
        <w:tc>
          <w:tcPr>
            <w:tcW w:w="1294" w:type="dxa"/>
            <w:tcBorders>
              <w:top w:val="nil"/>
              <w:left w:val="nil"/>
              <w:bottom w:val="single" w:sz="4" w:space="0" w:color="auto"/>
              <w:right w:val="single" w:sz="4" w:space="0" w:color="auto"/>
            </w:tcBorders>
            <w:shd w:val="clear" w:color="auto" w:fill="auto"/>
            <w:hideMark/>
          </w:tcPr>
          <w:p w14:paraId="1F33646B"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1.16</w:t>
            </w:r>
          </w:p>
        </w:tc>
      </w:tr>
      <w:tr w:rsidR="00BC7005" w:rsidRPr="00BC7005" w14:paraId="37D6B0A2"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45F328BE"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2. Tax Revenue (Net to Centre)</w:t>
            </w:r>
          </w:p>
        </w:tc>
        <w:tc>
          <w:tcPr>
            <w:tcW w:w="995" w:type="dxa"/>
            <w:tcBorders>
              <w:top w:val="nil"/>
              <w:left w:val="nil"/>
              <w:bottom w:val="single" w:sz="4" w:space="0" w:color="auto"/>
              <w:right w:val="single" w:sz="4" w:space="0" w:color="auto"/>
            </w:tcBorders>
            <w:shd w:val="clear" w:color="auto" w:fill="auto"/>
            <w:hideMark/>
          </w:tcPr>
          <w:p w14:paraId="1C6EE6D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1426287</w:t>
            </w:r>
          </w:p>
        </w:tc>
        <w:tc>
          <w:tcPr>
            <w:tcW w:w="995" w:type="dxa"/>
            <w:tcBorders>
              <w:top w:val="nil"/>
              <w:left w:val="nil"/>
              <w:bottom w:val="single" w:sz="4" w:space="0" w:color="auto"/>
              <w:right w:val="single" w:sz="4" w:space="0" w:color="auto"/>
            </w:tcBorders>
            <w:shd w:val="clear" w:color="auto" w:fill="auto"/>
            <w:hideMark/>
          </w:tcPr>
          <w:p w14:paraId="659B0D43"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1545396</w:t>
            </w:r>
          </w:p>
        </w:tc>
        <w:tc>
          <w:tcPr>
            <w:tcW w:w="995" w:type="dxa"/>
            <w:tcBorders>
              <w:top w:val="nil"/>
              <w:left w:val="nil"/>
              <w:bottom w:val="single" w:sz="4" w:space="0" w:color="auto"/>
              <w:right w:val="single" w:sz="4" w:space="0" w:color="auto"/>
            </w:tcBorders>
            <w:shd w:val="clear" w:color="auto" w:fill="auto"/>
            <w:hideMark/>
          </w:tcPr>
          <w:p w14:paraId="0858BBE7"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1765145</w:t>
            </w:r>
          </w:p>
        </w:tc>
        <w:tc>
          <w:tcPr>
            <w:tcW w:w="995" w:type="dxa"/>
            <w:tcBorders>
              <w:top w:val="nil"/>
              <w:left w:val="nil"/>
              <w:bottom w:val="single" w:sz="4" w:space="0" w:color="auto"/>
              <w:right w:val="single" w:sz="4" w:space="0" w:color="auto"/>
            </w:tcBorders>
            <w:shd w:val="clear" w:color="auto" w:fill="auto"/>
            <w:hideMark/>
          </w:tcPr>
          <w:p w14:paraId="4F2D4A5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1934771</w:t>
            </w:r>
          </w:p>
        </w:tc>
        <w:tc>
          <w:tcPr>
            <w:tcW w:w="1294" w:type="dxa"/>
            <w:tcBorders>
              <w:top w:val="nil"/>
              <w:left w:val="nil"/>
              <w:bottom w:val="single" w:sz="4" w:space="0" w:color="auto"/>
              <w:right w:val="single" w:sz="4" w:space="0" w:color="auto"/>
            </w:tcBorders>
            <w:shd w:val="clear" w:color="auto" w:fill="auto"/>
            <w:hideMark/>
          </w:tcPr>
          <w:p w14:paraId="178A832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1.14</w:t>
            </w:r>
          </w:p>
        </w:tc>
      </w:tr>
      <w:tr w:rsidR="00BC7005" w:rsidRPr="00BC7005" w14:paraId="4047CD01"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4243108A"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3. Non Tax Revenue</w:t>
            </w:r>
          </w:p>
        </w:tc>
        <w:tc>
          <w:tcPr>
            <w:tcW w:w="995" w:type="dxa"/>
            <w:tcBorders>
              <w:top w:val="nil"/>
              <w:left w:val="nil"/>
              <w:bottom w:val="single" w:sz="4" w:space="0" w:color="auto"/>
              <w:right w:val="single" w:sz="4" w:space="0" w:color="auto"/>
            </w:tcBorders>
            <w:shd w:val="clear" w:color="auto" w:fill="auto"/>
            <w:hideMark/>
          </w:tcPr>
          <w:p w14:paraId="21DE683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207633</w:t>
            </w:r>
          </w:p>
        </w:tc>
        <w:tc>
          <w:tcPr>
            <w:tcW w:w="995" w:type="dxa"/>
            <w:tcBorders>
              <w:top w:val="nil"/>
              <w:left w:val="nil"/>
              <w:bottom w:val="single" w:sz="4" w:space="0" w:color="auto"/>
              <w:right w:val="single" w:sz="4" w:space="0" w:color="auto"/>
            </w:tcBorders>
            <w:shd w:val="clear" w:color="auto" w:fill="auto"/>
            <w:hideMark/>
          </w:tcPr>
          <w:p w14:paraId="6C518110"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243028</w:t>
            </w:r>
          </w:p>
        </w:tc>
        <w:tc>
          <w:tcPr>
            <w:tcW w:w="995" w:type="dxa"/>
            <w:tcBorders>
              <w:top w:val="nil"/>
              <w:left w:val="nil"/>
              <w:bottom w:val="single" w:sz="4" w:space="0" w:color="auto"/>
              <w:right w:val="single" w:sz="4" w:space="0" w:color="auto"/>
            </w:tcBorders>
            <w:shd w:val="clear" w:color="auto" w:fill="auto"/>
            <w:hideMark/>
          </w:tcPr>
          <w:p w14:paraId="0DD136A8"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313791</w:t>
            </w:r>
          </w:p>
        </w:tc>
        <w:tc>
          <w:tcPr>
            <w:tcW w:w="995" w:type="dxa"/>
            <w:tcBorders>
              <w:top w:val="nil"/>
              <w:left w:val="nil"/>
              <w:bottom w:val="single" w:sz="4" w:space="0" w:color="auto"/>
              <w:right w:val="single" w:sz="4" w:space="0" w:color="auto"/>
            </w:tcBorders>
            <w:shd w:val="clear" w:color="auto" w:fill="auto"/>
            <w:hideMark/>
          </w:tcPr>
          <w:p w14:paraId="2E2A779D"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269651</w:t>
            </w:r>
          </w:p>
        </w:tc>
        <w:tc>
          <w:tcPr>
            <w:tcW w:w="1294" w:type="dxa"/>
            <w:tcBorders>
              <w:top w:val="nil"/>
              <w:left w:val="nil"/>
              <w:bottom w:val="single" w:sz="4" w:space="0" w:color="auto"/>
              <w:right w:val="single" w:sz="4" w:space="0" w:color="auto"/>
            </w:tcBorders>
            <w:shd w:val="clear" w:color="auto" w:fill="auto"/>
            <w:hideMark/>
          </w:tcPr>
          <w:p w14:paraId="2E3B9EC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1.29</w:t>
            </w:r>
          </w:p>
        </w:tc>
      </w:tr>
      <w:tr w:rsidR="00BC7005" w:rsidRPr="00BC7005" w14:paraId="1AC80D9F"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16E29798" w14:textId="3ECF8CE5" w:rsidR="00BC7005" w:rsidRPr="00BC7005" w:rsidRDefault="000C3054" w:rsidP="00BC7005">
            <w:pPr>
              <w:spacing w:after="0" w:line="240" w:lineRule="auto"/>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4. Capital Receipts</w:t>
            </w:r>
          </w:p>
        </w:tc>
        <w:tc>
          <w:tcPr>
            <w:tcW w:w="995" w:type="dxa"/>
            <w:tcBorders>
              <w:top w:val="nil"/>
              <w:left w:val="nil"/>
              <w:bottom w:val="single" w:sz="4" w:space="0" w:color="auto"/>
              <w:right w:val="single" w:sz="4" w:space="0" w:color="auto"/>
            </w:tcBorders>
            <w:shd w:val="clear" w:color="auto" w:fill="auto"/>
            <w:hideMark/>
          </w:tcPr>
          <w:p w14:paraId="0DDE68F4"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1875916</w:t>
            </w:r>
          </w:p>
        </w:tc>
        <w:tc>
          <w:tcPr>
            <w:tcW w:w="995" w:type="dxa"/>
            <w:tcBorders>
              <w:top w:val="nil"/>
              <w:left w:val="nil"/>
              <w:bottom w:val="single" w:sz="4" w:space="0" w:color="auto"/>
              <w:right w:val="single" w:sz="4" w:space="0" w:color="auto"/>
            </w:tcBorders>
            <w:shd w:val="clear" w:color="auto" w:fill="auto"/>
            <w:hideMark/>
          </w:tcPr>
          <w:p w14:paraId="286D1E1A"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1694812</w:t>
            </w:r>
          </w:p>
        </w:tc>
        <w:tc>
          <w:tcPr>
            <w:tcW w:w="995" w:type="dxa"/>
            <w:tcBorders>
              <w:top w:val="nil"/>
              <w:left w:val="nil"/>
              <w:bottom w:val="single" w:sz="4" w:space="0" w:color="auto"/>
              <w:right w:val="single" w:sz="4" w:space="0" w:color="auto"/>
            </w:tcBorders>
            <w:shd w:val="clear" w:color="auto" w:fill="auto"/>
            <w:hideMark/>
          </w:tcPr>
          <w:p w14:paraId="7D288D87"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1691064</w:t>
            </w:r>
          </w:p>
        </w:tc>
        <w:tc>
          <w:tcPr>
            <w:tcW w:w="995" w:type="dxa"/>
            <w:tcBorders>
              <w:top w:val="nil"/>
              <w:left w:val="nil"/>
              <w:bottom w:val="single" w:sz="4" w:space="0" w:color="auto"/>
              <w:right w:val="single" w:sz="4" w:space="0" w:color="auto"/>
            </w:tcBorders>
            <w:shd w:val="clear" w:color="auto" w:fill="auto"/>
            <w:hideMark/>
          </w:tcPr>
          <w:p w14:paraId="17CA7C31"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1740487</w:t>
            </w:r>
          </w:p>
        </w:tc>
        <w:tc>
          <w:tcPr>
            <w:tcW w:w="1294" w:type="dxa"/>
            <w:tcBorders>
              <w:top w:val="nil"/>
              <w:left w:val="nil"/>
              <w:bottom w:val="single" w:sz="4" w:space="0" w:color="auto"/>
              <w:right w:val="single" w:sz="4" w:space="0" w:color="auto"/>
            </w:tcBorders>
            <w:shd w:val="clear" w:color="auto" w:fill="auto"/>
            <w:hideMark/>
          </w:tcPr>
          <w:p w14:paraId="4E0B18ED"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 </w:t>
            </w:r>
          </w:p>
        </w:tc>
      </w:tr>
      <w:tr w:rsidR="00BC7005" w:rsidRPr="00BC7005" w14:paraId="27530FA1"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07BF5838"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5. Recovery of Loans</w:t>
            </w:r>
          </w:p>
        </w:tc>
        <w:tc>
          <w:tcPr>
            <w:tcW w:w="995" w:type="dxa"/>
            <w:tcBorders>
              <w:top w:val="nil"/>
              <w:left w:val="nil"/>
              <w:bottom w:val="single" w:sz="4" w:space="0" w:color="auto"/>
              <w:right w:val="single" w:sz="4" w:space="0" w:color="auto"/>
            </w:tcBorders>
            <w:shd w:val="clear" w:color="auto" w:fill="auto"/>
            <w:hideMark/>
          </w:tcPr>
          <w:p w14:paraId="52A80C72"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19729</w:t>
            </w:r>
          </w:p>
        </w:tc>
        <w:tc>
          <w:tcPr>
            <w:tcW w:w="995" w:type="dxa"/>
            <w:tcBorders>
              <w:top w:val="nil"/>
              <w:left w:val="nil"/>
              <w:bottom w:val="single" w:sz="4" w:space="0" w:color="auto"/>
              <w:right w:val="single" w:sz="4" w:space="0" w:color="auto"/>
            </w:tcBorders>
            <w:shd w:val="clear" w:color="auto" w:fill="auto"/>
            <w:hideMark/>
          </w:tcPr>
          <w:p w14:paraId="13F262C9"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13000</w:t>
            </w:r>
          </w:p>
        </w:tc>
        <w:tc>
          <w:tcPr>
            <w:tcW w:w="995" w:type="dxa"/>
            <w:tcBorders>
              <w:top w:val="nil"/>
              <w:left w:val="nil"/>
              <w:bottom w:val="single" w:sz="4" w:space="0" w:color="auto"/>
              <w:right w:val="single" w:sz="4" w:space="0" w:color="auto"/>
            </w:tcBorders>
            <w:shd w:val="clear" w:color="auto" w:fill="auto"/>
            <w:hideMark/>
          </w:tcPr>
          <w:p w14:paraId="54C465AD"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21975</w:t>
            </w:r>
          </w:p>
        </w:tc>
        <w:tc>
          <w:tcPr>
            <w:tcW w:w="995" w:type="dxa"/>
            <w:tcBorders>
              <w:top w:val="nil"/>
              <w:left w:val="nil"/>
              <w:bottom w:val="single" w:sz="4" w:space="0" w:color="auto"/>
              <w:right w:val="single" w:sz="4" w:space="0" w:color="auto"/>
            </w:tcBorders>
            <w:shd w:val="clear" w:color="auto" w:fill="auto"/>
            <w:hideMark/>
          </w:tcPr>
          <w:p w14:paraId="0D7D8195"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14291</w:t>
            </w:r>
          </w:p>
        </w:tc>
        <w:tc>
          <w:tcPr>
            <w:tcW w:w="1294" w:type="dxa"/>
            <w:tcBorders>
              <w:top w:val="nil"/>
              <w:left w:val="nil"/>
              <w:bottom w:val="single" w:sz="4" w:space="0" w:color="auto"/>
              <w:right w:val="single" w:sz="4" w:space="0" w:color="auto"/>
            </w:tcBorders>
            <w:shd w:val="clear" w:color="auto" w:fill="auto"/>
            <w:hideMark/>
          </w:tcPr>
          <w:p w14:paraId="22E0DB8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1.69</w:t>
            </w:r>
          </w:p>
        </w:tc>
      </w:tr>
      <w:tr w:rsidR="00BC7005" w:rsidRPr="00BC7005" w14:paraId="5957B45E" w14:textId="77777777" w:rsidTr="004F43B7">
        <w:trPr>
          <w:trHeight w:val="520"/>
        </w:trPr>
        <w:tc>
          <w:tcPr>
            <w:tcW w:w="2801" w:type="dxa"/>
            <w:tcBorders>
              <w:top w:val="nil"/>
              <w:left w:val="single" w:sz="4" w:space="0" w:color="auto"/>
              <w:bottom w:val="single" w:sz="4" w:space="0" w:color="auto"/>
              <w:right w:val="single" w:sz="4" w:space="0" w:color="auto"/>
            </w:tcBorders>
            <w:shd w:val="clear" w:color="auto" w:fill="auto"/>
            <w:hideMark/>
          </w:tcPr>
          <w:p w14:paraId="388B6CCE" w14:textId="3B5D0F93"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6. Other Receipts (Disinvestment/</w:t>
            </w:r>
            <w:r w:rsidR="000C3054">
              <w:rPr>
                <w:rFonts w:ascii="Times New Roman" w:eastAsia="Times New Roman" w:hAnsi="Times New Roman" w:cs="Times New Roman"/>
                <w:color w:val="000000"/>
                <w:sz w:val="18"/>
                <w:szCs w:val="18"/>
                <w:lang w:val="en-US"/>
              </w:rPr>
              <w:t xml:space="preserve"> </w:t>
            </w:r>
            <w:proofErr w:type="spellStart"/>
            <w:r w:rsidRPr="00BC7005">
              <w:rPr>
                <w:rFonts w:ascii="Times New Roman" w:eastAsia="Times New Roman" w:hAnsi="Times New Roman" w:cs="Times New Roman"/>
                <w:color w:val="000000"/>
                <w:sz w:val="18"/>
                <w:szCs w:val="18"/>
                <w:lang w:val="en-US"/>
              </w:rPr>
              <w:t>Privat</w:t>
            </w:r>
            <w:r w:rsidRPr="004F43B7">
              <w:rPr>
                <w:rFonts w:ascii="Times New Roman" w:eastAsia="Times New Roman" w:hAnsi="Times New Roman" w:cs="Times New Roman"/>
                <w:color w:val="000000"/>
                <w:sz w:val="18"/>
                <w:szCs w:val="18"/>
                <w:lang w:val="en-US"/>
              </w:rPr>
              <w:t>i</w:t>
            </w:r>
            <w:r w:rsidRPr="00BC7005">
              <w:rPr>
                <w:rFonts w:ascii="Times New Roman" w:eastAsia="Times New Roman" w:hAnsi="Times New Roman" w:cs="Times New Roman"/>
                <w:color w:val="000000"/>
                <w:sz w:val="18"/>
                <w:szCs w:val="18"/>
                <w:lang w:val="en-US"/>
              </w:rPr>
              <w:t>sation</w:t>
            </w:r>
            <w:proofErr w:type="spellEnd"/>
            <w:r w:rsidRPr="004F43B7">
              <w:rPr>
                <w:rFonts w:ascii="Times New Roman" w:eastAsia="Times New Roman" w:hAnsi="Times New Roman" w:cs="Times New Roman"/>
                <w:color w:val="000000"/>
                <w:sz w:val="18"/>
                <w:szCs w:val="18"/>
                <w:lang w:val="en-US"/>
              </w:rPr>
              <w:t xml:space="preserve"> proceeds</w:t>
            </w:r>
            <w:r w:rsidRPr="00BC7005">
              <w:rPr>
                <w:rFonts w:ascii="Times New Roman" w:eastAsia="Times New Roman" w:hAnsi="Times New Roman" w:cs="Times New Roman"/>
                <w:color w:val="000000"/>
                <w:sz w:val="18"/>
                <w:szCs w:val="18"/>
                <w:lang w:val="en-US"/>
              </w:rPr>
              <w:t>)</w:t>
            </w:r>
          </w:p>
        </w:tc>
        <w:tc>
          <w:tcPr>
            <w:tcW w:w="995" w:type="dxa"/>
            <w:tcBorders>
              <w:top w:val="nil"/>
              <w:left w:val="nil"/>
              <w:bottom w:val="single" w:sz="4" w:space="0" w:color="auto"/>
              <w:right w:val="single" w:sz="4" w:space="0" w:color="auto"/>
            </w:tcBorders>
            <w:shd w:val="clear" w:color="auto" w:fill="auto"/>
            <w:hideMark/>
          </w:tcPr>
          <w:p w14:paraId="57D9E217"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37897</w:t>
            </w:r>
          </w:p>
        </w:tc>
        <w:tc>
          <w:tcPr>
            <w:tcW w:w="995" w:type="dxa"/>
            <w:tcBorders>
              <w:top w:val="nil"/>
              <w:left w:val="nil"/>
              <w:bottom w:val="single" w:sz="4" w:space="0" w:color="auto"/>
              <w:right w:val="single" w:sz="4" w:space="0" w:color="auto"/>
            </w:tcBorders>
            <w:shd w:val="clear" w:color="auto" w:fill="auto"/>
            <w:hideMark/>
          </w:tcPr>
          <w:p w14:paraId="5CC38297"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175000</w:t>
            </w:r>
          </w:p>
        </w:tc>
        <w:tc>
          <w:tcPr>
            <w:tcW w:w="995" w:type="dxa"/>
            <w:tcBorders>
              <w:top w:val="nil"/>
              <w:left w:val="nil"/>
              <w:bottom w:val="single" w:sz="4" w:space="0" w:color="auto"/>
              <w:right w:val="single" w:sz="4" w:space="0" w:color="auto"/>
            </w:tcBorders>
            <w:shd w:val="clear" w:color="auto" w:fill="auto"/>
            <w:hideMark/>
          </w:tcPr>
          <w:p w14:paraId="5375CCD2"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78000</w:t>
            </w:r>
          </w:p>
        </w:tc>
        <w:tc>
          <w:tcPr>
            <w:tcW w:w="995" w:type="dxa"/>
            <w:tcBorders>
              <w:top w:val="nil"/>
              <w:left w:val="nil"/>
              <w:bottom w:val="single" w:sz="4" w:space="0" w:color="auto"/>
              <w:right w:val="single" w:sz="4" w:space="0" w:color="auto"/>
            </w:tcBorders>
            <w:shd w:val="clear" w:color="auto" w:fill="auto"/>
            <w:hideMark/>
          </w:tcPr>
          <w:p w14:paraId="693F78B1"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65000</w:t>
            </w:r>
          </w:p>
        </w:tc>
        <w:tc>
          <w:tcPr>
            <w:tcW w:w="1294" w:type="dxa"/>
            <w:tcBorders>
              <w:top w:val="nil"/>
              <w:left w:val="nil"/>
              <w:bottom w:val="single" w:sz="4" w:space="0" w:color="auto"/>
              <w:right w:val="single" w:sz="4" w:space="0" w:color="auto"/>
            </w:tcBorders>
            <w:shd w:val="clear" w:color="auto" w:fill="auto"/>
            <w:hideMark/>
          </w:tcPr>
          <w:p w14:paraId="4306076D"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0.45</w:t>
            </w:r>
          </w:p>
        </w:tc>
      </w:tr>
      <w:tr w:rsidR="00BC7005" w:rsidRPr="00BC7005" w14:paraId="0542259B" w14:textId="77777777" w:rsidTr="004F43B7">
        <w:trPr>
          <w:trHeight w:val="520"/>
        </w:trPr>
        <w:tc>
          <w:tcPr>
            <w:tcW w:w="2801" w:type="dxa"/>
            <w:tcBorders>
              <w:top w:val="nil"/>
              <w:left w:val="single" w:sz="4" w:space="0" w:color="auto"/>
              <w:bottom w:val="single" w:sz="4" w:space="0" w:color="auto"/>
              <w:right w:val="single" w:sz="4" w:space="0" w:color="auto"/>
            </w:tcBorders>
            <w:shd w:val="clear" w:color="auto" w:fill="auto"/>
            <w:hideMark/>
          </w:tcPr>
          <w:p w14:paraId="14AF56D6"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7. Borrowings and Other Liabilities (fiscal deficit)</w:t>
            </w:r>
          </w:p>
        </w:tc>
        <w:tc>
          <w:tcPr>
            <w:tcW w:w="995" w:type="dxa"/>
            <w:tcBorders>
              <w:top w:val="nil"/>
              <w:left w:val="nil"/>
              <w:bottom w:val="single" w:sz="4" w:space="0" w:color="auto"/>
              <w:right w:val="single" w:sz="4" w:space="0" w:color="auto"/>
            </w:tcBorders>
            <w:shd w:val="clear" w:color="auto" w:fill="auto"/>
            <w:hideMark/>
          </w:tcPr>
          <w:p w14:paraId="25A31DAB"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1818291</w:t>
            </w:r>
          </w:p>
        </w:tc>
        <w:tc>
          <w:tcPr>
            <w:tcW w:w="995" w:type="dxa"/>
            <w:tcBorders>
              <w:top w:val="nil"/>
              <w:left w:val="nil"/>
              <w:bottom w:val="single" w:sz="4" w:space="0" w:color="auto"/>
              <w:right w:val="single" w:sz="4" w:space="0" w:color="auto"/>
            </w:tcBorders>
            <w:shd w:val="clear" w:color="auto" w:fill="auto"/>
            <w:hideMark/>
          </w:tcPr>
          <w:p w14:paraId="7DB5FF5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1506812</w:t>
            </w:r>
          </w:p>
        </w:tc>
        <w:tc>
          <w:tcPr>
            <w:tcW w:w="995" w:type="dxa"/>
            <w:tcBorders>
              <w:top w:val="nil"/>
              <w:left w:val="nil"/>
              <w:bottom w:val="single" w:sz="4" w:space="0" w:color="auto"/>
              <w:right w:val="single" w:sz="4" w:space="0" w:color="auto"/>
            </w:tcBorders>
            <w:shd w:val="clear" w:color="auto" w:fill="auto"/>
            <w:hideMark/>
          </w:tcPr>
          <w:p w14:paraId="4A126F3F"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1591089</w:t>
            </w:r>
          </w:p>
        </w:tc>
        <w:tc>
          <w:tcPr>
            <w:tcW w:w="995" w:type="dxa"/>
            <w:tcBorders>
              <w:top w:val="nil"/>
              <w:left w:val="nil"/>
              <w:bottom w:val="single" w:sz="4" w:space="0" w:color="auto"/>
              <w:right w:val="single" w:sz="4" w:space="0" w:color="auto"/>
            </w:tcBorders>
            <w:shd w:val="clear" w:color="auto" w:fill="auto"/>
            <w:hideMark/>
          </w:tcPr>
          <w:p w14:paraId="4042A36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1661196</w:t>
            </w:r>
          </w:p>
        </w:tc>
        <w:tc>
          <w:tcPr>
            <w:tcW w:w="1294" w:type="dxa"/>
            <w:tcBorders>
              <w:top w:val="nil"/>
              <w:left w:val="nil"/>
              <w:bottom w:val="single" w:sz="4" w:space="0" w:color="auto"/>
              <w:right w:val="single" w:sz="4" w:space="0" w:color="auto"/>
            </w:tcBorders>
            <w:shd w:val="clear" w:color="auto" w:fill="auto"/>
            <w:hideMark/>
          </w:tcPr>
          <w:p w14:paraId="5784306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1.06</w:t>
            </w:r>
          </w:p>
        </w:tc>
      </w:tr>
      <w:tr w:rsidR="00BC7005" w:rsidRPr="00BC7005" w14:paraId="6FAE076C"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20CEB299" w14:textId="77777777" w:rsidR="00BC7005" w:rsidRPr="00BC7005" w:rsidRDefault="00BC7005" w:rsidP="00BC7005">
            <w:pPr>
              <w:spacing w:after="0" w:line="240" w:lineRule="auto"/>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9. Total Expenditure (10+13)</w:t>
            </w:r>
          </w:p>
        </w:tc>
        <w:tc>
          <w:tcPr>
            <w:tcW w:w="995" w:type="dxa"/>
            <w:tcBorders>
              <w:top w:val="nil"/>
              <w:left w:val="nil"/>
              <w:bottom w:val="single" w:sz="4" w:space="0" w:color="auto"/>
              <w:right w:val="single" w:sz="4" w:space="0" w:color="auto"/>
            </w:tcBorders>
            <w:shd w:val="clear" w:color="auto" w:fill="auto"/>
            <w:hideMark/>
          </w:tcPr>
          <w:p w14:paraId="34A669C8"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3509836</w:t>
            </w:r>
          </w:p>
        </w:tc>
        <w:tc>
          <w:tcPr>
            <w:tcW w:w="995" w:type="dxa"/>
            <w:tcBorders>
              <w:top w:val="nil"/>
              <w:left w:val="nil"/>
              <w:bottom w:val="single" w:sz="4" w:space="0" w:color="auto"/>
              <w:right w:val="single" w:sz="4" w:space="0" w:color="auto"/>
            </w:tcBorders>
            <w:shd w:val="clear" w:color="auto" w:fill="auto"/>
            <w:hideMark/>
          </w:tcPr>
          <w:p w14:paraId="6F34DB18"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3483236</w:t>
            </w:r>
          </w:p>
        </w:tc>
        <w:tc>
          <w:tcPr>
            <w:tcW w:w="995" w:type="dxa"/>
            <w:tcBorders>
              <w:top w:val="nil"/>
              <w:left w:val="nil"/>
              <w:bottom w:val="single" w:sz="4" w:space="0" w:color="auto"/>
              <w:right w:val="single" w:sz="4" w:space="0" w:color="auto"/>
            </w:tcBorders>
            <w:shd w:val="clear" w:color="auto" w:fill="auto"/>
            <w:hideMark/>
          </w:tcPr>
          <w:p w14:paraId="59C625D2"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3770000</w:t>
            </w:r>
          </w:p>
        </w:tc>
        <w:tc>
          <w:tcPr>
            <w:tcW w:w="995" w:type="dxa"/>
            <w:tcBorders>
              <w:top w:val="nil"/>
              <w:left w:val="nil"/>
              <w:bottom w:val="single" w:sz="4" w:space="0" w:color="auto"/>
              <w:right w:val="single" w:sz="4" w:space="0" w:color="auto"/>
            </w:tcBorders>
            <w:shd w:val="clear" w:color="auto" w:fill="auto"/>
            <w:hideMark/>
          </w:tcPr>
          <w:p w14:paraId="21A5DE1B"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3944909</w:t>
            </w:r>
          </w:p>
        </w:tc>
        <w:tc>
          <w:tcPr>
            <w:tcW w:w="1294" w:type="dxa"/>
            <w:tcBorders>
              <w:top w:val="nil"/>
              <w:left w:val="nil"/>
              <w:bottom w:val="single" w:sz="4" w:space="0" w:color="auto"/>
              <w:right w:val="single" w:sz="4" w:space="0" w:color="auto"/>
            </w:tcBorders>
            <w:shd w:val="clear" w:color="auto" w:fill="auto"/>
            <w:hideMark/>
          </w:tcPr>
          <w:p w14:paraId="73466C1A"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1.08</w:t>
            </w:r>
          </w:p>
        </w:tc>
      </w:tr>
      <w:tr w:rsidR="00BC7005" w:rsidRPr="00BC7005" w14:paraId="1DB8C408"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025F9C52" w14:textId="61FC645E"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10. On Revenue </w:t>
            </w:r>
            <w:r w:rsidRPr="004F43B7">
              <w:rPr>
                <w:rFonts w:ascii="Times New Roman" w:eastAsia="Times New Roman" w:hAnsi="Times New Roman" w:cs="Times New Roman"/>
                <w:color w:val="000000"/>
                <w:sz w:val="18"/>
                <w:szCs w:val="18"/>
                <w:lang w:val="en-US"/>
              </w:rPr>
              <w:t>Expenditure</w:t>
            </w:r>
            <w:r w:rsidR="0000366E">
              <w:rPr>
                <w:rFonts w:ascii="Times New Roman" w:eastAsia="Times New Roman" w:hAnsi="Times New Roman" w:cs="Times New Roman"/>
                <w:color w:val="000000"/>
                <w:sz w:val="18"/>
                <w:szCs w:val="18"/>
                <w:lang w:val="en-US"/>
              </w:rPr>
              <w:t>, of which</w:t>
            </w:r>
          </w:p>
        </w:tc>
        <w:tc>
          <w:tcPr>
            <w:tcW w:w="995" w:type="dxa"/>
            <w:tcBorders>
              <w:top w:val="nil"/>
              <w:left w:val="nil"/>
              <w:bottom w:val="single" w:sz="4" w:space="0" w:color="auto"/>
              <w:right w:val="single" w:sz="4" w:space="0" w:color="auto"/>
            </w:tcBorders>
            <w:shd w:val="clear" w:color="auto" w:fill="auto"/>
            <w:hideMark/>
          </w:tcPr>
          <w:p w14:paraId="28FCA06D"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3083519</w:t>
            </w:r>
          </w:p>
        </w:tc>
        <w:tc>
          <w:tcPr>
            <w:tcW w:w="995" w:type="dxa"/>
            <w:tcBorders>
              <w:top w:val="nil"/>
              <w:left w:val="nil"/>
              <w:bottom w:val="single" w:sz="4" w:space="0" w:color="auto"/>
              <w:right w:val="single" w:sz="4" w:space="0" w:color="auto"/>
            </w:tcBorders>
            <w:shd w:val="clear" w:color="auto" w:fill="auto"/>
            <w:hideMark/>
          </w:tcPr>
          <w:p w14:paraId="7EA336A2"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2929000</w:t>
            </w:r>
          </w:p>
        </w:tc>
        <w:tc>
          <w:tcPr>
            <w:tcW w:w="995" w:type="dxa"/>
            <w:tcBorders>
              <w:top w:val="nil"/>
              <w:left w:val="nil"/>
              <w:bottom w:val="single" w:sz="4" w:space="0" w:color="auto"/>
              <w:right w:val="single" w:sz="4" w:space="0" w:color="auto"/>
            </w:tcBorders>
            <w:shd w:val="clear" w:color="auto" w:fill="auto"/>
            <w:hideMark/>
          </w:tcPr>
          <w:p w14:paraId="5673EF2B"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3167289</w:t>
            </w:r>
          </w:p>
        </w:tc>
        <w:tc>
          <w:tcPr>
            <w:tcW w:w="995" w:type="dxa"/>
            <w:tcBorders>
              <w:top w:val="nil"/>
              <w:left w:val="nil"/>
              <w:bottom w:val="single" w:sz="4" w:space="0" w:color="auto"/>
              <w:right w:val="single" w:sz="4" w:space="0" w:color="auto"/>
            </w:tcBorders>
            <w:shd w:val="clear" w:color="auto" w:fill="auto"/>
            <w:hideMark/>
          </w:tcPr>
          <w:p w14:paraId="38AB2A73"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3194663</w:t>
            </w:r>
          </w:p>
        </w:tc>
        <w:tc>
          <w:tcPr>
            <w:tcW w:w="1294" w:type="dxa"/>
            <w:tcBorders>
              <w:top w:val="nil"/>
              <w:left w:val="nil"/>
              <w:bottom w:val="single" w:sz="4" w:space="0" w:color="auto"/>
              <w:right w:val="single" w:sz="4" w:space="0" w:color="auto"/>
            </w:tcBorders>
            <w:shd w:val="clear" w:color="auto" w:fill="auto"/>
            <w:hideMark/>
          </w:tcPr>
          <w:p w14:paraId="198851D9"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1.08</w:t>
            </w:r>
          </w:p>
        </w:tc>
      </w:tr>
      <w:tr w:rsidR="00BC7005" w:rsidRPr="00BC7005" w14:paraId="7DAC2D7B"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06261AF6"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11. Interest Payments</w:t>
            </w:r>
          </w:p>
        </w:tc>
        <w:tc>
          <w:tcPr>
            <w:tcW w:w="995" w:type="dxa"/>
            <w:tcBorders>
              <w:top w:val="nil"/>
              <w:left w:val="nil"/>
              <w:bottom w:val="single" w:sz="4" w:space="0" w:color="auto"/>
              <w:right w:val="single" w:sz="4" w:space="0" w:color="auto"/>
            </w:tcBorders>
            <w:shd w:val="clear" w:color="auto" w:fill="auto"/>
            <w:hideMark/>
          </w:tcPr>
          <w:p w14:paraId="7EE4F4F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679869</w:t>
            </w:r>
          </w:p>
        </w:tc>
        <w:tc>
          <w:tcPr>
            <w:tcW w:w="995" w:type="dxa"/>
            <w:tcBorders>
              <w:top w:val="nil"/>
              <w:left w:val="nil"/>
              <w:bottom w:val="single" w:sz="4" w:space="0" w:color="auto"/>
              <w:right w:val="single" w:sz="4" w:space="0" w:color="auto"/>
            </w:tcBorders>
            <w:shd w:val="clear" w:color="auto" w:fill="auto"/>
            <w:hideMark/>
          </w:tcPr>
          <w:p w14:paraId="30972211"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809701</w:t>
            </w:r>
          </w:p>
        </w:tc>
        <w:tc>
          <w:tcPr>
            <w:tcW w:w="995" w:type="dxa"/>
            <w:tcBorders>
              <w:top w:val="nil"/>
              <w:left w:val="nil"/>
              <w:bottom w:val="single" w:sz="4" w:space="0" w:color="auto"/>
              <w:right w:val="single" w:sz="4" w:space="0" w:color="auto"/>
            </w:tcBorders>
            <w:shd w:val="clear" w:color="auto" w:fill="auto"/>
            <w:hideMark/>
          </w:tcPr>
          <w:p w14:paraId="3102BAC5"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813791</w:t>
            </w:r>
          </w:p>
        </w:tc>
        <w:tc>
          <w:tcPr>
            <w:tcW w:w="995" w:type="dxa"/>
            <w:tcBorders>
              <w:top w:val="nil"/>
              <w:left w:val="nil"/>
              <w:bottom w:val="single" w:sz="4" w:space="0" w:color="auto"/>
              <w:right w:val="single" w:sz="4" w:space="0" w:color="auto"/>
            </w:tcBorders>
            <w:shd w:val="clear" w:color="auto" w:fill="auto"/>
            <w:hideMark/>
          </w:tcPr>
          <w:p w14:paraId="50C3F42D"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940651</w:t>
            </w:r>
          </w:p>
        </w:tc>
        <w:tc>
          <w:tcPr>
            <w:tcW w:w="1294" w:type="dxa"/>
            <w:tcBorders>
              <w:top w:val="nil"/>
              <w:left w:val="nil"/>
              <w:bottom w:val="single" w:sz="4" w:space="0" w:color="auto"/>
              <w:right w:val="single" w:sz="4" w:space="0" w:color="auto"/>
            </w:tcBorders>
            <w:shd w:val="clear" w:color="auto" w:fill="auto"/>
            <w:hideMark/>
          </w:tcPr>
          <w:p w14:paraId="087B4FAC"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1.01</w:t>
            </w:r>
          </w:p>
        </w:tc>
      </w:tr>
      <w:tr w:rsidR="00BC7005" w:rsidRPr="00BC7005" w14:paraId="700A2ED7" w14:textId="77777777" w:rsidTr="004F43B7">
        <w:trPr>
          <w:trHeight w:val="520"/>
        </w:trPr>
        <w:tc>
          <w:tcPr>
            <w:tcW w:w="2801" w:type="dxa"/>
            <w:tcBorders>
              <w:top w:val="nil"/>
              <w:left w:val="single" w:sz="4" w:space="0" w:color="auto"/>
              <w:bottom w:val="single" w:sz="4" w:space="0" w:color="auto"/>
              <w:right w:val="single" w:sz="4" w:space="0" w:color="auto"/>
            </w:tcBorders>
            <w:shd w:val="clear" w:color="auto" w:fill="auto"/>
            <w:hideMark/>
          </w:tcPr>
          <w:p w14:paraId="5159CA22" w14:textId="1832EFC5"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12. Grants in Aid for creation</w:t>
            </w:r>
            <w:r w:rsidRPr="004F43B7">
              <w:rPr>
                <w:rFonts w:ascii="Times New Roman" w:eastAsia="Times New Roman" w:hAnsi="Times New Roman" w:cs="Times New Roman"/>
                <w:color w:val="000000"/>
                <w:sz w:val="18"/>
                <w:szCs w:val="18"/>
                <w:lang w:val="en-US"/>
              </w:rPr>
              <w:t xml:space="preserve"> of capital asse</w:t>
            </w:r>
            <w:r w:rsidRPr="00BC7005">
              <w:rPr>
                <w:rFonts w:ascii="Times New Roman" w:eastAsia="Times New Roman" w:hAnsi="Times New Roman" w:cs="Times New Roman"/>
                <w:color w:val="000000"/>
                <w:sz w:val="18"/>
                <w:szCs w:val="18"/>
                <w:lang w:val="en-US"/>
              </w:rPr>
              <w:t>ts</w:t>
            </w:r>
          </w:p>
        </w:tc>
        <w:tc>
          <w:tcPr>
            <w:tcW w:w="995" w:type="dxa"/>
            <w:tcBorders>
              <w:top w:val="nil"/>
              <w:left w:val="nil"/>
              <w:bottom w:val="single" w:sz="4" w:space="0" w:color="auto"/>
              <w:right w:val="single" w:sz="4" w:space="0" w:color="auto"/>
            </w:tcBorders>
            <w:shd w:val="clear" w:color="auto" w:fill="auto"/>
            <w:hideMark/>
          </w:tcPr>
          <w:p w14:paraId="7CAC5D54"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230865</w:t>
            </w:r>
          </w:p>
        </w:tc>
        <w:tc>
          <w:tcPr>
            <w:tcW w:w="995" w:type="dxa"/>
            <w:tcBorders>
              <w:top w:val="nil"/>
              <w:left w:val="nil"/>
              <w:bottom w:val="single" w:sz="4" w:space="0" w:color="auto"/>
              <w:right w:val="single" w:sz="4" w:space="0" w:color="auto"/>
            </w:tcBorders>
            <w:shd w:val="clear" w:color="auto" w:fill="auto"/>
            <w:hideMark/>
          </w:tcPr>
          <w:p w14:paraId="7B855DB1"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219112</w:t>
            </w:r>
          </w:p>
        </w:tc>
        <w:tc>
          <w:tcPr>
            <w:tcW w:w="995" w:type="dxa"/>
            <w:tcBorders>
              <w:top w:val="nil"/>
              <w:left w:val="nil"/>
              <w:bottom w:val="single" w:sz="4" w:space="0" w:color="auto"/>
              <w:right w:val="single" w:sz="4" w:space="0" w:color="auto"/>
            </w:tcBorders>
            <w:shd w:val="clear" w:color="auto" w:fill="auto"/>
            <w:hideMark/>
          </w:tcPr>
          <w:p w14:paraId="46684B02"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237685</w:t>
            </w:r>
          </w:p>
        </w:tc>
        <w:tc>
          <w:tcPr>
            <w:tcW w:w="995" w:type="dxa"/>
            <w:tcBorders>
              <w:top w:val="nil"/>
              <w:left w:val="nil"/>
              <w:bottom w:val="single" w:sz="4" w:space="0" w:color="auto"/>
              <w:right w:val="single" w:sz="4" w:space="0" w:color="auto"/>
            </w:tcBorders>
            <w:shd w:val="clear" w:color="auto" w:fill="auto"/>
            <w:hideMark/>
          </w:tcPr>
          <w:p w14:paraId="2A12615F"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317643</w:t>
            </w:r>
          </w:p>
        </w:tc>
        <w:tc>
          <w:tcPr>
            <w:tcW w:w="1294" w:type="dxa"/>
            <w:tcBorders>
              <w:top w:val="nil"/>
              <w:left w:val="nil"/>
              <w:bottom w:val="single" w:sz="4" w:space="0" w:color="auto"/>
              <w:right w:val="single" w:sz="4" w:space="0" w:color="auto"/>
            </w:tcBorders>
            <w:shd w:val="clear" w:color="auto" w:fill="auto"/>
            <w:hideMark/>
          </w:tcPr>
          <w:p w14:paraId="1E2E4498"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1.08</w:t>
            </w:r>
          </w:p>
        </w:tc>
      </w:tr>
      <w:tr w:rsidR="00BC7005" w:rsidRPr="00BC7005" w14:paraId="1D3F156E" w14:textId="77777777" w:rsidTr="004F43B7">
        <w:trPr>
          <w:trHeight w:val="260"/>
        </w:trPr>
        <w:tc>
          <w:tcPr>
            <w:tcW w:w="2801" w:type="dxa"/>
            <w:tcBorders>
              <w:top w:val="nil"/>
              <w:left w:val="single" w:sz="4" w:space="0" w:color="auto"/>
              <w:bottom w:val="single" w:sz="4" w:space="0" w:color="auto"/>
              <w:right w:val="single" w:sz="4" w:space="0" w:color="auto"/>
            </w:tcBorders>
            <w:shd w:val="clear" w:color="auto" w:fill="auto"/>
            <w:hideMark/>
          </w:tcPr>
          <w:p w14:paraId="03B5CCB5" w14:textId="7A5BC6ED"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xml:space="preserve">    13. On Capital </w:t>
            </w:r>
            <w:r w:rsidRPr="004F43B7">
              <w:rPr>
                <w:rFonts w:ascii="Times New Roman" w:eastAsia="Times New Roman" w:hAnsi="Times New Roman" w:cs="Times New Roman"/>
                <w:color w:val="000000"/>
                <w:sz w:val="18"/>
                <w:szCs w:val="18"/>
                <w:lang w:val="en-US"/>
              </w:rPr>
              <w:t>Expenditure</w:t>
            </w:r>
          </w:p>
        </w:tc>
        <w:tc>
          <w:tcPr>
            <w:tcW w:w="995" w:type="dxa"/>
            <w:tcBorders>
              <w:top w:val="nil"/>
              <w:left w:val="nil"/>
              <w:bottom w:val="single" w:sz="4" w:space="0" w:color="auto"/>
              <w:right w:val="single" w:sz="4" w:space="0" w:color="auto"/>
            </w:tcBorders>
            <w:shd w:val="clear" w:color="auto" w:fill="auto"/>
            <w:hideMark/>
          </w:tcPr>
          <w:p w14:paraId="707AF05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426317</w:t>
            </w:r>
          </w:p>
        </w:tc>
        <w:tc>
          <w:tcPr>
            <w:tcW w:w="995" w:type="dxa"/>
            <w:tcBorders>
              <w:top w:val="nil"/>
              <w:left w:val="nil"/>
              <w:bottom w:val="single" w:sz="4" w:space="0" w:color="auto"/>
              <w:right w:val="single" w:sz="4" w:space="0" w:color="auto"/>
            </w:tcBorders>
            <w:shd w:val="clear" w:color="auto" w:fill="auto"/>
            <w:hideMark/>
          </w:tcPr>
          <w:p w14:paraId="37639A2B"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554236</w:t>
            </w:r>
          </w:p>
        </w:tc>
        <w:tc>
          <w:tcPr>
            <w:tcW w:w="995" w:type="dxa"/>
            <w:tcBorders>
              <w:top w:val="nil"/>
              <w:left w:val="nil"/>
              <w:bottom w:val="single" w:sz="4" w:space="0" w:color="auto"/>
              <w:right w:val="single" w:sz="4" w:space="0" w:color="auto"/>
            </w:tcBorders>
            <w:shd w:val="clear" w:color="auto" w:fill="auto"/>
            <w:hideMark/>
          </w:tcPr>
          <w:p w14:paraId="031E25A3"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602711</w:t>
            </w:r>
          </w:p>
        </w:tc>
        <w:tc>
          <w:tcPr>
            <w:tcW w:w="995" w:type="dxa"/>
            <w:tcBorders>
              <w:top w:val="nil"/>
              <w:left w:val="nil"/>
              <w:bottom w:val="single" w:sz="4" w:space="0" w:color="auto"/>
              <w:right w:val="single" w:sz="4" w:space="0" w:color="auto"/>
            </w:tcBorders>
            <w:shd w:val="clear" w:color="auto" w:fill="auto"/>
            <w:hideMark/>
          </w:tcPr>
          <w:p w14:paraId="369692AA"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750246</w:t>
            </w:r>
          </w:p>
        </w:tc>
        <w:tc>
          <w:tcPr>
            <w:tcW w:w="1294" w:type="dxa"/>
            <w:tcBorders>
              <w:top w:val="nil"/>
              <w:left w:val="nil"/>
              <w:bottom w:val="single" w:sz="4" w:space="0" w:color="auto"/>
              <w:right w:val="single" w:sz="4" w:space="0" w:color="auto"/>
            </w:tcBorders>
            <w:shd w:val="clear" w:color="auto" w:fill="auto"/>
            <w:hideMark/>
          </w:tcPr>
          <w:p w14:paraId="4985634B" w14:textId="77777777" w:rsidR="00BC7005" w:rsidRPr="00BC7005" w:rsidRDefault="00BC7005" w:rsidP="00BC7005">
            <w:pPr>
              <w:spacing w:after="0" w:line="240" w:lineRule="auto"/>
              <w:jc w:val="right"/>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1.09</w:t>
            </w:r>
          </w:p>
        </w:tc>
      </w:tr>
      <w:tr w:rsidR="00BC7005" w:rsidRPr="00BC7005" w14:paraId="21AC5FF5" w14:textId="77777777" w:rsidTr="004F43B7">
        <w:trPr>
          <w:trHeight w:val="520"/>
        </w:trPr>
        <w:tc>
          <w:tcPr>
            <w:tcW w:w="2801" w:type="dxa"/>
            <w:tcBorders>
              <w:top w:val="nil"/>
              <w:left w:val="single" w:sz="4" w:space="0" w:color="auto"/>
              <w:bottom w:val="single" w:sz="4" w:space="0" w:color="auto"/>
              <w:right w:val="single" w:sz="4" w:space="0" w:color="auto"/>
            </w:tcBorders>
            <w:shd w:val="clear" w:color="auto" w:fill="auto"/>
            <w:hideMark/>
          </w:tcPr>
          <w:p w14:paraId="1825E6FE" w14:textId="1DA34258" w:rsidR="00BC7005" w:rsidRPr="00BC7005" w:rsidRDefault="00BC7005" w:rsidP="00BC7005">
            <w:pPr>
              <w:spacing w:after="0" w:line="240" w:lineRule="auto"/>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14. Effect</w:t>
            </w:r>
            <w:r w:rsidR="0000366E">
              <w:rPr>
                <w:rFonts w:ascii="Times New Roman" w:eastAsia="Times New Roman" w:hAnsi="Times New Roman" w:cs="Times New Roman"/>
                <w:b/>
                <w:bCs/>
                <w:color w:val="000000"/>
                <w:sz w:val="18"/>
                <w:szCs w:val="18"/>
                <w:lang w:val="en-US"/>
              </w:rPr>
              <w:t>ive Capital Expenditure (12+13)</w:t>
            </w:r>
          </w:p>
        </w:tc>
        <w:tc>
          <w:tcPr>
            <w:tcW w:w="995" w:type="dxa"/>
            <w:tcBorders>
              <w:top w:val="nil"/>
              <w:left w:val="nil"/>
              <w:bottom w:val="single" w:sz="4" w:space="0" w:color="auto"/>
              <w:right w:val="single" w:sz="4" w:space="0" w:color="auto"/>
            </w:tcBorders>
            <w:shd w:val="clear" w:color="auto" w:fill="auto"/>
            <w:hideMark/>
          </w:tcPr>
          <w:p w14:paraId="011B6370"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657182</w:t>
            </w:r>
          </w:p>
        </w:tc>
        <w:tc>
          <w:tcPr>
            <w:tcW w:w="995" w:type="dxa"/>
            <w:tcBorders>
              <w:top w:val="nil"/>
              <w:left w:val="nil"/>
              <w:bottom w:val="single" w:sz="4" w:space="0" w:color="auto"/>
              <w:right w:val="single" w:sz="4" w:space="0" w:color="auto"/>
            </w:tcBorders>
            <w:shd w:val="clear" w:color="auto" w:fill="auto"/>
            <w:hideMark/>
          </w:tcPr>
          <w:p w14:paraId="12C265E7"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773348</w:t>
            </w:r>
          </w:p>
        </w:tc>
        <w:tc>
          <w:tcPr>
            <w:tcW w:w="995" w:type="dxa"/>
            <w:tcBorders>
              <w:top w:val="nil"/>
              <w:left w:val="nil"/>
              <w:bottom w:val="single" w:sz="4" w:space="0" w:color="auto"/>
              <w:right w:val="single" w:sz="4" w:space="0" w:color="auto"/>
            </w:tcBorders>
            <w:shd w:val="clear" w:color="auto" w:fill="auto"/>
            <w:hideMark/>
          </w:tcPr>
          <w:p w14:paraId="46CC1AD2"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840396</w:t>
            </w:r>
          </w:p>
        </w:tc>
        <w:tc>
          <w:tcPr>
            <w:tcW w:w="995" w:type="dxa"/>
            <w:tcBorders>
              <w:top w:val="nil"/>
              <w:left w:val="nil"/>
              <w:bottom w:val="single" w:sz="4" w:space="0" w:color="auto"/>
              <w:right w:val="single" w:sz="4" w:space="0" w:color="auto"/>
            </w:tcBorders>
            <w:shd w:val="clear" w:color="auto" w:fill="auto"/>
            <w:hideMark/>
          </w:tcPr>
          <w:p w14:paraId="1F2DCFB5"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1067889</w:t>
            </w:r>
          </w:p>
        </w:tc>
        <w:tc>
          <w:tcPr>
            <w:tcW w:w="1294" w:type="dxa"/>
            <w:tcBorders>
              <w:top w:val="nil"/>
              <w:left w:val="nil"/>
              <w:bottom w:val="single" w:sz="4" w:space="0" w:color="auto"/>
              <w:right w:val="single" w:sz="4" w:space="0" w:color="auto"/>
            </w:tcBorders>
            <w:shd w:val="clear" w:color="auto" w:fill="auto"/>
            <w:hideMark/>
          </w:tcPr>
          <w:p w14:paraId="3B8613A4"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1.09</w:t>
            </w:r>
          </w:p>
        </w:tc>
      </w:tr>
      <w:tr w:rsidR="00BC7005" w:rsidRPr="00BC7005" w14:paraId="21F411B8" w14:textId="77777777" w:rsidTr="004F43B7">
        <w:trPr>
          <w:trHeight w:val="280"/>
        </w:trPr>
        <w:tc>
          <w:tcPr>
            <w:tcW w:w="2801" w:type="dxa"/>
            <w:tcBorders>
              <w:top w:val="nil"/>
              <w:left w:val="single" w:sz="4" w:space="0" w:color="auto"/>
              <w:bottom w:val="single" w:sz="4" w:space="0" w:color="auto"/>
              <w:right w:val="single" w:sz="4" w:space="0" w:color="auto"/>
            </w:tcBorders>
            <w:shd w:val="clear" w:color="auto" w:fill="auto"/>
            <w:hideMark/>
          </w:tcPr>
          <w:p w14:paraId="4121A37D" w14:textId="77777777" w:rsidR="00BC7005" w:rsidRPr="00BC7005" w:rsidRDefault="00BC7005" w:rsidP="00BC7005">
            <w:pPr>
              <w:spacing w:after="0" w:line="240" w:lineRule="auto"/>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 xml:space="preserve">Interest Payments/Revenue Receipts </w:t>
            </w:r>
          </w:p>
        </w:tc>
        <w:tc>
          <w:tcPr>
            <w:tcW w:w="995" w:type="dxa"/>
            <w:tcBorders>
              <w:top w:val="nil"/>
              <w:left w:val="nil"/>
              <w:bottom w:val="single" w:sz="4" w:space="0" w:color="auto"/>
              <w:right w:val="single" w:sz="4" w:space="0" w:color="auto"/>
            </w:tcBorders>
            <w:shd w:val="clear" w:color="auto" w:fill="auto"/>
            <w:hideMark/>
          </w:tcPr>
          <w:p w14:paraId="4289D64A"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41.61</w:t>
            </w:r>
          </w:p>
        </w:tc>
        <w:tc>
          <w:tcPr>
            <w:tcW w:w="995" w:type="dxa"/>
            <w:tcBorders>
              <w:top w:val="nil"/>
              <w:left w:val="nil"/>
              <w:bottom w:val="single" w:sz="4" w:space="0" w:color="auto"/>
              <w:right w:val="single" w:sz="4" w:space="0" w:color="auto"/>
            </w:tcBorders>
            <w:shd w:val="clear" w:color="auto" w:fill="auto"/>
            <w:hideMark/>
          </w:tcPr>
          <w:p w14:paraId="3CEEB398"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45.27</w:t>
            </w:r>
          </w:p>
        </w:tc>
        <w:tc>
          <w:tcPr>
            <w:tcW w:w="995" w:type="dxa"/>
            <w:tcBorders>
              <w:top w:val="nil"/>
              <w:left w:val="nil"/>
              <w:bottom w:val="single" w:sz="4" w:space="0" w:color="auto"/>
              <w:right w:val="single" w:sz="4" w:space="0" w:color="auto"/>
            </w:tcBorders>
            <w:shd w:val="clear" w:color="auto" w:fill="auto"/>
            <w:hideMark/>
          </w:tcPr>
          <w:p w14:paraId="2C6C9879"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39.14</w:t>
            </w:r>
          </w:p>
        </w:tc>
        <w:tc>
          <w:tcPr>
            <w:tcW w:w="995" w:type="dxa"/>
            <w:tcBorders>
              <w:top w:val="nil"/>
              <w:left w:val="nil"/>
              <w:bottom w:val="single" w:sz="4" w:space="0" w:color="auto"/>
              <w:right w:val="single" w:sz="4" w:space="0" w:color="auto"/>
            </w:tcBorders>
            <w:shd w:val="clear" w:color="auto" w:fill="auto"/>
            <w:hideMark/>
          </w:tcPr>
          <w:p w14:paraId="5D223405" w14:textId="77777777" w:rsidR="00BC7005" w:rsidRPr="00BC7005" w:rsidRDefault="00BC7005" w:rsidP="00BC7005">
            <w:pPr>
              <w:spacing w:after="0" w:line="240" w:lineRule="auto"/>
              <w:jc w:val="right"/>
              <w:rPr>
                <w:rFonts w:ascii="Times New Roman" w:eastAsia="Times New Roman" w:hAnsi="Times New Roman" w:cs="Times New Roman"/>
                <w:b/>
                <w:bCs/>
                <w:color w:val="000000"/>
                <w:sz w:val="18"/>
                <w:szCs w:val="18"/>
                <w:lang w:val="en-US"/>
              </w:rPr>
            </w:pPr>
            <w:r w:rsidRPr="00BC7005">
              <w:rPr>
                <w:rFonts w:ascii="Times New Roman" w:eastAsia="Times New Roman" w:hAnsi="Times New Roman" w:cs="Times New Roman"/>
                <w:b/>
                <w:bCs/>
                <w:color w:val="000000"/>
                <w:sz w:val="18"/>
                <w:szCs w:val="18"/>
                <w:lang w:val="en-US"/>
              </w:rPr>
              <w:t>42.67</w:t>
            </w:r>
          </w:p>
        </w:tc>
        <w:tc>
          <w:tcPr>
            <w:tcW w:w="1294" w:type="dxa"/>
            <w:tcBorders>
              <w:top w:val="nil"/>
              <w:left w:val="nil"/>
              <w:bottom w:val="single" w:sz="4" w:space="0" w:color="auto"/>
              <w:right w:val="single" w:sz="4" w:space="0" w:color="auto"/>
            </w:tcBorders>
            <w:shd w:val="clear" w:color="auto" w:fill="auto"/>
            <w:noWrap/>
            <w:vAlign w:val="bottom"/>
            <w:hideMark/>
          </w:tcPr>
          <w:p w14:paraId="04328A66" w14:textId="77777777" w:rsidR="00BC7005" w:rsidRPr="00BC7005" w:rsidRDefault="00BC7005" w:rsidP="00BC7005">
            <w:pPr>
              <w:spacing w:after="0" w:line="240" w:lineRule="auto"/>
              <w:rPr>
                <w:rFonts w:ascii="Times New Roman" w:eastAsia="Times New Roman" w:hAnsi="Times New Roman" w:cs="Times New Roman"/>
                <w:color w:val="000000"/>
                <w:sz w:val="18"/>
                <w:szCs w:val="18"/>
                <w:lang w:val="en-US"/>
              </w:rPr>
            </w:pPr>
            <w:r w:rsidRPr="00BC7005">
              <w:rPr>
                <w:rFonts w:ascii="Times New Roman" w:eastAsia="Times New Roman" w:hAnsi="Times New Roman" w:cs="Times New Roman"/>
                <w:color w:val="000000"/>
                <w:sz w:val="18"/>
                <w:szCs w:val="18"/>
                <w:lang w:val="en-US"/>
              </w:rPr>
              <w:t> </w:t>
            </w:r>
          </w:p>
        </w:tc>
      </w:tr>
    </w:tbl>
    <w:p w14:paraId="38101009" w14:textId="61A06D5F" w:rsidR="00601C2E" w:rsidRPr="00601C2E" w:rsidRDefault="00601C2E" w:rsidP="00601C2E">
      <w:pPr>
        <w:spacing w:after="0" w:line="240" w:lineRule="auto"/>
        <w:jc w:val="both"/>
        <w:rPr>
          <w:rFonts w:ascii="Times New Roman" w:hAnsi="Times New Roman" w:cs="Times New Roman"/>
        </w:rPr>
      </w:pPr>
      <w:r w:rsidRPr="00601C2E">
        <w:rPr>
          <w:rFonts w:ascii="Times New Roman" w:hAnsi="Times New Roman" w:cs="Times New Roman"/>
          <w:b/>
          <w:i/>
        </w:rPr>
        <w:t>Source</w:t>
      </w:r>
      <w:r w:rsidR="00BF068E">
        <w:rPr>
          <w:rFonts w:ascii="Times New Roman" w:hAnsi="Times New Roman" w:cs="Times New Roman"/>
        </w:rPr>
        <w:t>: Government of India (2022</w:t>
      </w:r>
      <w:r w:rsidRPr="00601C2E">
        <w:rPr>
          <w:rFonts w:ascii="Times New Roman" w:hAnsi="Times New Roman" w:cs="Times New Roman"/>
        </w:rPr>
        <w:t xml:space="preserve">), (Basic Data), Union Budget documents </w:t>
      </w:r>
    </w:p>
    <w:p w14:paraId="4097EF6B" w14:textId="77777777" w:rsidR="00C97594" w:rsidRPr="00601C2E" w:rsidRDefault="00C97594" w:rsidP="00601C2E">
      <w:pPr>
        <w:shd w:val="clear" w:color="auto" w:fill="FFFFFF"/>
        <w:spacing w:after="0" w:line="240" w:lineRule="auto"/>
        <w:jc w:val="both"/>
        <w:rPr>
          <w:rFonts w:ascii="Arial" w:eastAsia="Times New Roman" w:hAnsi="Arial" w:cs="Arial"/>
          <w:color w:val="222222"/>
          <w:lang w:eastAsia="en-IN"/>
        </w:rPr>
      </w:pPr>
    </w:p>
    <w:p w14:paraId="1B34F3ED" w14:textId="592E5840" w:rsidR="0000366E" w:rsidRPr="0000366E" w:rsidRDefault="00601C2E" w:rsidP="0008768D">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sidRPr="0000366E">
        <w:rPr>
          <w:rFonts w:ascii="Times New Roman" w:eastAsia="Times New Roman" w:hAnsi="Times New Roman" w:cs="Times New Roman"/>
          <w:color w:val="222222"/>
          <w:sz w:val="24"/>
          <w:szCs w:val="24"/>
          <w:lang w:eastAsia="en-IN"/>
        </w:rPr>
        <w:t xml:space="preserve">The </w:t>
      </w:r>
      <w:r w:rsidR="00265694" w:rsidRPr="0000366E">
        <w:rPr>
          <w:rFonts w:ascii="Times New Roman" w:eastAsia="Times New Roman" w:hAnsi="Times New Roman" w:cs="Times New Roman"/>
          <w:color w:val="222222"/>
          <w:sz w:val="24"/>
          <w:szCs w:val="24"/>
          <w:lang w:eastAsia="en-IN"/>
        </w:rPr>
        <w:t xml:space="preserve">public expenditure is pegged at Rs 39 lakh crore in 2022-23 (BE) , which is higher than the 2021-22 (RE) at Rs 37 lakh crore. </w:t>
      </w:r>
      <w:r w:rsidR="007C0850" w:rsidRPr="0000366E">
        <w:rPr>
          <w:rFonts w:ascii="Times New Roman" w:eastAsia="Times New Roman" w:hAnsi="Times New Roman" w:cs="Times New Roman"/>
          <w:color w:val="222222"/>
          <w:sz w:val="24"/>
          <w:szCs w:val="24"/>
          <w:lang w:eastAsia="en-IN"/>
        </w:rPr>
        <w:t xml:space="preserve">The revenue </w:t>
      </w:r>
      <w:r w:rsidR="005E414C" w:rsidRPr="0000366E">
        <w:rPr>
          <w:rFonts w:ascii="Times New Roman" w:eastAsia="Times New Roman" w:hAnsi="Times New Roman" w:cs="Times New Roman"/>
          <w:color w:val="222222"/>
          <w:sz w:val="24"/>
          <w:szCs w:val="24"/>
          <w:lang w:eastAsia="en-IN"/>
        </w:rPr>
        <w:t xml:space="preserve">and capital </w:t>
      </w:r>
      <w:r w:rsidR="007C0850" w:rsidRPr="0000366E">
        <w:rPr>
          <w:rFonts w:ascii="Times New Roman" w:eastAsia="Times New Roman" w:hAnsi="Times New Roman" w:cs="Times New Roman"/>
          <w:color w:val="222222"/>
          <w:sz w:val="24"/>
          <w:szCs w:val="24"/>
          <w:lang w:eastAsia="en-IN"/>
        </w:rPr>
        <w:t xml:space="preserve">expenditure </w:t>
      </w:r>
      <w:r w:rsidR="00C81E20" w:rsidRPr="0000366E">
        <w:rPr>
          <w:rFonts w:ascii="Times New Roman" w:eastAsia="Times New Roman" w:hAnsi="Times New Roman" w:cs="Times New Roman"/>
          <w:color w:val="222222"/>
          <w:sz w:val="24"/>
          <w:szCs w:val="24"/>
          <w:lang w:eastAsia="en-IN"/>
        </w:rPr>
        <w:t>constitute</w:t>
      </w:r>
      <w:r w:rsidR="005E414C" w:rsidRPr="0000366E">
        <w:rPr>
          <w:rFonts w:ascii="Times New Roman" w:eastAsia="Times New Roman" w:hAnsi="Times New Roman" w:cs="Times New Roman"/>
          <w:color w:val="222222"/>
          <w:sz w:val="24"/>
          <w:szCs w:val="24"/>
          <w:lang w:eastAsia="en-IN"/>
        </w:rPr>
        <w:t xml:space="preserve"> respectively  81 and 19 per cent of the total expenditure. </w:t>
      </w:r>
      <w:r w:rsidR="00C81E20" w:rsidRPr="0000366E">
        <w:rPr>
          <w:rFonts w:ascii="Times New Roman" w:eastAsia="Times New Roman" w:hAnsi="Times New Roman" w:cs="Times New Roman"/>
          <w:color w:val="222222"/>
          <w:sz w:val="24"/>
          <w:szCs w:val="24"/>
          <w:lang w:eastAsia="en-IN"/>
        </w:rPr>
        <w:t xml:space="preserve">The effective capital expenditure is inclusive of grants-in-aid for creation of capital assets within the revenue expenditure. Over the years, the effective capital expenditure has increased from around Rs 6 lakh crore in 2020-21 (actuals) to around Rs 8 lakh crore in 2021-22 (RE), and it is pegged at around Rs 10 lakh crore in 2022-23 (BE). There is a huge deviation between BE and RE in both revenue and capital expenditure in India for the year 2021-22. The </w:t>
      </w:r>
      <w:r w:rsidR="000D2EDC" w:rsidRPr="0000366E">
        <w:rPr>
          <w:rFonts w:ascii="Times New Roman" w:eastAsia="Times New Roman" w:hAnsi="Times New Roman" w:cs="Times New Roman"/>
          <w:color w:val="222222"/>
          <w:sz w:val="24"/>
          <w:szCs w:val="24"/>
          <w:lang w:eastAsia="en-IN"/>
        </w:rPr>
        <w:t xml:space="preserve">fiscal slippage in </w:t>
      </w:r>
      <w:r w:rsidR="00C81E20" w:rsidRPr="0000366E">
        <w:rPr>
          <w:rFonts w:ascii="Times New Roman" w:eastAsia="Times New Roman" w:hAnsi="Times New Roman" w:cs="Times New Roman"/>
          <w:color w:val="222222"/>
          <w:sz w:val="24"/>
          <w:szCs w:val="24"/>
          <w:lang w:eastAsia="en-IN"/>
        </w:rPr>
        <w:t xml:space="preserve">revenue expenditure </w:t>
      </w:r>
      <w:r w:rsidR="000D2EDC" w:rsidRPr="0000366E">
        <w:rPr>
          <w:rFonts w:ascii="Times New Roman" w:eastAsia="Times New Roman" w:hAnsi="Times New Roman" w:cs="Times New Roman"/>
          <w:color w:val="222222"/>
          <w:sz w:val="24"/>
          <w:szCs w:val="24"/>
          <w:lang w:eastAsia="en-IN"/>
        </w:rPr>
        <w:t xml:space="preserve">in 2021-22 was from around Rs 29 lakh crore in BE to Rs 31 lakh crore in RE. The revenue and </w:t>
      </w:r>
      <w:r w:rsidR="000D2EDC" w:rsidRPr="0000366E">
        <w:rPr>
          <w:rFonts w:ascii="Times New Roman" w:eastAsia="Times New Roman" w:hAnsi="Times New Roman" w:cs="Times New Roman"/>
          <w:color w:val="222222"/>
          <w:sz w:val="24"/>
          <w:szCs w:val="24"/>
          <w:lang w:eastAsia="en-IN"/>
        </w:rPr>
        <w:lastRenderedPageBreak/>
        <w:t>capital expenditure are pegged at a higher amount in 2022-23 (BE) than 2021-22 (RE).</w:t>
      </w:r>
      <w:r w:rsidR="0008768D" w:rsidRPr="0000366E">
        <w:rPr>
          <w:rFonts w:ascii="Times New Roman" w:eastAsia="Times New Roman" w:hAnsi="Times New Roman" w:cs="Times New Roman"/>
          <w:color w:val="222222"/>
          <w:sz w:val="24"/>
          <w:szCs w:val="24"/>
          <w:lang w:eastAsia="en-IN"/>
        </w:rPr>
        <w:t xml:space="preserve"> </w:t>
      </w:r>
      <w:r w:rsidR="0000366E" w:rsidRPr="0000366E">
        <w:rPr>
          <w:rFonts w:ascii="Times New Roman" w:eastAsia="Times New Roman" w:hAnsi="Times New Roman" w:cs="Times New Roman"/>
          <w:color w:val="222222"/>
          <w:sz w:val="24"/>
          <w:szCs w:val="24"/>
          <w:lang w:eastAsia="en-IN"/>
        </w:rPr>
        <w:t xml:space="preserve">The interest payments as per cent of revenue receipts is as high as 42.67 per cent in 2022-23 (BE) is a matter of concern. </w:t>
      </w:r>
    </w:p>
    <w:p w14:paraId="6665AC94" w14:textId="77777777" w:rsidR="0000366E" w:rsidRPr="0000366E" w:rsidRDefault="0000366E" w:rsidP="0008768D">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6292BF83" w14:textId="597E8949" w:rsidR="00E53965" w:rsidRPr="0000366E" w:rsidRDefault="00E53965" w:rsidP="0008768D">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sidRPr="0000366E">
        <w:rPr>
          <w:rFonts w:ascii="Times New Roman" w:eastAsia="Times New Roman" w:hAnsi="Times New Roman" w:cs="Times New Roman"/>
          <w:color w:val="222222"/>
          <w:sz w:val="24"/>
          <w:szCs w:val="24"/>
          <w:lang w:eastAsia="en-IN"/>
        </w:rPr>
        <w:t>There is an increasing recognition of the fact that public investment has suffered from fiscal consolidation when the national and subnational governments have over-adjusted to the fiscal rules by capital exp</w:t>
      </w:r>
      <w:r w:rsidRPr="0000366E">
        <w:rPr>
          <w:rFonts w:ascii="Times New Roman" w:eastAsia="Times New Roman" w:hAnsi="Times New Roman" w:cs="Times New Roman"/>
          <w:color w:val="222222"/>
          <w:sz w:val="24"/>
          <w:szCs w:val="24"/>
          <w:lang w:eastAsia="en-IN"/>
        </w:rPr>
        <w:softHyphen/>
        <w:t>enditure compression</w:t>
      </w:r>
      <w:r w:rsidR="0008768D" w:rsidRPr="0000366E">
        <w:rPr>
          <w:rFonts w:ascii="Times New Roman" w:eastAsia="Times New Roman" w:hAnsi="Times New Roman" w:cs="Times New Roman"/>
          <w:color w:val="222222"/>
          <w:sz w:val="24"/>
          <w:szCs w:val="24"/>
          <w:lang w:eastAsia="en-IN"/>
        </w:rPr>
        <w:t xml:space="preserve"> (Chakraborty, 2021)</w:t>
      </w:r>
      <w:r w:rsidRPr="0000366E">
        <w:rPr>
          <w:rFonts w:ascii="Times New Roman" w:eastAsia="Times New Roman" w:hAnsi="Times New Roman" w:cs="Times New Roman"/>
          <w:color w:val="222222"/>
          <w:sz w:val="24"/>
          <w:szCs w:val="24"/>
          <w:lang w:eastAsia="en-IN"/>
        </w:rPr>
        <w:t xml:space="preserve">. </w:t>
      </w:r>
      <w:r w:rsidR="0008768D" w:rsidRPr="0000366E">
        <w:rPr>
          <w:rFonts w:ascii="Times New Roman" w:eastAsia="Times New Roman" w:hAnsi="Times New Roman" w:cs="Times New Roman"/>
          <w:color w:val="222222"/>
          <w:sz w:val="24"/>
          <w:szCs w:val="24"/>
          <w:lang w:eastAsia="en-IN"/>
        </w:rPr>
        <w:t xml:space="preserve">Therefore, the emphasis on the public infrastructure investment in the Union Budget 2022-23 is crucial for strengthening the gross capital formation. This is especially when the credit infusion, the predominant component of economic stimulus package has limited impact. The next section deals with the analysis of credit </w:t>
      </w:r>
      <w:r w:rsidR="00C455F5" w:rsidRPr="0000366E">
        <w:rPr>
          <w:rFonts w:ascii="Times New Roman" w:eastAsia="Times New Roman" w:hAnsi="Times New Roman" w:cs="Times New Roman"/>
          <w:color w:val="222222"/>
          <w:sz w:val="24"/>
          <w:szCs w:val="24"/>
          <w:lang w:eastAsia="en-IN"/>
        </w:rPr>
        <w:t>stimulus</w:t>
      </w:r>
      <w:r w:rsidR="0008768D" w:rsidRPr="0000366E">
        <w:rPr>
          <w:rFonts w:ascii="Times New Roman" w:eastAsia="Times New Roman" w:hAnsi="Times New Roman" w:cs="Times New Roman"/>
          <w:color w:val="222222"/>
          <w:sz w:val="24"/>
          <w:szCs w:val="24"/>
          <w:lang w:eastAsia="en-IN"/>
        </w:rPr>
        <w:t xml:space="preserve"> and the financial stability. </w:t>
      </w:r>
    </w:p>
    <w:p w14:paraId="32CA005F" w14:textId="77777777" w:rsidR="00E53965" w:rsidRPr="0000366E" w:rsidRDefault="00E53965" w:rsidP="00E53965">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40C1023" w14:textId="53BFFEC9" w:rsidR="00F819E1" w:rsidRPr="004D02AB" w:rsidRDefault="008B0B9F" w:rsidP="004D02AB">
      <w:pPr>
        <w:spacing w:after="0" w:line="240" w:lineRule="auto"/>
        <w:jc w:val="both"/>
        <w:rPr>
          <w:rFonts w:ascii="Times New Roman" w:eastAsia="Times New Roman" w:hAnsi="Times New Roman" w:cs="Times New Roman"/>
          <w:b/>
          <w:lang w:eastAsia="en-IN"/>
        </w:rPr>
      </w:pPr>
      <w:r>
        <w:rPr>
          <w:rFonts w:ascii="Times New Roman" w:eastAsia="Times New Roman" w:hAnsi="Times New Roman" w:cs="Times New Roman"/>
          <w:b/>
          <w:lang w:eastAsia="en-IN"/>
        </w:rPr>
        <w:t>3.</w:t>
      </w:r>
      <w:r w:rsidR="004D02AB">
        <w:rPr>
          <w:rFonts w:ascii="Times New Roman" w:eastAsia="Times New Roman" w:hAnsi="Times New Roman" w:cs="Times New Roman"/>
          <w:b/>
          <w:lang w:eastAsia="en-IN"/>
        </w:rPr>
        <w:tab/>
        <w:t xml:space="preserve">Analysing the Credit Stimulus and Financial Stability </w:t>
      </w:r>
    </w:p>
    <w:p w14:paraId="4DD3D047" w14:textId="77777777" w:rsidR="00F819E1" w:rsidRPr="00C42353" w:rsidRDefault="00F819E1" w:rsidP="00F819E1">
      <w:pPr>
        <w:spacing w:after="0" w:line="240" w:lineRule="auto"/>
        <w:jc w:val="both"/>
        <w:rPr>
          <w:rFonts w:ascii="Times New Roman" w:eastAsia="Times New Roman" w:hAnsi="Times New Roman" w:cs="Times New Roman"/>
          <w:lang w:eastAsia="en-IN"/>
        </w:rPr>
      </w:pPr>
    </w:p>
    <w:p w14:paraId="17DC6DEF" w14:textId="2CB6CE7F" w:rsidR="007A4965" w:rsidRDefault="00F819E1" w:rsidP="00C455F5">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 xml:space="preserve">Credit infusion into the economy has been the predominant narrative of </w:t>
      </w:r>
      <w:r w:rsidR="00C455F5">
        <w:rPr>
          <w:rFonts w:ascii="Times New Roman" w:eastAsia="Times New Roman" w:hAnsi="Times New Roman" w:cs="Times New Roman"/>
          <w:sz w:val="24"/>
          <w:szCs w:val="24"/>
          <w:lang w:eastAsia="en-IN"/>
        </w:rPr>
        <w:t xml:space="preserve">pandemic </w:t>
      </w:r>
      <w:r w:rsidRPr="00C455F5">
        <w:rPr>
          <w:rFonts w:ascii="Times New Roman" w:eastAsia="Times New Roman" w:hAnsi="Times New Roman" w:cs="Times New Roman"/>
          <w:sz w:val="24"/>
          <w:szCs w:val="24"/>
          <w:lang w:eastAsia="en-IN"/>
        </w:rPr>
        <w:t xml:space="preserve">economic stimulus programmes in India. The RBI has done a heavy-lifting to support the economic growth recovery through liquidity infusion strategies. The Operation Twist – simultaneous buying (long term) and selling (short term) of bonds has led to elongation of maturity structure of bond markets, by postponing the refinancing risks to engage in economic growth revival process. The RBI has also engaged in targeted repo operations to provide liquidity to the stressed sectors of the economy. Has the credit infusion into the economy been an effective strategy for economic recovery? </w:t>
      </w:r>
      <w:r w:rsidR="00894D8E" w:rsidRPr="00C455F5">
        <w:rPr>
          <w:rFonts w:ascii="Times New Roman" w:eastAsia="Times New Roman" w:hAnsi="Times New Roman" w:cs="Times New Roman"/>
          <w:sz w:val="24"/>
          <w:szCs w:val="24"/>
          <w:lang w:eastAsia="en-IN"/>
        </w:rPr>
        <w:t>Stiglitz</w:t>
      </w:r>
      <w:r w:rsidRPr="00C455F5">
        <w:rPr>
          <w:rFonts w:ascii="Times New Roman" w:eastAsia="Times New Roman" w:hAnsi="Times New Roman" w:cs="Times New Roman"/>
          <w:sz w:val="24"/>
          <w:szCs w:val="24"/>
          <w:lang w:eastAsia="en-IN"/>
        </w:rPr>
        <w:t xml:space="preserve"> and Rasheed (2020) </w:t>
      </w:r>
      <w:r w:rsidR="00C455F5">
        <w:rPr>
          <w:rFonts w:ascii="Times New Roman" w:eastAsia="Times New Roman" w:hAnsi="Times New Roman" w:cs="Times New Roman"/>
          <w:sz w:val="24"/>
          <w:szCs w:val="24"/>
          <w:lang w:eastAsia="en-IN"/>
        </w:rPr>
        <w:t>highlighted</w:t>
      </w:r>
      <w:r w:rsidRPr="00C455F5">
        <w:rPr>
          <w:rFonts w:ascii="Times New Roman" w:eastAsia="Times New Roman" w:hAnsi="Times New Roman" w:cs="Times New Roman"/>
          <w:sz w:val="24"/>
          <w:szCs w:val="24"/>
          <w:lang w:eastAsia="en-IN"/>
        </w:rPr>
        <w:t xml:space="preserve"> in their paper titled “Which Economic Stimulus Works?” </w:t>
      </w:r>
      <w:r w:rsidR="00C455F5">
        <w:rPr>
          <w:rFonts w:ascii="Times New Roman" w:eastAsia="Times New Roman" w:hAnsi="Times New Roman" w:cs="Times New Roman"/>
          <w:sz w:val="24"/>
          <w:szCs w:val="24"/>
          <w:lang w:eastAsia="en-IN"/>
        </w:rPr>
        <w:t>that</w:t>
      </w:r>
      <w:r w:rsidRPr="00C455F5">
        <w:rPr>
          <w:rFonts w:ascii="Times New Roman" w:eastAsia="Times New Roman" w:hAnsi="Times New Roman" w:cs="Times New Roman"/>
          <w:sz w:val="24"/>
          <w:szCs w:val="24"/>
          <w:lang w:eastAsia="en-IN"/>
        </w:rPr>
        <w:t xml:space="preserve"> the credit-related economic stimulus has limited multiplier effects.  It is also cautioned that the credit infusion might also lead to mounting non-performing assets if there is no corresponding growth of credit growth in the economy. </w:t>
      </w:r>
    </w:p>
    <w:p w14:paraId="51EEDC26" w14:textId="77777777" w:rsidR="00335BCF" w:rsidRDefault="00335BCF" w:rsidP="00C455F5">
      <w:pPr>
        <w:spacing w:after="0" w:line="360" w:lineRule="auto"/>
        <w:jc w:val="both"/>
        <w:rPr>
          <w:rFonts w:ascii="Times New Roman" w:eastAsia="Times New Roman" w:hAnsi="Times New Roman" w:cs="Times New Roman"/>
          <w:sz w:val="24"/>
          <w:szCs w:val="24"/>
          <w:lang w:eastAsia="en-IN"/>
        </w:rPr>
      </w:pPr>
    </w:p>
    <w:p w14:paraId="61353994" w14:textId="7E98EF1E" w:rsidR="00335BCF" w:rsidRDefault="00335BCF" w:rsidP="00335BCF">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 xml:space="preserve">The data on credit deployment for the month of January 2022 was published by RBI (collected from select 39 scheduled commercial banks, accounting for about 92 per cent of the total non-food credit deployed by all scheduled commercial banks) on February 28th 2022 </w:t>
      </w:r>
      <w:r>
        <w:rPr>
          <w:rFonts w:ascii="Times New Roman" w:eastAsia="Times New Roman" w:hAnsi="Times New Roman" w:cs="Times New Roman"/>
          <w:sz w:val="24"/>
          <w:szCs w:val="24"/>
          <w:lang w:eastAsia="en-IN"/>
        </w:rPr>
        <w:t xml:space="preserve">showed that </w:t>
      </w:r>
      <w:r w:rsidRPr="00C455F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t</w:t>
      </w:r>
      <w:r w:rsidRPr="00C455F5">
        <w:rPr>
          <w:rFonts w:ascii="Times New Roman" w:eastAsia="Times New Roman" w:hAnsi="Times New Roman" w:cs="Times New Roman"/>
          <w:sz w:val="24"/>
          <w:szCs w:val="24"/>
          <w:lang w:eastAsia="en-IN"/>
        </w:rPr>
        <w:t>he non-food bank credit growth stood at 8.3 percent in January 2022 as compared to 5.9 percent in January 2021, on a year-on-year (YoY) basis</w:t>
      </w:r>
      <w:r w:rsidR="008B0B9F">
        <w:rPr>
          <w:rFonts w:ascii="Times New Roman" w:eastAsia="Times New Roman" w:hAnsi="Times New Roman" w:cs="Times New Roman"/>
          <w:sz w:val="24"/>
          <w:szCs w:val="24"/>
          <w:lang w:eastAsia="en-IN"/>
        </w:rPr>
        <w:t xml:space="preserve"> (Table 4</w:t>
      </w:r>
      <w:r>
        <w:rPr>
          <w:rFonts w:ascii="Times New Roman" w:eastAsia="Times New Roman" w:hAnsi="Times New Roman" w:cs="Times New Roman"/>
          <w:sz w:val="24"/>
          <w:szCs w:val="24"/>
          <w:lang w:eastAsia="en-IN"/>
        </w:rPr>
        <w:t>)</w:t>
      </w:r>
      <w:r w:rsidRPr="00C455F5">
        <w:rPr>
          <w:rFonts w:ascii="Times New Roman" w:eastAsia="Times New Roman" w:hAnsi="Times New Roman" w:cs="Times New Roman"/>
          <w:sz w:val="24"/>
          <w:szCs w:val="24"/>
          <w:lang w:eastAsia="en-IN"/>
        </w:rPr>
        <w:t xml:space="preserve">. </w:t>
      </w:r>
    </w:p>
    <w:p w14:paraId="7C1C9BCD" w14:textId="77777777" w:rsidR="00F52EC9" w:rsidRDefault="00F52EC9" w:rsidP="00C455F5">
      <w:pPr>
        <w:spacing w:after="0" w:line="360" w:lineRule="auto"/>
        <w:jc w:val="both"/>
        <w:rPr>
          <w:rFonts w:ascii="Times New Roman" w:eastAsia="Times New Roman" w:hAnsi="Times New Roman" w:cs="Times New Roman"/>
          <w:sz w:val="24"/>
          <w:szCs w:val="24"/>
          <w:lang w:eastAsia="en-IN"/>
        </w:rPr>
      </w:pPr>
    </w:p>
    <w:p w14:paraId="53808189" w14:textId="77777777" w:rsidR="00335BCF" w:rsidRDefault="00335BCF" w:rsidP="00C455F5">
      <w:pPr>
        <w:spacing w:after="0" w:line="360" w:lineRule="auto"/>
        <w:jc w:val="both"/>
        <w:rPr>
          <w:rFonts w:ascii="Times New Roman" w:eastAsia="Times New Roman" w:hAnsi="Times New Roman" w:cs="Times New Roman"/>
          <w:sz w:val="24"/>
          <w:szCs w:val="24"/>
          <w:lang w:eastAsia="en-IN"/>
        </w:rPr>
      </w:pPr>
    </w:p>
    <w:p w14:paraId="03F6358C" w14:textId="77777777" w:rsidR="00335BCF" w:rsidRPr="00C455F5" w:rsidRDefault="00335BCF" w:rsidP="00C455F5">
      <w:pPr>
        <w:spacing w:after="0" w:line="360" w:lineRule="auto"/>
        <w:jc w:val="both"/>
        <w:rPr>
          <w:rFonts w:ascii="Times New Roman" w:eastAsia="Times New Roman" w:hAnsi="Times New Roman" w:cs="Times New Roman"/>
          <w:sz w:val="24"/>
          <w:szCs w:val="24"/>
          <w:lang w:eastAsia="en-IN"/>
        </w:rPr>
      </w:pPr>
    </w:p>
    <w:p w14:paraId="0F2D9D6C" w14:textId="269EDA48" w:rsidR="006C7347" w:rsidRPr="006C7347" w:rsidRDefault="006C7347" w:rsidP="006C7347">
      <w:pPr>
        <w:shd w:val="clear" w:color="auto" w:fill="FFFFFF"/>
        <w:spacing w:after="0" w:line="240" w:lineRule="auto"/>
        <w:ind w:left="426" w:hanging="426"/>
        <w:jc w:val="both"/>
        <w:rPr>
          <w:rFonts w:ascii="Times New Roman" w:eastAsia="Times New Roman" w:hAnsi="Times New Roman" w:cs="Times New Roman"/>
          <w:b/>
          <w:color w:val="222222"/>
          <w:lang w:eastAsia="en-IN"/>
        </w:rPr>
      </w:pPr>
      <w:r w:rsidRPr="006C7347">
        <w:rPr>
          <w:rFonts w:ascii="Times New Roman" w:eastAsia="Times New Roman" w:hAnsi="Times New Roman" w:cs="Times New Roman"/>
          <w:b/>
          <w:color w:val="222222"/>
          <w:lang w:eastAsia="en-IN"/>
        </w:rPr>
        <w:lastRenderedPageBreak/>
        <w:t>Table</w:t>
      </w:r>
      <w:r w:rsidR="008B0B9F">
        <w:rPr>
          <w:rFonts w:ascii="Times New Roman" w:eastAsia="Times New Roman" w:hAnsi="Times New Roman" w:cs="Times New Roman"/>
          <w:b/>
          <w:color w:val="222222"/>
          <w:lang w:eastAsia="en-IN"/>
        </w:rPr>
        <w:t xml:space="preserve"> 4</w:t>
      </w:r>
      <w:r w:rsidRPr="006C7347">
        <w:rPr>
          <w:rFonts w:ascii="Times New Roman" w:eastAsia="Times New Roman" w:hAnsi="Times New Roman" w:cs="Times New Roman"/>
          <w:b/>
          <w:color w:val="222222"/>
          <w:lang w:eastAsia="en-IN"/>
        </w:rPr>
        <w:t xml:space="preserve">: Sectoral Deployment of Bank Credit , January 2022 </w:t>
      </w:r>
    </w:p>
    <w:p w14:paraId="63FD0496" w14:textId="77777777" w:rsidR="006C7347" w:rsidRPr="006C7347" w:rsidRDefault="006C7347" w:rsidP="006C7347">
      <w:pPr>
        <w:shd w:val="clear" w:color="auto" w:fill="FFFFFF"/>
        <w:spacing w:after="0" w:line="240" w:lineRule="auto"/>
        <w:ind w:left="426" w:hanging="426"/>
        <w:jc w:val="both"/>
        <w:rPr>
          <w:rFonts w:ascii="Arial" w:eastAsia="Times New Roman" w:hAnsi="Arial" w:cs="Arial"/>
          <w:b/>
          <w:color w:val="222222"/>
          <w:lang w:eastAsia="en-IN"/>
        </w:rPr>
      </w:pPr>
    </w:p>
    <w:tbl>
      <w:tblPr>
        <w:tblW w:w="9016" w:type="dxa"/>
        <w:tblLook w:val="04A0" w:firstRow="1" w:lastRow="0" w:firstColumn="1" w:lastColumn="0" w:noHBand="0" w:noVBand="1"/>
      </w:tblPr>
      <w:tblGrid>
        <w:gridCol w:w="3789"/>
        <w:gridCol w:w="1304"/>
        <w:gridCol w:w="1304"/>
        <w:gridCol w:w="1304"/>
        <w:gridCol w:w="1315"/>
      </w:tblGrid>
      <w:tr w:rsidR="006C7347" w:rsidRPr="003846C8" w14:paraId="7D16BA56" w14:textId="77777777" w:rsidTr="00BF5D9F">
        <w:trPr>
          <w:trHeight w:val="260"/>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5CBD9"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Sector</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7F8A5078" w14:textId="4DEC2EAF"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r>
              <w:rPr>
                <w:rFonts w:ascii="Times New Roman" w:eastAsia="Times New Roman" w:hAnsi="Times New Roman" w:cs="Times New Roman"/>
                <w:color w:val="000000"/>
                <w:sz w:val="18"/>
                <w:szCs w:val="18"/>
                <w:lang w:val="en-US"/>
              </w:rPr>
              <w:t>Outstanding as on</w:t>
            </w:r>
            <w:r w:rsidR="00492A83">
              <w:rPr>
                <w:rFonts w:ascii="Times New Roman" w:eastAsia="Times New Roman" w:hAnsi="Times New Roman" w:cs="Times New Roman"/>
                <w:color w:val="000000"/>
                <w:sz w:val="18"/>
                <w:szCs w:val="18"/>
                <w:lang w:val="en-US"/>
              </w:rPr>
              <w:t xml:space="preserve"> (Rs crores)</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91733B"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Variation (Year-on-Year)</w:t>
            </w:r>
          </w:p>
          <w:p w14:paraId="7F0126BB" w14:textId="4966D8A1"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6A37E345"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Composition</w:t>
            </w:r>
          </w:p>
        </w:tc>
      </w:tr>
      <w:tr w:rsidR="006C7347" w:rsidRPr="003846C8" w14:paraId="303AE42D"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6BF76123"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0C566B23" w14:textId="56684B84"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28.Jan</w:t>
            </w:r>
            <w:r w:rsidRPr="003846C8">
              <w:rPr>
                <w:rFonts w:ascii="Times New Roman" w:eastAsia="Times New Roman" w:hAnsi="Times New Roman" w:cs="Times New Roman"/>
                <w:color w:val="000000"/>
                <w:sz w:val="18"/>
                <w:szCs w:val="18"/>
                <w:lang w:val="en-US"/>
              </w:rPr>
              <w:t>2022</w:t>
            </w:r>
          </w:p>
        </w:tc>
        <w:tc>
          <w:tcPr>
            <w:tcW w:w="1304" w:type="dxa"/>
            <w:tcBorders>
              <w:top w:val="nil"/>
              <w:left w:val="nil"/>
              <w:bottom w:val="single" w:sz="4" w:space="0" w:color="auto"/>
              <w:right w:val="single" w:sz="4" w:space="0" w:color="auto"/>
            </w:tcBorders>
            <w:shd w:val="clear" w:color="auto" w:fill="auto"/>
            <w:noWrap/>
            <w:vAlign w:val="bottom"/>
            <w:hideMark/>
          </w:tcPr>
          <w:p w14:paraId="6A58D516"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29.Jan,2021 / 31.Jan,2020</w:t>
            </w:r>
          </w:p>
        </w:tc>
        <w:tc>
          <w:tcPr>
            <w:tcW w:w="1304" w:type="dxa"/>
            <w:tcBorders>
              <w:top w:val="nil"/>
              <w:left w:val="nil"/>
              <w:bottom w:val="single" w:sz="4" w:space="0" w:color="auto"/>
              <w:right w:val="single" w:sz="4" w:space="0" w:color="auto"/>
            </w:tcBorders>
            <w:shd w:val="clear" w:color="auto" w:fill="auto"/>
            <w:noWrap/>
            <w:vAlign w:val="bottom"/>
            <w:hideMark/>
          </w:tcPr>
          <w:p w14:paraId="6CF38FBF"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28.Jan,2022 / 29.Jan,2021</w:t>
            </w:r>
          </w:p>
        </w:tc>
        <w:tc>
          <w:tcPr>
            <w:tcW w:w="1315" w:type="dxa"/>
            <w:tcBorders>
              <w:top w:val="nil"/>
              <w:left w:val="nil"/>
              <w:bottom w:val="single" w:sz="4" w:space="0" w:color="auto"/>
              <w:right w:val="single" w:sz="4" w:space="0" w:color="auto"/>
            </w:tcBorders>
            <w:shd w:val="clear" w:color="auto" w:fill="auto"/>
            <w:noWrap/>
            <w:vAlign w:val="bottom"/>
            <w:hideMark/>
          </w:tcPr>
          <w:p w14:paraId="56DE7BA9"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28.Jan,2022</w:t>
            </w:r>
          </w:p>
        </w:tc>
      </w:tr>
      <w:tr w:rsidR="006C7347" w:rsidRPr="003846C8" w14:paraId="6649BA59"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5E506DC2"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4E8F9C65"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766F9E43"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w:t>
            </w:r>
          </w:p>
        </w:tc>
        <w:tc>
          <w:tcPr>
            <w:tcW w:w="1304" w:type="dxa"/>
            <w:tcBorders>
              <w:top w:val="nil"/>
              <w:left w:val="nil"/>
              <w:bottom w:val="single" w:sz="4" w:space="0" w:color="auto"/>
              <w:right w:val="single" w:sz="4" w:space="0" w:color="auto"/>
            </w:tcBorders>
            <w:shd w:val="clear" w:color="auto" w:fill="auto"/>
            <w:noWrap/>
            <w:vAlign w:val="bottom"/>
            <w:hideMark/>
          </w:tcPr>
          <w:p w14:paraId="33176CCC"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w:t>
            </w:r>
          </w:p>
        </w:tc>
        <w:tc>
          <w:tcPr>
            <w:tcW w:w="1315" w:type="dxa"/>
            <w:tcBorders>
              <w:top w:val="nil"/>
              <w:left w:val="nil"/>
              <w:bottom w:val="single" w:sz="4" w:space="0" w:color="auto"/>
              <w:right w:val="single" w:sz="4" w:space="0" w:color="auto"/>
            </w:tcBorders>
            <w:shd w:val="clear" w:color="auto" w:fill="auto"/>
            <w:noWrap/>
            <w:vAlign w:val="bottom"/>
            <w:hideMark/>
          </w:tcPr>
          <w:p w14:paraId="24B59CB6"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r>
      <w:tr w:rsidR="006C7347" w:rsidRPr="003846C8" w14:paraId="54FB9EDF"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357EC611" w14:textId="77777777" w:rsidR="006C7347" w:rsidRPr="003846C8" w:rsidRDefault="006C7347" w:rsidP="00BF5D9F">
            <w:pPr>
              <w:spacing w:after="0" w:line="240" w:lineRule="auto"/>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I. Gross Bank Credit (II + III)</w:t>
            </w:r>
          </w:p>
        </w:tc>
        <w:tc>
          <w:tcPr>
            <w:tcW w:w="1304" w:type="dxa"/>
            <w:tcBorders>
              <w:top w:val="nil"/>
              <w:left w:val="nil"/>
              <w:bottom w:val="single" w:sz="4" w:space="0" w:color="auto"/>
              <w:right w:val="single" w:sz="4" w:space="0" w:color="auto"/>
            </w:tcBorders>
            <w:shd w:val="clear" w:color="auto" w:fill="auto"/>
            <w:noWrap/>
            <w:vAlign w:val="bottom"/>
            <w:hideMark/>
          </w:tcPr>
          <w:p w14:paraId="5B815CEE"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11582442</w:t>
            </w:r>
          </w:p>
        </w:tc>
        <w:tc>
          <w:tcPr>
            <w:tcW w:w="1304" w:type="dxa"/>
            <w:tcBorders>
              <w:top w:val="nil"/>
              <w:left w:val="nil"/>
              <w:bottom w:val="single" w:sz="4" w:space="0" w:color="auto"/>
              <w:right w:val="single" w:sz="4" w:space="0" w:color="auto"/>
            </w:tcBorders>
            <w:shd w:val="clear" w:color="auto" w:fill="auto"/>
            <w:noWrap/>
            <w:vAlign w:val="bottom"/>
            <w:hideMark/>
          </w:tcPr>
          <w:p w14:paraId="0CD6FFBD"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5.9</w:t>
            </w:r>
          </w:p>
        </w:tc>
        <w:tc>
          <w:tcPr>
            <w:tcW w:w="1304" w:type="dxa"/>
            <w:tcBorders>
              <w:top w:val="nil"/>
              <w:left w:val="nil"/>
              <w:bottom w:val="single" w:sz="4" w:space="0" w:color="auto"/>
              <w:right w:val="single" w:sz="4" w:space="0" w:color="auto"/>
            </w:tcBorders>
            <w:shd w:val="clear" w:color="auto" w:fill="auto"/>
            <w:noWrap/>
            <w:vAlign w:val="bottom"/>
            <w:hideMark/>
          </w:tcPr>
          <w:p w14:paraId="2F1DB101"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8.2</w:t>
            </w:r>
          </w:p>
        </w:tc>
        <w:tc>
          <w:tcPr>
            <w:tcW w:w="1315" w:type="dxa"/>
            <w:tcBorders>
              <w:top w:val="nil"/>
              <w:left w:val="nil"/>
              <w:bottom w:val="single" w:sz="4" w:space="0" w:color="auto"/>
              <w:right w:val="single" w:sz="4" w:space="0" w:color="auto"/>
            </w:tcBorders>
            <w:shd w:val="clear" w:color="auto" w:fill="auto"/>
            <w:noWrap/>
            <w:vAlign w:val="bottom"/>
            <w:hideMark/>
          </w:tcPr>
          <w:p w14:paraId="211C47CF" w14:textId="77777777" w:rsidR="006C7347" w:rsidRPr="003846C8" w:rsidRDefault="006C7347" w:rsidP="00BF5D9F">
            <w:pPr>
              <w:spacing w:after="0" w:line="240" w:lineRule="auto"/>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 </w:t>
            </w:r>
          </w:p>
        </w:tc>
      </w:tr>
      <w:tr w:rsidR="006C7347" w:rsidRPr="003846C8" w14:paraId="1EACEC36"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540AC693" w14:textId="77777777" w:rsidR="006C7347" w:rsidRPr="003846C8" w:rsidRDefault="006C7347" w:rsidP="00BF5D9F">
            <w:pPr>
              <w:spacing w:after="0" w:line="240" w:lineRule="auto"/>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II. Food Credit</w:t>
            </w:r>
          </w:p>
        </w:tc>
        <w:tc>
          <w:tcPr>
            <w:tcW w:w="1304" w:type="dxa"/>
            <w:tcBorders>
              <w:top w:val="nil"/>
              <w:left w:val="nil"/>
              <w:bottom w:val="single" w:sz="4" w:space="0" w:color="auto"/>
              <w:right w:val="single" w:sz="4" w:space="0" w:color="auto"/>
            </w:tcBorders>
            <w:shd w:val="clear" w:color="auto" w:fill="auto"/>
            <w:noWrap/>
            <w:vAlign w:val="bottom"/>
            <w:hideMark/>
          </w:tcPr>
          <w:p w14:paraId="3C70CF0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82390</w:t>
            </w:r>
          </w:p>
        </w:tc>
        <w:tc>
          <w:tcPr>
            <w:tcW w:w="1304" w:type="dxa"/>
            <w:tcBorders>
              <w:top w:val="nil"/>
              <w:left w:val="nil"/>
              <w:bottom w:val="single" w:sz="4" w:space="0" w:color="auto"/>
              <w:right w:val="single" w:sz="4" w:space="0" w:color="auto"/>
            </w:tcBorders>
            <w:shd w:val="clear" w:color="auto" w:fill="auto"/>
            <w:noWrap/>
            <w:vAlign w:val="bottom"/>
            <w:hideMark/>
          </w:tcPr>
          <w:p w14:paraId="4EC2AF95"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10.4</w:t>
            </w:r>
          </w:p>
        </w:tc>
        <w:tc>
          <w:tcPr>
            <w:tcW w:w="1304" w:type="dxa"/>
            <w:tcBorders>
              <w:top w:val="nil"/>
              <w:left w:val="nil"/>
              <w:bottom w:val="single" w:sz="4" w:space="0" w:color="auto"/>
              <w:right w:val="single" w:sz="4" w:space="0" w:color="auto"/>
            </w:tcBorders>
            <w:shd w:val="clear" w:color="auto" w:fill="auto"/>
            <w:noWrap/>
            <w:vAlign w:val="bottom"/>
            <w:hideMark/>
          </w:tcPr>
          <w:p w14:paraId="1DD6CCE2"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-5.4</w:t>
            </w:r>
          </w:p>
        </w:tc>
        <w:tc>
          <w:tcPr>
            <w:tcW w:w="1315" w:type="dxa"/>
            <w:tcBorders>
              <w:top w:val="nil"/>
              <w:left w:val="nil"/>
              <w:bottom w:val="single" w:sz="4" w:space="0" w:color="auto"/>
              <w:right w:val="single" w:sz="4" w:space="0" w:color="auto"/>
            </w:tcBorders>
            <w:shd w:val="clear" w:color="auto" w:fill="auto"/>
            <w:noWrap/>
            <w:vAlign w:val="bottom"/>
            <w:hideMark/>
          </w:tcPr>
          <w:p w14:paraId="547EC73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0.7</w:t>
            </w:r>
          </w:p>
        </w:tc>
      </w:tr>
      <w:tr w:rsidR="006C7347" w:rsidRPr="003846C8" w14:paraId="2B6EBAA8"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6AEE90AE" w14:textId="77777777" w:rsidR="006C7347" w:rsidRPr="003846C8" w:rsidRDefault="006C7347" w:rsidP="00BF5D9F">
            <w:pPr>
              <w:spacing w:after="0" w:line="240" w:lineRule="auto"/>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III. Non-food Credit</w:t>
            </w:r>
          </w:p>
        </w:tc>
        <w:tc>
          <w:tcPr>
            <w:tcW w:w="1304" w:type="dxa"/>
            <w:tcBorders>
              <w:top w:val="nil"/>
              <w:left w:val="nil"/>
              <w:bottom w:val="single" w:sz="4" w:space="0" w:color="auto"/>
              <w:right w:val="single" w:sz="4" w:space="0" w:color="auto"/>
            </w:tcBorders>
            <w:shd w:val="clear" w:color="auto" w:fill="auto"/>
            <w:noWrap/>
            <w:vAlign w:val="bottom"/>
            <w:hideMark/>
          </w:tcPr>
          <w:p w14:paraId="5D3164D6"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11500052</w:t>
            </w:r>
          </w:p>
        </w:tc>
        <w:tc>
          <w:tcPr>
            <w:tcW w:w="1304" w:type="dxa"/>
            <w:tcBorders>
              <w:top w:val="nil"/>
              <w:left w:val="nil"/>
              <w:bottom w:val="single" w:sz="4" w:space="0" w:color="auto"/>
              <w:right w:val="single" w:sz="4" w:space="0" w:color="auto"/>
            </w:tcBorders>
            <w:shd w:val="clear" w:color="auto" w:fill="auto"/>
            <w:noWrap/>
            <w:vAlign w:val="bottom"/>
            <w:hideMark/>
          </w:tcPr>
          <w:p w14:paraId="4AF648DF"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5.9</w:t>
            </w:r>
          </w:p>
        </w:tc>
        <w:tc>
          <w:tcPr>
            <w:tcW w:w="1304" w:type="dxa"/>
            <w:tcBorders>
              <w:top w:val="nil"/>
              <w:left w:val="nil"/>
              <w:bottom w:val="single" w:sz="4" w:space="0" w:color="auto"/>
              <w:right w:val="single" w:sz="4" w:space="0" w:color="auto"/>
            </w:tcBorders>
            <w:shd w:val="clear" w:color="auto" w:fill="auto"/>
            <w:noWrap/>
            <w:vAlign w:val="bottom"/>
            <w:hideMark/>
          </w:tcPr>
          <w:p w14:paraId="655678C3"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8.3</w:t>
            </w:r>
          </w:p>
        </w:tc>
        <w:tc>
          <w:tcPr>
            <w:tcW w:w="1315" w:type="dxa"/>
            <w:tcBorders>
              <w:top w:val="nil"/>
              <w:left w:val="nil"/>
              <w:bottom w:val="single" w:sz="4" w:space="0" w:color="auto"/>
              <w:right w:val="single" w:sz="4" w:space="0" w:color="auto"/>
            </w:tcBorders>
            <w:shd w:val="clear" w:color="auto" w:fill="auto"/>
            <w:noWrap/>
            <w:vAlign w:val="bottom"/>
            <w:hideMark/>
          </w:tcPr>
          <w:p w14:paraId="4163C44E"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99.3</w:t>
            </w:r>
          </w:p>
        </w:tc>
      </w:tr>
      <w:tr w:rsidR="006C7347" w:rsidRPr="003846C8" w14:paraId="74B9E361"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51FB7C19"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37D4A658"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73FE60F2"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00DA2219" w14:textId="77777777" w:rsidR="006C7347" w:rsidRPr="003846C8" w:rsidRDefault="006C7347" w:rsidP="00BF5D9F">
            <w:pPr>
              <w:spacing w:after="0" w:line="240" w:lineRule="auto"/>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w:t>
            </w:r>
          </w:p>
        </w:tc>
        <w:tc>
          <w:tcPr>
            <w:tcW w:w="1315" w:type="dxa"/>
            <w:tcBorders>
              <w:top w:val="nil"/>
              <w:left w:val="nil"/>
              <w:bottom w:val="single" w:sz="4" w:space="0" w:color="auto"/>
              <w:right w:val="single" w:sz="4" w:space="0" w:color="auto"/>
            </w:tcBorders>
            <w:shd w:val="clear" w:color="auto" w:fill="auto"/>
            <w:noWrap/>
            <w:vAlign w:val="bottom"/>
            <w:hideMark/>
          </w:tcPr>
          <w:p w14:paraId="4B5AC810"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0.0</w:t>
            </w:r>
          </w:p>
        </w:tc>
      </w:tr>
      <w:tr w:rsidR="006C7347" w:rsidRPr="003846C8" w14:paraId="76B63A2C"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1A54F62E"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 Agriculture and Allied Activities</w:t>
            </w:r>
          </w:p>
        </w:tc>
        <w:tc>
          <w:tcPr>
            <w:tcW w:w="1304" w:type="dxa"/>
            <w:tcBorders>
              <w:top w:val="nil"/>
              <w:left w:val="nil"/>
              <w:bottom w:val="single" w:sz="4" w:space="0" w:color="auto"/>
              <w:right w:val="single" w:sz="4" w:space="0" w:color="auto"/>
            </w:tcBorders>
            <w:shd w:val="clear" w:color="auto" w:fill="auto"/>
            <w:noWrap/>
            <w:vAlign w:val="bottom"/>
            <w:hideMark/>
          </w:tcPr>
          <w:p w14:paraId="4874F297"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1432743</w:t>
            </w:r>
          </w:p>
        </w:tc>
        <w:tc>
          <w:tcPr>
            <w:tcW w:w="1304" w:type="dxa"/>
            <w:tcBorders>
              <w:top w:val="nil"/>
              <w:left w:val="nil"/>
              <w:bottom w:val="single" w:sz="4" w:space="0" w:color="auto"/>
              <w:right w:val="single" w:sz="4" w:space="0" w:color="auto"/>
            </w:tcBorders>
            <w:shd w:val="clear" w:color="auto" w:fill="auto"/>
            <w:noWrap/>
            <w:vAlign w:val="bottom"/>
            <w:hideMark/>
          </w:tcPr>
          <w:p w14:paraId="498B6751"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8.5</w:t>
            </w:r>
          </w:p>
        </w:tc>
        <w:tc>
          <w:tcPr>
            <w:tcW w:w="1304" w:type="dxa"/>
            <w:tcBorders>
              <w:top w:val="nil"/>
              <w:left w:val="nil"/>
              <w:bottom w:val="single" w:sz="4" w:space="0" w:color="auto"/>
              <w:right w:val="single" w:sz="4" w:space="0" w:color="auto"/>
            </w:tcBorders>
            <w:shd w:val="clear" w:color="auto" w:fill="auto"/>
            <w:noWrap/>
            <w:vAlign w:val="bottom"/>
            <w:hideMark/>
          </w:tcPr>
          <w:p w14:paraId="04076DD0"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10.4</w:t>
            </w:r>
          </w:p>
        </w:tc>
        <w:tc>
          <w:tcPr>
            <w:tcW w:w="1315" w:type="dxa"/>
            <w:tcBorders>
              <w:top w:val="nil"/>
              <w:left w:val="nil"/>
              <w:bottom w:val="single" w:sz="4" w:space="0" w:color="auto"/>
              <w:right w:val="single" w:sz="4" w:space="0" w:color="auto"/>
            </w:tcBorders>
            <w:shd w:val="clear" w:color="auto" w:fill="auto"/>
            <w:noWrap/>
            <w:vAlign w:val="bottom"/>
            <w:hideMark/>
          </w:tcPr>
          <w:p w14:paraId="2C0C80CE"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12.4</w:t>
            </w:r>
          </w:p>
        </w:tc>
      </w:tr>
      <w:tr w:rsidR="006C7347" w:rsidRPr="003846C8" w14:paraId="4A6CD2F8"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47E293EF"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2. Industry (Micro and Small, Medium and Large )</w:t>
            </w:r>
          </w:p>
        </w:tc>
        <w:tc>
          <w:tcPr>
            <w:tcW w:w="1304" w:type="dxa"/>
            <w:tcBorders>
              <w:top w:val="nil"/>
              <w:left w:val="nil"/>
              <w:bottom w:val="single" w:sz="4" w:space="0" w:color="auto"/>
              <w:right w:val="single" w:sz="4" w:space="0" w:color="auto"/>
            </w:tcBorders>
            <w:shd w:val="clear" w:color="auto" w:fill="auto"/>
            <w:noWrap/>
            <w:vAlign w:val="bottom"/>
            <w:hideMark/>
          </w:tcPr>
          <w:p w14:paraId="5A520BAB"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3046833</w:t>
            </w:r>
          </w:p>
        </w:tc>
        <w:tc>
          <w:tcPr>
            <w:tcW w:w="1304" w:type="dxa"/>
            <w:tcBorders>
              <w:top w:val="nil"/>
              <w:left w:val="nil"/>
              <w:bottom w:val="single" w:sz="4" w:space="0" w:color="auto"/>
              <w:right w:val="single" w:sz="4" w:space="0" w:color="auto"/>
            </w:tcBorders>
            <w:shd w:val="clear" w:color="auto" w:fill="auto"/>
            <w:noWrap/>
            <w:vAlign w:val="bottom"/>
            <w:hideMark/>
          </w:tcPr>
          <w:p w14:paraId="189682C7"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0.7</w:t>
            </w:r>
          </w:p>
        </w:tc>
        <w:tc>
          <w:tcPr>
            <w:tcW w:w="1304" w:type="dxa"/>
            <w:tcBorders>
              <w:top w:val="nil"/>
              <w:left w:val="nil"/>
              <w:bottom w:val="single" w:sz="4" w:space="0" w:color="auto"/>
              <w:right w:val="single" w:sz="4" w:space="0" w:color="auto"/>
            </w:tcBorders>
            <w:shd w:val="clear" w:color="auto" w:fill="auto"/>
            <w:noWrap/>
            <w:vAlign w:val="bottom"/>
            <w:hideMark/>
          </w:tcPr>
          <w:p w14:paraId="6123D618"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6.4</w:t>
            </w:r>
          </w:p>
        </w:tc>
        <w:tc>
          <w:tcPr>
            <w:tcW w:w="1315" w:type="dxa"/>
            <w:tcBorders>
              <w:top w:val="nil"/>
              <w:left w:val="nil"/>
              <w:bottom w:val="single" w:sz="4" w:space="0" w:color="auto"/>
              <w:right w:val="single" w:sz="4" w:space="0" w:color="auto"/>
            </w:tcBorders>
            <w:shd w:val="clear" w:color="auto" w:fill="auto"/>
            <w:noWrap/>
            <w:vAlign w:val="bottom"/>
            <w:hideMark/>
          </w:tcPr>
          <w:p w14:paraId="36D953B3"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26.3</w:t>
            </w:r>
          </w:p>
        </w:tc>
      </w:tr>
      <w:tr w:rsidR="006C7347" w:rsidRPr="003846C8" w14:paraId="11F51713"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4BE63EDF"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2.1. Micro and Small</w:t>
            </w:r>
          </w:p>
        </w:tc>
        <w:tc>
          <w:tcPr>
            <w:tcW w:w="1304" w:type="dxa"/>
            <w:tcBorders>
              <w:top w:val="nil"/>
              <w:left w:val="nil"/>
              <w:bottom w:val="single" w:sz="4" w:space="0" w:color="auto"/>
              <w:right w:val="single" w:sz="4" w:space="0" w:color="auto"/>
            </w:tcBorders>
            <w:shd w:val="clear" w:color="auto" w:fill="auto"/>
            <w:noWrap/>
            <w:vAlign w:val="bottom"/>
            <w:hideMark/>
          </w:tcPr>
          <w:p w14:paraId="5B06D57D"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464420</w:t>
            </w:r>
          </w:p>
        </w:tc>
        <w:tc>
          <w:tcPr>
            <w:tcW w:w="1304" w:type="dxa"/>
            <w:tcBorders>
              <w:top w:val="nil"/>
              <w:left w:val="nil"/>
              <w:bottom w:val="single" w:sz="4" w:space="0" w:color="auto"/>
              <w:right w:val="single" w:sz="4" w:space="0" w:color="auto"/>
            </w:tcBorders>
            <w:shd w:val="clear" w:color="auto" w:fill="auto"/>
            <w:noWrap/>
            <w:vAlign w:val="bottom"/>
            <w:hideMark/>
          </w:tcPr>
          <w:p w14:paraId="30390C81"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0.5</w:t>
            </w:r>
          </w:p>
        </w:tc>
        <w:tc>
          <w:tcPr>
            <w:tcW w:w="1304" w:type="dxa"/>
            <w:tcBorders>
              <w:top w:val="nil"/>
              <w:left w:val="nil"/>
              <w:bottom w:val="single" w:sz="4" w:space="0" w:color="auto"/>
              <w:right w:val="single" w:sz="4" w:space="0" w:color="auto"/>
            </w:tcBorders>
            <w:shd w:val="clear" w:color="auto" w:fill="auto"/>
            <w:noWrap/>
            <w:vAlign w:val="bottom"/>
            <w:hideMark/>
          </w:tcPr>
          <w:p w14:paraId="17A18084"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19.7</w:t>
            </w:r>
          </w:p>
        </w:tc>
        <w:tc>
          <w:tcPr>
            <w:tcW w:w="1315" w:type="dxa"/>
            <w:tcBorders>
              <w:top w:val="nil"/>
              <w:left w:val="nil"/>
              <w:bottom w:val="single" w:sz="4" w:space="0" w:color="auto"/>
              <w:right w:val="single" w:sz="4" w:space="0" w:color="auto"/>
            </w:tcBorders>
            <w:shd w:val="clear" w:color="auto" w:fill="auto"/>
            <w:noWrap/>
            <w:vAlign w:val="bottom"/>
            <w:hideMark/>
          </w:tcPr>
          <w:p w14:paraId="29CBFEA7"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4.0</w:t>
            </w:r>
          </w:p>
        </w:tc>
      </w:tr>
      <w:tr w:rsidR="006C7347" w:rsidRPr="003846C8" w14:paraId="579C3172"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0282F58B"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2.2. Medium</w:t>
            </w:r>
          </w:p>
        </w:tc>
        <w:tc>
          <w:tcPr>
            <w:tcW w:w="1304" w:type="dxa"/>
            <w:tcBorders>
              <w:top w:val="nil"/>
              <w:left w:val="nil"/>
              <w:bottom w:val="single" w:sz="4" w:space="0" w:color="auto"/>
              <w:right w:val="single" w:sz="4" w:space="0" w:color="auto"/>
            </w:tcBorders>
            <w:shd w:val="clear" w:color="auto" w:fill="auto"/>
            <w:noWrap/>
            <w:vAlign w:val="bottom"/>
            <w:hideMark/>
          </w:tcPr>
          <w:p w14:paraId="75128D77"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223376</w:t>
            </w:r>
          </w:p>
        </w:tc>
        <w:tc>
          <w:tcPr>
            <w:tcW w:w="1304" w:type="dxa"/>
            <w:tcBorders>
              <w:top w:val="nil"/>
              <w:left w:val="nil"/>
              <w:bottom w:val="single" w:sz="4" w:space="0" w:color="auto"/>
              <w:right w:val="single" w:sz="4" w:space="0" w:color="auto"/>
            </w:tcBorders>
            <w:shd w:val="clear" w:color="auto" w:fill="auto"/>
            <w:noWrap/>
            <w:vAlign w:val="bottom"/>
            <w:hideMark/>
          </w:tcPr>
          <w:p w14:paraId="63CA025F"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21.8</w:t>
            </w:r>
          </w:p>
        </w:tc>
        <w:tc>
          <w:tcPr>
            <w:tcW w:w="1304" w:type="dxa"/>
            <w:tcBorders>
              <w:top w:val="nil"/>
              <w:left w:val="nil"/>
              <w:bottom w:val="single" w:sz="4" w:space="0" w:color="auto"/>
              <w:right w:val="single" w:sz="4" w:space="0" w:color="auto"/>
            </w:tcBorders>
            <w:shd w:val="clear" w:color="auto" w:fill="auto"/>
            <w:noWrap/>
            <w:vAlign w:val="bottom"/>
            <w:hideMark/>
          </w:tcPr>
          <w:p w14:paraId="57C9D5E5"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74.7</w:t>
            </w:r>
          </w:p>
        </w:tc>
        <w:tc>
          <w:tcPr>
            <w:tcW w:w="1315" w:type="dxa"/>
            <w:tcBorders>
              <w:top w:val="nil"/>
              <w:left w:val="nil"/>
              <w:bottom w:val="single" w:sz="4" w:space="0" w:color="auto"/>
              <w:right w:val="single" w:sz="4" w:space="0" w:color="auto"/>
            </w:tcBorders>
            <w:shd w:val="clear" w:color="auto" w:fill="auto"/>
            <w:noWrap/>
            <w:vAlign w:val="bottom"/>
            <w:hideMark/>
          </w:tcPr>
          <w:p w14:paraId="751F94CB"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1.9</w:t>
            </w:r>
          </w:p>
        </w:tc>
      </w:tr>
      <w:tr w:rsidR="006C7347" w:rsidRPr="003846C8" w14:paraId="144D6CF9"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1E21CC71"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2.3. Large</w:t>
            </w:r>
          </w:p>
        </w:tc>
        <w:tc>
          <w:tcPr>
            <w:tcW w:w="1304" w:type="dxa"/>
            <w:tcBorders>
              <w:top w:val="nil"/>
              <w:left w:val="nil"/>
              <w:bottom w:val="single" w:sz="4" w:space="0" w:color="auto"/>
              <w:right w:val="single" w:sz="4" w:space="0" w:color="auto"/>
            </w:tcBorders>
            <w:shd w:val="clear" w:color="auto" w:fill="auto"/>
            <w:noWrap/>
            <w:vAlign w:val="bottom"/>
            <w:hideMark/>
          </w:tcPr>
          <w:p w14:paraId="11ACBF5B"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2359037</w:t>
            </w:r>
          </w:p>
        </w:tc>
        <w:tc>
          <w:tcPr>
            <w:tcW w:w="1304" w:type="dxa"/>
            <w:tcBorders>
              <w:top w:val="nil"/>
              <w:left w:val="nil"/>
              <w:bottom w:val="single" w:sz="4" w:space="0" w:color="auto"/>
              <w:right w:val="single" w:sz="4" w:space="0" w:color="auto"/>
            </w:tcBorders>
            <w:shd w:val="clear" w:color="auto" w:fill="auto"/>
            <w:noWrap/>
            <w:vAlign w:val="bottom"/>
            <w:hideMark/>
          </w:tcPr>
          <w:p w14:paraId="2B35B14B"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-0.2</w:t>
            </w:r>
          </w:p>
        </w:tc>
        <w:tc>
          <w:tcPr>
            <w:tcW w:w="1304" w:type="dxa"/>
            <w:tcBorders>
              <w:top w:val="nil"/>
              <w:left w:val="nil"/>
              <w:bottom w:val="single" w:sz="4" w:space="0" w:color="auto"/>
              <w:right w:val="single" w:sz="4" w:space="0" w:color="auto"/>
            </w:tcBorders>
            <w:shd w:val="clear" w:color="auto" w:fill="auto"/>
            <w:noWrap/>
            <w:vAlign w:val="bottom"/>
            <w:hideMark/>
          </w:tcPr>
          <w:p w14:paraId="45DF5CAB"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0.5</w:t>
            </w:r>
          </w:p>
        </w:tc>
        <w:tc>
          <w:tcPr>
            <w:tcW w:w="1315" w:type="dxa"/>
            <w:tcBorders>
              <w:top w:val="nil"/>
              <w:left w:val="nil"/>
              <w:bottom w:val="single" w:sz="4" w:space="0" w:color="auto"/>
              <w:right w:val="single" w:sz="4" w:space="0" w:color="auto"/>
            </w:tcBorders>
            <w:shd w:val="clear" w:color="auto" w:fill="auto"/>
            <w:noWrap/>
            <w:vAlign w:val="bottom"/>
            <w:hideMark/>
          </w:tcPr>
          <w:p w14:paraId="24F2DE78"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20.4</w:t>
            </w:r>
          </w:p>
        </w:tc>
      </w:tr>
      <w:tr w:rsidR="006C7347" w:rsidRPr="003846C8" w14:paraId="65B46859"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795A5BF4"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xml:space="preserve">3. </w:t>
            </w:r>
            <w:r w:rsidRPr="003846C8">
              <w:rPr>
                <w:rFonts w:ascii="Times New Roman" w:eastAsia="Times New Roman" w:hAnsi="Times New Roman" w:cs="Times New Roman"/>
                <w:b/>
                <w:color w:val="000000"/>
                <w:sz w:val="18"/>
                <w:szCs w:val="18"/>
                <w:lang w:val="en-US"/>
              </w:rPr>
              <w:t>Services</w:t>
            </w:r>
          </w:p>
        </w:tc>
        <w:tc>
          <w:tcPr>
            <w:tcW w:w="1304" w:type="dxa"/>
            <w:tcBorders>
              <w:top w:val="nil"/>
              <w:left w:val="nil"/>
              <w:bottom w:val="single" w:sz="4" w:space="0" w:color="auto"/>
              <w:right w:val="single" w:sz="4" w:space="0" w:color="auto"/>
            </w:tcBorders>
            <w:shd w:val="clear" w:color="auto" w:fill="auto"/>
            <w:noWrap/>
            <w:vAlign w:val="bottom"/>
            <w:hideMark/>
          </w:tcPr>
          <w:p w14:paraId="1A869521"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2904619</w:t>
            </w:r>
          </w:p>
        </w:tc>
        <w:tc>
          <w:tcPr>
            <w:tcW w:w="1304" w:type="dxa"/>
            <w:tcBorders>
              <w:top w:val="nil"/>
              <w:left w:val="nil"/>
              <w:bottom w:val="single" w:sz="4" w:space="0" w:color="auto"/>
              <w:right w:val="single" w:sz="4" w:space="0" w:color="auto"/>
            </w:tcBorders>
            <w:shd w:val="clear" w:color="auto" w:fill="auto"/>
            <w:noWrap/>
            <w:vAlign w:val="bottom"/>
            <w:hideMark/>
          </w:tcPr>
          <w:p w14:paraId="3813E5A3"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8.1</w:t>
            </w:r>
          </w:p>
        </w:tc>
        <w:tc>
          <w:tcPr>
            <w:tcW w:w="1304" w:type="dxa"/>
            <w:tcBorders>
              <w:top w:val="nil"/>
              <w:left w:val="nil"/>
              <w:bottom w:val="single" w:sz="4" w:space="0" w:color="auto"/>
              <w:right w:val="single" w:sz="4" w:space="0" w:color="auto"/>
            </w:tcBorders>
            <w:shd w:val="clear" w:color="auto" w:fill="auto"/>
            <w:noWrap/>
            <w:vAlign w:val="bottom"/>
            <w:hideMark/>
          </w:tcPr>
          <w:p w14:paraId="6E5D5F1A"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7.3</w:t>
            </w:r>
          </w:p>
        </w:tc>
        <w:tc>
          <w:tcPr>
            <w:tcW w:w="1315" w:type="dxa"/>
            <w:tcBorders>
              <w:top w:val="nil"/>
              <w:left w:val="nil"/>
              <w:bottom w:val="single" w:sz="4" w:space="0" w:color="auto"/>
              <w:right w:val="single" w:sz="4" w:space="0" w:color="auto"/>
            </w:tcBorders>
            <w:shd w:val="clear" w:color="auto" w:fill="auto"/>
            <w:noWrap/>
            <w:vAlign w:val="bottom"/>
            <w:hideMark/>
          </w:tcPr>
          <w:p w14:paraId="0F164DD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25.1</w:t>
            </w:r>
          </w:p>
        </w:tc>
      </w:tr>
      <w:tr w:rsidR="006C7347" w:rsidRPr="003846C8" w14:paraId="49C7BE7D"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hideMark/>
          </w:tcPr>
          <w:p w14:paraId="55141039"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xml:space="preserve">4. </w:t>
            </w:r>
            <w:r w:rsidRPr="003846C8">
              <w:rPr>
                <w:rFonts w:ascii="Times New Roman" w:eastAsia="Times New Roman" w:hAnsi="Times New Roman" w:cs="Times New Roman"/>
                <w:b/>
                <w:color w:val="000000"/>
                <w:sz w:val="18"/>
                <w:szCs w:val="18"/>
                <w:lang w:val="en-US"/>
              </w:rPr>
              <w:t>Personal Loans</w:t>
            </w:r>
          </w:p>
        </w:tc>
        <w:tc>
          <w:tcPr>
            <w:tcW w:w="1304" w:type="dxa"/>
            <w:tcBorders>
              <w:top w:val="nil"/>
              <w:left w:val="nil"/>
              <w:bottom w:val="single" w:sz="4" w:space="0" w:color="auto"/>
              <w:right w:val="single" w:sz="4" w:space="0" w:color="auto"/>
            </w:tcBorders>
            <w:shd w:val="clear" w:color="auto" w:fill="auto"/>
            <w:noWrap/>
            <w:vAlign w:val="bottom"/>
            <w:hideMark/>
          </w:tcPr>
          <w:p w14:paraId="7DBF382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3180477</w:t>
            </w:r>
          </w:p>
        </w:tc>
        <w:tc>
          <w:tcPr>
            <w:tcW w:w="1304" w:type="dxa"/>
            <w:tcBorders>
              <w:top w:val="nil"/>
              <w:left w:val="nil"/>
              <w:bottom w:val="single" w:sz="4" w:space="0" w:color="auto"/>
              <w:right w:val="single" w:sz="4" w:space="0" w:color="auto"/>
            </w:tcBorders>
            <w:shd w:val="clear" w:color="auto" w:fill="auto"/>
            <w:noWrap/>
            <w:vAlign w:val="bottom"/>
            <w:hideMark/>
          </w:tcPr>
          <w:p w14:paraId="2BD9AA53"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8.7</w:t>
            </w:r>
          </w:p>
        </w:tc>
        <w:tc>
          <w:tcPr>
            <w:tcW w:w="1304" w:type="dxa"/>
            <w:tcBorders>
              <w:top w:val="nil"/>
              <w:left w:val="nil"/>
              <w:bottom w:val="single" w:sz="4" w:space="0" w:color="auto"/>
              <w:right w:val="single" w:sz="4" w:space="0" w:color="auto"/>
            </w:tcBorders>
            <w:shd w:val="clear" w:color="auto" w:fill="auto"/>
            <w:noWrap/>
            <w:vAlign w:val="bottom"/>
            <w:hideMark/>
          </w:tcPr>
          <w:p w14:paraId="586805B2"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11.6</w:t>
            </w:r>
          </w:p>
        </w:tc>
        <w:tc>
          <w:tcPr>
            <w:tcW w:w="1315" w:type="dxa"/>
            <w:tcBorders>
              <w:top w:val="nil"/>
              <w:left w:val="nil"/>
              <w:bottom w:val="single" w:sz="4" w:space="0" w:color="auto"/>
              <w:right w:val="single" w:sz="4" w:space="0" w:color="auto"/>
            </w:tcBorders>
            <w:shd w:val="clear" w:color="auto" w:fill="auto"/>
            <w:noWrap/>
            <w:vAlign w:val="bottom"/>
            <w:hideMark/>
          </w:tcPr>
          <w:p w14:paraId="29AF6BCF"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sidRPr="003846C8">
              <w:rPr>
                <w:rFonts w:ascii="Times New Roman" w:eastAsia="Times New Roman" w:hAnsi="Times New Roman" w:cs="Times New Roman"/>
                <w:b/>
                <w:color w:val="000000"/>
                <w:sz w:val="18"/>
                <w:szCs w:val="18"/>
                <w:lang w:val="en-US"/>
              </w:rPr>
              <w:t>27.5</w:t>
            </w:r>
          </w:p>
        </w:tc>
      </w:tr>
      <w:tr w:rsidR="006C7347" w:rsidRPr="003846C8" w14:paraId="406B43A7" w14:textId="77777777" w:rsidTr="00BF5D9F">
        <w:trPr>
          <w:trHeight w:val="260"/>
        </w:trPr>
        <w:tc>
          <w:tcPr>
            <w:tcW w:w="3789" w:type="dxa"/>
            <w:tcBorders>
              <w:top w:val="nil"/>
              <w:left w:val="single" w:sz="4" w:space="0" w:color="auto"/>
              <w:bottom w:val="single" w:sz="4" w:space="0" w:color="auto"/>
              <w:right w:val="single" w:sz="4" w:space="0" w:color="auto"/>
            </w:tcBorders>
            <w:shd w:val="clear" w:color="auto" w:fill="auto"/>
            <w:noWrap/>
            <w:vAlign w:val="bottom"/>
          </w:tcPr>
          <w:p w14:paraId="0EE39688" w14:textId="77777777" w:rsidR="006C7347" w:rsidRPr="003846C8" w:rsidRDefault="006C7347" w:rsidP="00BF5D9F">
            <w:pPr>
              <w:spacing w:after="0" w:line="240" w:lineRule="auto"/>
              <w:jc w:val="right"/>
              <w:rPr>
                <w:rFonts w:ascii="Times New Roman" w:eastAsia="Times New Roman" w:hAnsi="Times New Roman" w:cs="Times New Roman"/>
                <w:color w:val="000000"/>
                <w:sz w:val="18"/>
                <w:szCs w:val="18"/>
                <w:lang w:val="en-US"/>
              </w:rPr>
            </w:pPr>
            <w:r w:rsidRPr="003846C8">
              <w:rPr>
                <w:rFonts w:ascii="Times New Roman" w:eastAsia="Times New Roman" w:hAnsi="Times New Roman" w:cs="Times New Roman"/>
                <w:color w:val="000000"/>
                <w:sz w:val="18"/>
                <w:szCs w:val="18"/>
                <w:lang w:val="en-US"/>
              </w:rPr>
              <w:t xml:space="preserve">5. </w:t>
            </w:r>
            <w:r w:rsidRPr="003846C8">
              <w:rPr>
                <w:rFonts w:ascii="Times New Roman" w:eastAsia="Times New Roman" w:hAnsi="Times New Roman" w:cs="Times New Roman"/>
                <w:b/>
                <w:color w:val="000000"/>
                <w:sz w:val="18"/>
                <w:szCs w:val="18"/>
                <w:lang w:val="en-US"/>
              </w:rPr>
              <w:t xml:space="preserve">Priority Sector </w:t>
            </w:r>
            <w:r w:rsidRPr="00224D3D">
              <w:rPr>
                <w:rFonts w:ascii="Times New Roman" w:eastAsia="Times New Roman" w:hAnsi="Times New Roman" w:cs="Times New Roman"/>
                <w:b/>
                <w:color w:val="000000"/>
                <w:sz w:val="18"/>
                <w:szCs w:val="18"/>
                <w:lang w:val="en-US"/>
              </w:rPr>
              <w:t>(Memo)</w:t>
            </w:r>
          </w:p>
        </w:tc>
        <w:tc>
          <w:tcPr>
            <w:tcW w:w="1304" w:type="dxa"/>
            <w:tcBorders>
              <w:top w:val="nil"/>
              <w:left w:val="nil"/>
              <w:bottom w:val="single" w:sz="4" w:space="0" w:color="auto"/>
              <w:right w:val="single" w:sz="4" w:space="0" w:color="auto"/>
            </w:tcBorders>
            <w:shd w:val="clear" w:color="auto" w:fill="auto"/>
            <w:noWrap/>
            <w:vAlign w:val="bottom"/>
          </w:tcPr>
          <w:p w14:paraId="4C12A012"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4345054</w:t>
            </w:r>
          </w:p>
        </w:tc>
        <w:tc>
          <w:tcPr>
            <w:tcW w:w="1304" w:type="dxa"/>
            <w:tcBorders>
              <w:top w:val="nil"/>
              <w:left w:val="nil"/>
              <w:bottom w:val="single" w:sz="4" w:space="0" w:color="auto"/>
              <w:right w:val="single" w:sz="4" w:space="0" w:color="auto"/>
            </w:tcBorders>
            <w:shd w:val="clear" w:color="auto" w:fill="auto"/>
            <w:noWrap/>
            <w:vAlign w:val="bottom"/>
          </w:tcPr>
          <w:p w14:paraId="0193A30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p>
        </w:tc>
        <w:tc>
          <w:tcPr>
            <w:tcW w:w="1304" w:type="dxa"/>
            <w:tcBorders>
              <w:top w:val="nil"/>
              <w:left w:val="nil"/>
              <w:bottom w:val="single" w:sz="4" w:space="0" w:color="auto"/>
              <w:right w:val="single" w:sz="4" w:space="0" w:color="auto"/>
            </w:tcBorders>
            <w:shd w:val="clear" w:color="auto" w:fill="auto"/>
            <w:noWrap/>
            <w:vAlign w:val="bottom"/>
          </w:tcPr>
          <w:p w14:paraId="17E1871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p>
        </w:tc>
        <w:tc>
          <w:tcPr>
            <w:tcW w:w="1315" w:type="dxa"/>
            <w:tcBorders>
              <w:top w:val="nil"/>
              <w:left w:val="nil"/>
              <w:bottom w:val="single" w:sz="4" w:space="0" w:color="auto"/>
              <w:right w:val="single" w:sz="4" w:space="0" w:color="auto"/>
            </w:tcBorders>
            <w:shd w:val="clear" w:color="auto" w:fill="auto"/>
            <w:noWrap/>
            <w:vAlign w:val="bottom"/>
          </w:tcPr>
          <w:p w14:paraId="4207CDB4" w14:textId="77777777" w:rsidR="006C7347" w:rsidRPr="003846C8" w:rsidRDefault="006C7347" w:rsidP="00BF5D9F">
            <w:pPr>
              <w:spacing w:after="0" w:line="240" w:lineRule="auto"/>
              <w:jc w:val="right"/>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37.5</w:t>
            </w:r>
          </w:p>
        </w:tc>
      </w:tr>
    </w:tbl>
    <w:p w14:paraId="6E0F23F3" w14:textId="77777777" w:rsidR="006C7347" w:rsidRPr="00224D3D" w:rsidRDefault="006C7347" w:rsidP="006C7347">
      <w:pPr>
        <w:rPr>
          <w:rFonts w:ascii="Times New Roman" w:eastAsia="Times New Roman" w:hAnsi="Times New Roman" w:cs="Times New Roman"/>
          <w:sz w:val="18"/>
          <w:szCs w:val="18"/>
          <w:lang w:val="en-US"/>
        </w:rPr>
      </w:pPr>
      <w:r w:rsidRPr="00224D3D">
        <w:rPr>
          <w:rFonts w:ascii="Times New Roman" w:eastAsia="Times New Roman" w:hAnsi="Times New Roman" w:cs="Times New Roman"/>
          <w:color w:val="222222"/>
          <w:sz w:val="18"/>
          <w:szCs w:val="18"/>
          <w:lang w:eastAsia="en-IN"/>
        </w:rPr>
        <w:t xml:space="preserve">Source : RBI (2022): Sectoral Deployment of Bank Credit – January 2022 , published on February 28, 2022. </w:t>
      </w:r>
    </w:p>
    <w:p w14:paraId="6252FF3B" w14:textId="77777777" w:rsidR="00F819E1" w:rsidRPr="00C455F5" w:rsidRDefault="00F819E1" w:rsidP="00C455F5">
      <w:pPr>
        <w:spacing w:after="0" w:line="360" w:lineRule="auto"/>
        <w:jc w:val="both"/>
        <w:rPr>
          <w:rFonts w:ascii="Times New Roman" w:eastAsia="Times New Roman" w:hAnsi="Times New Roman" w:cs="Times New Roman"/>
          <w:sz w:val="24"/>
          <w:szCs w:val="24"/>
          <w:lang w:eastAsia="en-IN"/>
        </w:rPr>
      </w:pPr>
    </w:p>
    <w:p w14:paraId="60CD4542" w14:textId="77777777" w:rsidR="00F52EC9" w:rsidRPr="00C455F5" w:rsidRDefault="00F52EC9" w:rsidP="00F52EC9">
      <w:pPr>
        <w:spacing w:after="0" w:line="360" w:lineRule="auto"/>
        <w:jc w:val="both"/>
        <w:rPr>
          <w:rFonts w:ascii="Times New Roman" w:eastAsia="Times New Roman" w:hAnsi="Times New Roman" w:cs="Times New Roman"/>
          <w:sz w:val="24"/>
          <w:szCs w:val="24"/>
          <w:lang w:eastAsia="en-IN"/>
        </w:rPr>
      </w:pPr>
    </w:p>
    <w:p w14:paraId="3DE6CF1E" w14:textId="63FCF835" w:rsidR="00F52EC9" w:rsidRDefault="00F52EC9" w:rsidP="00F52EC9">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 xml:space="preserve">The composition of outstanding credit showed that credit deployment to agriculture (12.4 per cent) was relatively smaller than the credit to industrial sector (26.3 per cent) and service sector (25.1 per cent) as per the outstanding credit figures in January 2022. The large industries received 20.4 per cent of total credit deployment, while micro industries and medium industries received 4 per cent and 1.9 per cent of total credit. The personal loans constitute 27.5 per cent of total credit deployment , where housing loan constitute (13.4 per cent of total credit deployment)  the major component. The non-food credit at the aggregate level constitutes 99.3 per cent of total credit deployment. </w:t>
      </w:r>
      <w:r w:rsidR="00335BCF" w:rsidRPr="00C455F5">
        <w:rPr>
          <w:rFonts w:ascii="Times New Roman" w:eastAsia="Times New Roman" w:hAnsi="Times New Roman" w:cs="Times New Roman"/>
          <w:sz w:val="24"/>
          <w:szCs w:val="24"/>
          <w:lang w:eastAsia="en-IN"/>
        </w:rPr>
        <w:t>The broad inference from the credit deployment statistics from RBI is an uneven access to credit when large industries accessed credit significantly higher than the sm</w:t>
      </w:r>
      <w:r w:rsidR="00335BCF">
        <w:rPr>
          <w:rFonts w:ascii="Times New Roman" w:eastAsia="Times New Roman" w:hAnsi="Times New Roman" w:cs="Times New Roman"/>
          <w:sz w:val="24"/>
          <w:szCs w:val="24"/>
          <w:lang w:eastAsia="en-IN"/>
        </w:rPr>
        <w:t>all and medium industries</w:t>
      </w:r>
      <w:r w:rsidR="00335BCF" w:rsidRPr="00C455F5">
        <w:rPr>
          <w:rFonts w:ascii="Times New Roman" w:eastAsia="Times New Roman" w:hAnsi="Times New Roman" w:cs="Times New Roman"/>
          <w:sz w:val="24"/>
          <w:szCs w:val="24"/>
          <w:lang w:eastAsia="en-IN"/>
        </w:rPr>
        <w:t>.</w:t>
      </w:r>
    </w:p>
    <w:p w14:paraId="702814C4" w14:textId="77777777" w:rsidR="00F52EC9" w:rsidRDefault="00F52EC9" w:rsidP="00F52EC9">
      <w:pPr>
        <w:spacing w:after="0" w:line="360" w:lineRule="auto"/>
        <w:jc w:val="both"/>
        <w:rPr>
          <w:rFonts w:ascii="Times New Roman" w:eastAsia="Times New Roman" w:hAnsi="Times New Roman" w:cs="Times New Roman"/>
          <w:sz w:val="24"/>
          <w:szCs w:val="24"/>
          <w:lang w:eastAsia="en-IN"/>
        </w:rPr>
      </w:pPr>
    </w:p>
    <w:p w14:paraId="57F1BE8D" w14:textId="4CB19279" w:rsidR="00F52EC9" w:rsidRDefault="00F52EC9" w:rsidP="00F52EC9">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 xml:space="preserve">The credit growth to agriculture and allied activities grew to 10.4 percent in January 2022 as compared to 8.5 percent in January 2021. The credit to industry improved to 6.4 per cent in January 2022 from 0.7 per cent in January 2021. The credit growth to services sector registered 7.3 per cent in January 2022 as compared to 8.1 per cent in January 2021. Within the service sector,  the credit growth is registered in ‘NBFCs’, ‘transport operators’ and ‘tourism, hotels </w:t>
      </w:r>
      <w:r w:rsidRPr="00C455F5">
        <w:rPr>
          <w:rFonts w:ascii="Times New Roman" w:eastAsia="Times New Roman" w:hAnsi="Times New Roman" w:cs="Times New Roman"/>
          <w:sz w:val="24"/>
          <w:szCs w:val="24"/>
          <w:lang w:eastAsia="en-IN"/>
        </w:rPr>
        <w:lastRenderedPageBreak/>
        <w:t xml:space="preserve">and restaurants’. The “Personal loans” has noted a robust growth rate by 11.6 per cent in January 2022 from 8.7 per cent in January 2021. </w:t>
      </w:r>
    </w:p>
    <w:p w14:paraId="6FBBF3B5" w14:textId="77777777" w:rsidR="00F77C11" w:rsidRDefault="00F77C11" w:rsidP="00F52EC9">
      <w:pPr>
        <w:spacing w:after="0" w:line="360" w:lineRule="auto"/>
        <w:jc w:val="both"/>
        <w:rPr>
          <w:rFonts w:ascii="Times New Roman" w:eastAsia="Times New Roman" w:hAnsi="Times New Roman" w:cs="Times New Roman"/>
          <w:sz w:val="24"/>
          <w:szCs w:val="24"/>
          <w:lang w:eastAsia="en-IN"/>
        </w:rPr>
      </w:pPr>
    </w:p>
    <w:p w14:paraId="550F26FF" w14:textId="0591DEED" w:rsidR="00335BCF" w:rsidRDefault="00335BCF" w:rsidP="00F52EC9">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The priority lending is given as memo in credit deployment statistics, which constitute around 40 per cent. Within the priority lending, agriculture, micro and small enterprises, medium enterprise, housing, educational loans, renewable energy, social infrastructure, export credit and  credit to weaker sections are included</w:t>
      </w:r>
      <w:r w:rsidR="008B0B9F">
        <w:rPr>
          <w:rFonts w:ascii="Times New Roman" w:eastAsia="Times New Roman" w:hAnsi="Times New Roman" w:cs="Times New Roman"/>
          <w:sz w:val="24"/>
          <w:szCs w:val="24"/>
          <w:lang w:eastAsia="en-IN"/>
        </w:rPr>
        <w:t xml:space="preserve"> (Table 5)</w:t>
      </w:r>
      <w:r w:rsidRPr="00C455F5">
        <w:rPr>
          <w:rFonts w:ascii="Times New Roman" w:eastAsia="Times New Roman" w:hAnsi="Times New Roman" w:cs="Times New Roman"/>
          <w:sz w:val="24"/>
          <w:szCs w:val="24"/>
          <w:lang w:eastAsia="en-IN"/>
        </w:rPr>
        <w:t xml:space="preserve">. </w:t>
      </w:r>
    </w:p>
    <w:p w14:paraId="6371BAD1" w14:textId="77777777" w:rsidR="00335BCF" w:rsidRPr="00C455F5" w:rsidRDefault="00335BCF" w:rsidP="00F52EC9">
      <w:pPr>
        <w:spacing w:after="0" w:line="360" w:lineRule="auto"/>
        <w:jc w:val="both"/>
        <w:rPr>
          <w:rFonts w:ascii="Times New Roman" w:eastAsia="Times New Roman" w:hAnsi="Times New Roman" w:cs="Times New Roman"/>
          <w:sz w:val="24"/>
          <w:szCs w:val="24"/>
          <w:lang w:eastAsia="en-IN"/>
        </w:rPr>
      </w:pPr>
    </w:p>
    <w:p w14:paraId="251667FB" w14:textId="34B4C8AA" w:rsidR="00F819E1" w:rsidRDefault="008B0B9F" w:rsidP="00C455F5">
      <w:pPr>
        <w:spacing w:after="0" w:line="360"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Table 5</w:t>
      </w:r>
      <w:r w:rsidR="00F77C11" w:rsidRPr="00F77C11">
        <w:rPr>
          <w:rFonts w:ascii="Times New Roman" w:eastAsia="Times New Roman" w:hAnsi="Times New Roman" w:cs="Times New Roman"/>
          <w:b/>
          <w:sz w:val="24"/>
          <w:szCs w:val="24"/>
          <w:lang w:eastAsia="en-IN"/>
        </w:rPr>
        <w:t>: Priority Sector Lending, as on January 2022</w:t>
      </w:r>
    </w:p>
    <w:tbl>
      <w:tblPr>
        <w:tblW w:w="8411" w:type="dxa"/>
        <w:tblLook w:val="04A0" w:firstRow="1" w:lastRow="0" w:firstColumn="1" w:lastColumn="0" w:noHBand="0" w:noVBand="1"/>
      </w:tblPr>
      <w:tblGrid>
        <w:gridCol w:w="3012"/>
        <w:gridCol w:w="1317"/>
        <w:gridCol w:w="1317"/>
        <w:gridCol w:w="1437"/>
        <w:gridCol w:w="1328"/>
      </w:tblGrid>
      <w:tr w:rsidR="00F77C11" w:rsidRPr="00F77C11" w14:paraId="357BBCB2" w14:textId="77777777" w:rsidTr="00F77C11">
        <w:trPr>
          <w:trHeight w:val="260"/>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A1F75"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Sector</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58439"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E6BCD"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Variation (Year-on-Year)</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A834B"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Composition</w:t>
            </w:r>
          </w:p>
        </w:tc>
      </w:tr>
      <w:tr w:rsidR="00F77C11" w:rsidRPr="00F77C11" w14:paraId="1BA83638" w14:textId="77777777" w:rsidTr="00F77C11">
        <w:trPr>
          <w:trHeight w:val="260"/>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2DA98"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E291"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28.Jan,2022</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8BD59"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29.Jan,2021 / 31.Jan,2020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F617"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28.Jan,2022 / 29.Jan,2021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CCBC"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28.Jan,2022</w:t>
            </w:r>
          </w:p>
        </w:tc>
      </w:tr>
      <w:tr w:rsidR="00F77C11" w:rsidRPr="00F77C11" w14:paraId="74E5D6ED" w14:textId="77777777" w:rsidTr="00F77C11">
        <w:trPr>
          <w:trHeight w:val="260"/>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C7BB"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0C0D" w14:textId="18C1933A" w:rsidR="00F77C11" w:rsidRPr="00F77C11" w:rsidRDefault="00F77C11" w:rsidP="00F77C11">
            <w:pPr>
              <w:spacing w:after="0" w:line="240" w:lineRule="auto"/>
              <w:rPr>
                <w:rFonts w:ascii="Times New Roman" w:eastAsia="Times New Roman" w:hAnsi="Times New Roman" w:cs="Times New Roman"/>
                <w:sz w:val="18"/>
                <w:szCs w:val="18"/>
                <w:lang w:val="en-US"/>
              </w:rPr>
            </w:pPr>
            <w:r w:rsidRPr="00F77C11">
              <w:rPr>
                <w:rFonts w:ascii="Times New Roman" w:eastAsia="Times New Roman" w:hAnsi="Times New Roman" w:cs="Times New Roman"/>
                <w:sz w:val="18"/>
                <w:szCs w:val="18"/>
                <w:lang w:val="en-US"/>
              </w:rPr>
              <w:t>(Rs crores)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E349F"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B929"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4E68"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p>
        </w:tc>
      </w:tr>
      <w:tr w:rsidR="00F77C11" w:rsidRPr="00F77C11" w14:paraId="3CCC9FB1" w14:textId="77777777" w:rsidTr="00F77C11">
        <w:trPr>
          <w:trHeight w:val="260"/>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3890" w14:textId="0D3E045E"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Priority Sector</w:t>
            </w:r>
          </w:p>
        </w:tc>
        <w:tc>
          <w:tcPr>
            <w:tcW w:w="1317" w:type="dxa"/>
            <w:tcBorders>
              <w:top w:val="single" w:sz="4" w:space="0" w:color="auto"/>
              <w:left w:val="nil"/>
              <w:bottom w:val="nil"/>
              <w:right w:val="nil"/>
            </w:tcBorders>
            <w:shd w:val="clear" w:color="auto" w:fill="auto"/>
            <w:noWrap/>
            <w:vAlign w:val="bottom"/>
            <w:hideMark/>
          </w:tcPr>
          <w:p w14:paraId="4F4DA688"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4345054</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8E6A"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7365EA2" w14:textId="77777777"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BD95CDE"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37.5</w:t>
            </w:r>
          </w:p>
        </w:tc>
      </w:tr>
      <w:tr w:rsidR="00F77C11" w:rsidRPr="00F77C11" w14:paraId="6B3949E7"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11172A7C" w14:textId="1A9CBACE"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Agriculture and Allied Activities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0C5A114"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1354691</w:t>
            </w:r>
          </w:p>
        </w:tc>
        <w:tc>
          <w:tcPr>
            <w:tcW w:w="1317" w:type="dxa"/>
            <w:tcBorders>
              <w:top w:val="nil"/>
              <w:left w:val="nil"/>
              <w:bottom w:val="single" w:sz="4" w:space="0" w:color="auto"/>
              <w:right w:val="single" w:sz="4" w:space="0" w:color="auto"/>
            </w:tcBorders>
            <w:shd w:val="clear" w:color="auto" w:fill="auto"/>
            <w:noWrap/>
            <w:vAlign w:val="bottom"/>
            <w:hideMark/>
          </w:tcPr>
          <w:p w14:paraId="78C1416C"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8.9</w:t>
            </w:r>
          </w:p>
        </w:tc>
        <w:tc>
          <w:tcPr>
            <w:tcW w:w="1437" w:type="dxa"/>
            <w:tcBorders>
              <w:top w:val="nil"/>
              <w:left w:val="nil"/>
              <w:bottom w:val="single" w:sz="4" w:space="0" w:color="auto"/>
              <w:right w:val="single" w:sz="4" w:space="0" w:color="auto"/>
            </w:tcBorders>
            <w:shd w:val="clear" w:color="auto" w:fill="auto"/>
            <w:noWrap/>
            <w:vAlign w:val="bottom"/>
            <w:hideMark/>
          </w:tcPr>
          <w:p w14:paraId="28F7BF2D"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8.2</w:t>
            </w:r>
          </w:p>
        </w:tc>
        <w:tc>
          <w:tcPr>
            <w:tcW w:w="1328" w:type="dxa"/>
            <w:tcBorders>
              <w:top w:val="nil"/>
              <w:left w:val="nil"/>
              <w:bottom w:val="single" w:sz="4" w:space="0" w:color="auto"/>
              <w:right w:val="single" w:sz="4" w:space="0" w:color="auto"/>
            </w:tcBorders>
            <w:shd w:val="clear" w:color="auto" w:fill="auto"/>
            <w:noWrap/>
            <w:vAlign w:val="bottom"/>
            <w:hideMark/>
          </w:tcPr>
          <w:p w14:paraId="436DED66"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11.7</w:t>
            </w:r>
          </w:p>
        </w:tc>
      </w:tr>
      <w:tr w:rsidR="00F77C11" w:rsidRPr="00F77C11" w14:paraId="2DD625DD"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0FD519AF" w14:textId="66930A52"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Micro and Small Enterprises</w:t>
            </w:r>
          </w:p>
        </w:tc>
        <w:tc>
          <w:tcPr>
            <w:tcW w:w="1317" w:type="dxa"/>
            <w:tcBorders>
              <w:top w:val="nil"/>
              <w:left w:val="nil"/>
              <w:bottom w:val="single" w:sz="4" w:space="0" w:color="auto"/>
              <w:right w:val="single" w:sz="4" w:space="0" w:color="auto"/>
            </w:tcBorders>
            <w:shd w:val="clear" w:color="auto" w:fill="auto"/>
            <w:noWrap/>
            <w:vAlign w:val="bottom"/>
            <w:hideMark/>
          </w:tcPr>
          <w:p w14:paraId="7D46FE4D"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1244132</w:t>
            </w:r>
          </w:p>
        </w:tc>
        <w:tc>
          <w:tcPr>
            <w:tcW w:w="1317" w:type="dxa"/>
            <w:tcBorders>
              <w:top w:val="nil"/>
              <w:left w:val="nil"/>
              <w:bottom w:val="single" w:sz="4" w:space="0" w:color="auto"/>
              <w:right w:val="single" w:sz="4" w:space="0" w:color="auto"/>
            </w:tcBorders>
            <w:shd w:val="clear" w:color="auto" w:fill="auto"/>
            <w:noWrap/>
            <w:vAlign w:val="bottom"/>
            <w:hideMark/>
          </w:tcPr>
          <w:p w14:paraId="2796C4DD"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6.8</w:t>
            </w:r>
          </w:p>
        </w:tc>
        <w:tc>
          <w:tcPr>
            <w:tcW w:w="1437" w:type="dxa"/>
            <w:tcBorders>
              <w:top w:val="nil"/>
              <w:left w:val="nil"/>
              <w:bottom w:val="single" w:sz="4" w:space="0" w:color="auto"/>
              <w:right w:val="single" w:sz="4" w:space="0" w:color="auto"/>
            </w:tcBorders>
            <w:shd w:val="clear" w:color="auto" w:fill="auto"/>
            <w:noWrap/>
            <w:vAlign w:val="bottom"/>
            <w:hideMark/>
          </w:tcPr>
          <w:p w14:paraId="5E0B138C"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4.8</w:t>
            </w:r>
          </w:p>
        </w:tc>
        <w:tc>
          <w:tcPr>
            <w:tcW w:w="1328" w:type="dxa"/>
            <w:tcBorders>
              <w:top w:val="nil"/>
              <w:left w:val="nil"/>
              <w:bottom w:val="single" w:sz="4" w:space="0" w:color="auto"/>
              <w:right w:val="single" w:sz="4" w:space="0" w:color="auto"/>
            </w:tcBorders>
            <w:shd w:val="clear" w:color="auto" w:fill="auto"/>
            <w:noWrap/>
            <w:vAlign w:val="bottom"/>
            <w:hideMark/>
          </w:tcPr>
          <w:p w14:paraId="69F9C3B7"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10.7</w:t>
            </w:r>
          </w:p>
        </w:tc>
      </w:tr>
      <w:tr w:rsidR="00F77C11" w:rsidRPr="00F77C11" w14:paraId="5CF5CA83"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0B7755B9" w14:textId="420A6113"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Medium Enterprises</w:t>
            </w:r>
          </w:p>
        </w:tc>
        <w:tc>
          <w:tcPr>
            <w:tcW w:w="1317" w:type="dxa"/>
            <w:tcBorders>
              <w:top w:val="nil"/>
              <w:left w:val="nil"/>
              <w:bottom w:val="single" w:sz="4" w:space="0" w:color="auto"/>
              <w:right w:val="single" w:sz="4" w:space="0" w:color="auto"/>
            </w:tcBorders>
            <w:shd w:val="clear" w:color="auto" w:fill="auto"/>
            <w:noWrap/>
            <w:vAlign w:val="bottom"/>
            <w:hideMark/>
          </w:tcPr>
          <w:p w14:paraId="7C2043CA"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275363</w:t>
            </w:r>
          </w:p>
        </w:tc>
        <w:tc>
          <w:tcPr>
            <w:tcW w:w="1317" w:type="dxa"/>
            <w:tcBorders>
              <w:top w:val="nil"/>
              <w:left w:val="nil"/>
              <w:bottom w:val="single" w:sz="4" w:space="0" w:color="auto"/>
              <w:right w:val="single" w:sz="4" w:space="0" w:color="auto"/>
            </w:tcBorders>
            <w:shd w:val="clear" w:color="auto" w:fill="auto"/>
            <w:noWrap/>
            <w:vAlign w:val="bottom"/>
            <w:hideMark/>
          </w:tcPr>
          <w:p w14:paraId="7CD59550"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42.2</w:t>
            </w:r>
          </w:p>
        </w:tc>
        <w:tc>
          <w:tcPr>
            <w:tcW w:w="1437" w:type="dxa"/>
            <w:tcBorders>
              <w:top w:val="nil"/>
              <w:left w:val="nil"/>
              <w:bottom w:val="single" w:sz="4" w:space="0" w:color="auto"/>
              <w:right w:val="single" w:sz="4" w:space="0" w:color="auto"/>
            </w:tcBorders>
            <w:shd w:val="clear" w:color="auto" w:fill="auto"/>
            <w:noWrap/>
            <w:vAlign w:val="bottom"/>
            <w:hideMark/>
          </w:tcPr>
          <w:p w14:paraId="28CE24DC"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42.1</w:t>
            </w:r>
          </w:p>
        </w:tc>
        <w:tc>
          <w:tcPr>
            <w:tcW w:w="1328" w:type="dxa"/>
            <w:tcBorders>
              <w:top w:val="nil"/>
              <w:left w:val="nil"/>
              <w:bottom w:val="single" w:sz="4" w:space="0" w:color="auto"/>
              <w:right w:val="single" w:sz="4" w:space="0" w:color="auto"/>
            </w:tcBorders>
            <w:shd w:val="clear" w:color="auto" w:fill="auto"/>
            <w:noWrap/>
            <w:vAlign w:val="bottom"/>
            <w:hideMark/>
          </w:tcPr>
          <w:p w14:paraId="0768DD13"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2.4</w:t>
            </w:r>
          </w:p>
        </w:tc>
      </w:tr>
      <w:tr w:rsidR="00F77C11" w:rsidRPr="00F77C11" w14:paraId="5C1E4236"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5C66EEA9" w14:textId="233AF36A"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Housing</w:t>
            </w:r>
          </w:p>
        </w:tc>
        <w:tc>
          <w:tcPr>
            <w:tcW w:w="1317" w:type="dxa"/>
            <w:tcBorders>
              <w:top w:val="nil"/>
              <w:left w:val="nil"/>
              <w:bottom w:val="single" w:sz="4" w:space="0" w:color="auto"/>
              <w:right w:val="single" w:sz="4" w:space="0" w:color="auto"/>
            </w:tcBorders>
            <w:shd w:val="clear" w:color="auto" w:fill="auto"/>
            <w:noWrap/>
            <w:vAlign w:val="bottom"/>
            <w:hideMark/>
          </w:tcPr>
          <w:p w14:paraId="73DEB8E3"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480738</w:t>
            </w:r>
          </w:p>
        </w:tc>
        <w:tc>
          <w:tcPr>
            <w:tcW w:w="1317" w:type="dxa"/>
            <w:tcBorders>
              <w:top w:val="nil"/>
              <w:left w:val="nil"/>
              <w:bottom w:val="single" w:sz="4" w:space="0" w:color="auto"/>
              <w:right w:val="single" w:sz="4" w:space="0" w:color="auto"/>
            </w:tcBorders>
            <w:shd w:val="clear" w:color="auto" w:fill="auto"/>
            <w:noWrap/>
            <w:vAlign w:val="bottom"/>
            <w:hideMark/>
          </w:tcPr>
          <w:p w14:paraId="4267C118"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1.8</w:t>
            </w:r>
          </w:p>
        </w:tc>
        <w:tc>
          <w:tcPr>
            <w:tcW w:w="1437" w:type="dxa"/>
            <w:tcBorders>
              <w:top w:val="nil"/>
              <w:left w:val="nil"/>
              <w:bottom w:val="single" w:sz="4" w:space="0" w:color="auto"/>
              <w:right w:val="single" w:sz="4" w:space="0" w:color="auto"/>
            </w:tcBorders>
            <w:shd w:val="clear" w:color="auto" w:fill="auto"/>
            <w:noWrap/>
            <w:vAlign w:val="bottom"/>
            <w:hideMark/>
          </w:tcPr>
          <w:p w14:paraId="21678D76"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-1.6</w:t>
            </w:r>
          </w:p>
        </w:tc>
        <w:tc>
          <w:tcPr>
            <w:tcW w:w="1328" w:type="dxa"/>
            <w:tcBorders>
              <w:top w:val="nil"/>
              <w:left w:val="nil"/>
              <w:bottom w:val="single" w:sz="4" w:space="0" w:color="auto"/>
              <w:right w:val="single" w:sz="4" w:space="0" w:color="auto"/>
            </w:tcBorders>
            <w:shd w:val="clear" w:color="auto" w:fill="auto"/>
            <w:noWrap/>
            <w:vAlign w:val="bottom"/>
            <w:hideMark/>
          </w:tcPr>
          <w:p w14:paraId="1CAAB63F"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4.2</w:t>
            </w:r>
          </w:p>
        </w:tc>
      </w:tr>
      <w:tr w:rsidR="00F77C11" w:rsidRPr="00F77C11" w14:paraId="3D6766CD"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0FDEFBB8" w14:textId="2798F75C"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Educational Loans</w:t>
            </w:r>
          </w:p>
        </w:tc>
        <w:tc>
          <w:tcPr>
            <w:tcW w:w="1317" w:type="dxa"/>
            <w:tcBorders>
              <w:top w:val="nil"/>
              <w:left w:val="nil"/>
              <w:bottom w:val="single" w:sz="4" w:space="0" w:color="auto"/>
              <w:right w:val="single" w:sz="4" w:space="0" w:color="auto"/>
            </w:tcBorders>
            <w:shd w:val="clear" w:color="auto" w:fill="auto"/>
            <w:noWrap/>
            <w:vAlign w:val="bottom"/>
            <w:hideMark/>
          </w:tcPr>
          <w:p w14:paraId="786B7D1C"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46303</w:t>
            </w:r>
          </w:p>
        </w:tc>
        <w:tc>
          <w:tcPr>
            <w:tcW w:w="1317" w:type="dxa"/>
            <w:tcBorders>
              <w:top w:val="nil"/>
              <w:left w:val="nil"/>
              <w:bottom w:val="single" w:sz="4" w:space="0" w:color="auto"/>
              <w:right w:val="single" w:sz="4" w:space="0" w:color="auto"/>
            </w:tcBorders>
            <w:shd w:val="clear" w:color="auto" w:fill="auto"/>
            <w:noWrap/>
            <w:vAlign w:val="bottom"/>
            <w:hideMark/>
          </w:tcPr>
          <w:p w14:paraId="4EAB8F03"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-6.4</w:t>
            </w:r>
          </w:p>
        </w:tc>
        <w:tc>
          <w:tcPr>
            <w:tcW w:w="1437" w:type="dxa"/>
            <w:tcBorders>
              <w:top w:val="nil"/>
              <w:left w:val="nil"/>
              <w:bottom w:val="single" w:sz="4" w:space="0" w:color="auto"/>
              <w:right w:val="single" w:sz="4" w:space="0" w:color="auto"/>
            </w:tcBorders>
            <w:shd w:val="clear" w:color="auto" w:fill="auto"/>
            <w:noWrap/>
            <w:vAlign w:val="bottom"/>
            <w:hideMark/>
          </w:tcPr>
          <w:p w14:paraId="269A390A"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-7.2</w:t>
            </w:r>
          </w:p>
        </w:tc>
        <w:tc>
          <w:tcPr>
            <w:tcW w:w="1328" w:type="dxa"/>
            <w:tcBorders>
              <w:top w:val="nil"/>
              <w:left w:val="nil"/>
              <w:bottom w:val="single" w:sz="4" w:space="0" w:color="auto"/>
              <w:right w:val="single" w:sz="4" w:space="0" w:color="auto"/>
            </w:tcBorders>
            <w:shd w:val="clear" w:color="auto" w:fill="auto"/>
            <w:noWrap/>
            <w:vAlign w:val="bottom"/>
            <w:hideMark/>
          </w:tcPr>
          <w:p w14:paraId="058AEB09"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0.4</w:t>
            </w:r>
          </w:p>
        </w:tc>
      </w:tr>
      <w:tr w:rsidR="00F77C11" w:rsidRPr="00F77C11" w14:paraId="255933B5"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42DF9898" w14:textId="325653B2"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Renewable Energy</w:t>
            </w:r>
          </w:p>
        </w:tc>
        <w:tc>
          <w:tcPr>
            <w:tcW w:w="1317" w:type="dxa"/>
            <w:tcBorders>
              <w:top w:val="nil"/>
              <w:left w:val="nil"/>
              <w:bottom w:val="single" w:sz="4" w:space="0" w:color="auto"/>
              <w:right w:val="single" w:sz="4" w:space="0" w:color="auto"/>
            </w:tcBorders>
            <w:shd w:val="clear" w:color="auto" w:fill="auto"/>
            <w:noWrap/>
            <w:vAlign w:val="bottom"/>
            <w:hideMark/>
          </w:tcPr>
          <w:p w14:paraId="16EDDC0F"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1965</w:t>
            </w:r>
          </w:p>
        </w:tc>
        <w:tc>
          <w:tcPr>
            <w:tcW w:w="1317" w:type="dxa"/>
            <w:tcBorders>
              <w:top w:val="nil"/>
              <w:left w:val="nil"/>
              <w:bottom w:val="single" w:sz="4" w:space="0" w:color="auto"/>
              <w:right w:val="single" w:sz="4" w:space="0" w:color="auto"/>
            </w:tcBorders>
            <w:shd w:val="clear" w:color="auto" w:fill="auto"/>
            <w:noWrap/>
            <w:vAlign w:val="bottom"/>
            <w:hideMark/>
          </w:tcPr>
          <w:p w14:paraId="3E1FE0F3"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48.5</w:t>
            </w:r>
          </w:p>
        </w:tc>
        <w:tc>
          <w:tcPr>
            <w:tcW w:w="1437" w:type="dxa"/>
            <w:tcBorders>
              <w:top w:val="nil"/>
              <w:left w:val="nil"/>
              <w:bottom w:val="single" w:sz="4" w:space="0" w:color="auto"/>
              <w:right w:val="single" w:sz="4" w:space="0" w:color="auto"/>
            </w:tcBorders>
            <w:shd w:val="clear" w:color="auto" w:fill="auto"/>
            <w:noWrap/>
            <w:vAlign w:val="bottom"/>
            <w:hideMark/>
          </w:tcPr>
          <w:p w14:paraId="68059847"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42.7</w:t>
            </w:r>
          </w:p>
        </w:tc>
        <w:tc>
          <w:tcPr>
            <w:tcW w:w="1328" w:type="dxa"/>
            <w:tcBorders>
              <w:top w:val="nil"/>
              <w:left w:val="nil"/>
              <w:bottom w:val="single" w:sz="4" w:space="0" w:color="auto"/>
              <w:right w:val="single" w:sz="4" w:space="0" w:color="auto"/>
            </w:tcBorders>
            <w:shd w:val="clear" w:color="auto" w:fill="auto"/>
            <w:noWrap/>
            <w:vAlign w:val="bottom"/>
            <w:hideMark/>
          </w:tcPr>
          <w:p w14:paraId="39AFB901"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0.0</w:t>
            </w:r>
          </w:p>
        </w:tc>
      </w:tr>
      <w:tr w:rsidR="00F77C11" w:rsidRPr="00F77C11" w14:paraId="4328773C"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6A216026" w14:textId="34D5B43F"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Social Infrastructure</w:t>
            </w:r>
          </w:p>
        </w:tc>
        <w:tc>
          <w:tcPr>
            <w:tcW w:w="1317" w:type="dxa"/>
            <w:tcBorders>
              <w:top w:val="nil"/>
              <w:left w:val="nil"/>
              <w:bottom w:val="single" w:sz="4" w:space="0" w:color="auto"/>
              <w:right w:val="single" w:sz="4" w:space="0" w:color="auto"/>
            </w:tcBorders>
            <w:shd w:val="clear" w:color="auto" w:fill="auto"/>
            <w:noWrap/>
            <w:vAlign w:val="bottom"/>
            <w:hideMark/>
          </w:tcPr>
          <w:p w14:paraId="1D7270E4"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2447</w:t>
            </w:r>
          </w:p>
        </w:tc>
        <w:tc>
          <w:tcPr>
            <w:tcW w:w="1317" w:type="dxa"/>
            <w:tcBorders>
              <w:top w:val="nil"/>
              <w:left w:val="nil"/>
              <w:bottom w:val="single" w:sz="4" w:space="0" w:color="auto"/>
              <w:right w:val="single" w:sz="4" w:space="0" w:color="auto"/>
            </w:tcBorders>
            <w:shd w:val="clear" w:color="auto" w:fill="auto"/>
            <w:noWrap/>
            <w:vAlign w:val="bottom"/>
            <w:hideMark/>
          </w:tcPr>
          <w:p w14:paraId="4A61A18F"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99.8</w:t>
            </w:r>
          </w:p>
        </w:tc>
        <w:tc>
          <w:tcPr>
            <w:tcW w:w="1437" w:type="dxa"/>
            <w:tcBorders>
              <w:top w:val="nil"/>
              <w:left w:val="nil"/>
              <w:bottom w:val="single" w:sz="4" w:space="0" w:color="auto"/>
              <w:right w:val="single" w:sz="4" w:space="0" w:color="auto"/>
            </w:tcBorders>
            <w:shd w:val="clear" w:color="auto" w:fill="auto"/>
            <w:noWrap/>
            <w:vAlign w:val="bottom"/>
            <w:hideMark/>
          </w:tcPr>
          <w:p w14:paraId="1E7FD6C6"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-0.9</w:t>
            </w:r>
          </w:p>
        </w:tc>
        <w:tc>
          <w:tcPr>
            <w:tcW w:w="1328" w:type="dxa"/>
            <w:tcBorders>
              <w:top w:val="nil"/>
              <w:left w:val="nil"/>
              <w:bottom w:val="single" w:sz="4" w:space="0" w:color="auto"/>
              <w:right w:val="single" w:sz="4" w:space="0" w:color="auto"/>
            </w:tcBorders>
            <w:shd w:val="clear" w:color="auto" w:fill="auto"/>
            <w:noWrap/>
            <w:vAlign w:val="bottom"/>
            <w:hideMark/>
          </w:tcPr>
          <w:p w14:paraId="295F2C05"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0.0</w:t>
            </w:r>
          </w:p>
        </w:tc>
      </w:tr>
      <w:tr w:rsidR="00F77C11" w:rsidRPr="00F77C11" w14:paraId="60326360"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02731437" w14:textId="0570B3E6"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Export Credit</w:t>
            </w:r>
          </w:p>
        </w:tc>
        <w:tc>
          <w:tcPr>
            <w:tcW w:w="1317" w:type="dxa"/>
            <w:tcBorders>
              <w:top w:val="nil"/>
              <w:left w:val="nil"/>
              <w:bottom w:val="single" w:sz="4" w:space="0" w:color="auto"/>
              <w:right w:val="single" w:sz="4" w:space="0" w:color="auto"/>
            </w:tcBorders>
            <w:shd w:val="clear" w:color="auto" w:fill="auto"/>
            <w:noWrap/>
            <w:vAlign w:val="bottom"/>
            <w:hideMark/>
          </w:tcPr>
          <w:p w14:paraId="13DB262D"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24418</w:t>
            </w:r>
          </w:p>
        </w:tc>
        <w:tc>
          <w:tcPr>
            <w:tcW w:w="1317" w:type="dxa"/>
            <w:tcBorders>
              <w:top w:val="nil"/>
              <w:left w:val="nil"/>
              <w:bottom w:val="single" w:sz="4" w:space="0" w:color="auto"/>
              <w:right w:val="single" w:sz="4" w:space="0" w:color="auto"/>
            </w:tcBorders>
            <w:shd w:val="clear" w:color="auto" w:fill="auto"/>
            <w:noWrap/>
            <w:vAlign w:val="bottom"/>
            <w:hideMark/>
          </w:tcPr>
          <w:p w14:paraId="5954358F"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5.3</w:t>
            </w:r>
          </w:p>
        </w:tc>
        <w:tc>
          <w:tcPr>
            <w:tcW w:w="1437" w:type="dxa"/>
            <w:tcBorders>
              <w:top w:val="nil"/>
              <w:left w:val="nil"/>
              <w:bottom w:val="single" w:sz="4" w:space="0" w:color="auto"/>
              <w:right w:val="single" w:sz="4" w:space="0" w:color="auto"/>
            </w:tcBorders>
            <w:shd w:val="clear" w:color="auto" w:fill="auto"/>
            <w:noWrap/>
            <w:vAlign w:val="bottom"/>
            <w:hideMark/>
          </w:tcPr>
          <w:p w14:paraId="0E979C0C"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22.4</w:t>
            </w:r>
          </w:p>
        </w:tc>
        <w:tc>
          <w:tcPr>
            <w:tcW w:w="1328" w:type="dxa"/>
            <w:tcBorders>
              <w:top w:val="nil"/>
              <w:left w:val="nil"/>
              <w:bottom w:val="single" w:sz="4" w:space="0" w:color="auto"/>
              <w:right w:val="single" w:sz="4" w:space="0" w:color="auto"/>
            </w:tcBorders>
            <w:shd w:val="clear" w:color="auto" w:fill="auto"/>
            <w:noWrap/>
            <w:vAlign w:val="bottom"/>
            <w:hideMark/>
          </w:tcPr>
          <w:p w14:paraId="694A3DD1"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0.2</w:t>
            </w:r>
          </w:p>
        </w:tc>
      </w:tr>
      <w:tr w:rsidR="00F77C11" w:rsidRPr="00F77C11" w14:paraId="703EED81"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081B3BA9" w14:textId="4FB23E51"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Others</w:t>
            </w:r>
          </w:p>
        </w:tc>
        <w:tc>
          <w:tcPr>
            <w:tcW w:w="1317" w:type="dxa"/>
            <w:tcBorders>
              <w:top w:val="nil"/>
              <w:left w:val="nil"/>
              <w:bottom w:val="single" w:sz="4" w:space="0" w:color="auto"/>
              <w:right w:val="single" w:sz="4" w:space="0" w:color="auto"/>
            </w:tcBorders>
            <w:shd w:val="clear" w:color="auto" w:fill="auto"/>
            <w:noWrap/>
            <w:vAlign w:val="bottom"/>
            <w:hideMark/>
          </w:tcPr>
          <w:p w14:paraId="17CC7772"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39788</w:t>
            </w:r>
          </w:p>
        </w:tc>
        <w:tc>
          <w:tcPr>
            <w:tcW w:w="1317" w:type="dxa"/>
            <w:tcBorders>
              <w:top w:val="nil"/>
              <w:left w:val="nil"/>
              <w:bottom w:val="single" w:sz="4" w:space="0" w:color="auto"/>
              <w:right w:val="single" w:sz="4" w:space="0" w:color="auto"/>
            </w:tcBorders>
            <w:shd w:val="clear" w:color="auto" w:fill="auto"/>
            <w:noWrap/>
            <w:vAlign w:val="bottom"/>
            <w:hideMark/>
          </w:tcPr>
          <w:p w14:paraId="1A0F1AF8"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-8.3</w:t>
            </w:r>
          </w:p>
        </w:tc>
        <w:tc>
          <w:tcPr>
            <w:tcW w:w="1437" w:type="dxa"/>
            <w:tcBorders>
              <w:top w:val="nil"/>
              <w:left w:val="nil"/>
              <w:bottom w:val="single" w:sz="4" w:space="0" w:color="auto"/>
              <w:right w:val="single" w:sz="4" w:space="0" w:color="auto"/>
            </w:tcBorders>
            <w:shd w:val="clear" w:color="auto" w:fill="auto"/>
            <w:noWrap/>
            <w:vAlign w:val="bottom"/>
            <w:hideMark/>
          </w:tcPr>
          <w:p w14:paraId="508A6BAB"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115.4</w:t>
            </w:r>
          </w:p>
        </w:tc>
        <w:tc>
          <w:tcPr>
            <w:tcW w:w="1328" w:type="dxa"/>
            <w:tcBorders>
              <w:top w:val="nil"/>
              <w:left w:val="nil"/>
              <w:bottom w:val="single" w:sz="4" w:space="0" w:color="auto"/>
              <w:right w:val="single" w:sz="4" w:space="0" w:color="auto"/>
            </w:tcBorders>
            <w:shd w:val="clear" w:color="auto" w:fill="auto"/>
            <w:noWrap/>
            <w:vAlign w:val="bottom"/>
            <w:hideMark/>
          </w:tcPr>
          <w:p w14:paraId="69515536"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0.3</w:t>
            </w:r>
          </w:p>
        </w:tc>
      </w:tr>
      <w:tr w:rsidR="00F77C11" w:rsidRPr="00F77C11" w14:paraId="56A174CC" w14:textId="77777777" w:rsidTr="00F77C11">
        <w:trPr>
          <w:trHeight w:val="260"/>
        </w:trPr>
        <w:tc>
          <w:tcPr>
            <w:tcW w:w="3012" w:type="dxa"/>
            <w:tcBorders>
              <w:top w:val="nil"/>
              <w:left w:val="single" w:sz="4" w:space="0" w:color="auto"/>
              <w:bottom w:val="single" w:sz="4" w:space="0" w:color="auto"/>
              <w:right w:val="single" w:sz="4" w:space="0" w:color="auto"/>
            </w:tcBorders>
            <w:shd w:val="clear" w:color="auto" w:fill="auto"/>
            <w:noWrap/>
            <w:vAlign w:val="bottom"/>
            <w:hideMark/>
          </w:tcPr>
          <w:p w14:paraId="392A557D" w14:textId="040D995F" w:rsidR="00F77C11" w:rsidRPr="00F77C11" w:rsidRDefault="00F77C11" w:rsidP="00F77C11">
            <w:pPr>
              <w:spacing w:after="0" w:line="240" w:lineRule="auto"/>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Weaker Sections including net PSLC- SF/MF</w:t>
            </w:r>
          </w:p>
        </w:tc>
        <w:tc>
          <w:tcPr>
            <w:tcW w:w="1317" w:type="dxa"/>
            <w:tcBorders>
              <w:top w:val="nil"/>
              <w:left w:val="nil"/>
              <w:bottom w:val="single" w:sz="4" w:space="0" w:color="auto"/>
              <w:right w:val="single" w:sz="4" w:space="0" w:color="auto"/>
            </w:tcBorders>
            <w:shd w:val="clear" w:color="auto" w:fill="auto"/>
            <w:noWrap/>
            <w:vAlign w:val="bottom"/>
            <w:hideMark/>
          </w:tcPr>
          <w:p w14:paraId="281E7E58"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875210</w:t>
            </w:r>
          </w:p>
        </w:tc>
        <w:tc>
          <w:tcPr>
            <w:tcW w:w="1317" w:type="dxa"/>
            <w:tcBorders>
              <w:top w:val="nil"/>
              <w:left w:val="nil"/>
              <w:bottom w:val="single" w:sz="4" w:space="0" w:color="auto"/>
              <w:right w:val="single" w:sz="4" w:space="0" w:color="auto"/>
            </w:tcBorders>
            <w:shd w:val="clear" w:color="auto" w:fill="auto"/>
            <w:noWrap/>
            <w:vAlign w:val="bottom"/>
            <w:hideMark/>
          </w:tcPr>
          <w:p w14:paraId="34E1B8F5"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6.1</w:t>
            </w:r>
          </w:p>
        </w:tc>
        <w:tc>
          <w:tcPr>
            <w:tcW w:w="1437" w:type="dxa"/>
            <w:tcBorders>
              <w:top w:val="nil"/>
              <w:left w:val="nil"/>
              <w:bottom w:val="single" w:sz="4" w:space="0" w:color="auto"/>
              <w:right w:val="single" w:sz="4" w:space="0" w:color="auto"/>
            </w:tcBorders>
            <w:shd w:val="clear" w:color="auto" w:fill="auto"/>
            <w:noWrap/>
            <w:vAlign w:val="bottom"/>
            <w:hideMark/>
          </w:tcPr>
          <w:p w14:paraId="52815151"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6.9</w:t>
            </w:r>
          </w:p>
        </w:tc>
        <w:tc>
          <w:tcPr>
            <w:tcW w:w="1328" w:type="dxa"/>
            <w:tcBorders>
              <w:top w:val="nil"/>
              <w:left w:val="nil"/>
              <w:bottom w:val="single" w:sz="4" w:space="0" w:color="auto"/>
              <w:right w:val="single" w:sz="4" w:space="0" w:color="auto"/>
            </w:tcBorders>
            <w:shd w:val="clear" w:color="auto" w:fill="auto"/>
            <w:noWrap/>
            <w:vAlign w:val="bottom"/>
            <w:hideMark/>
          </w:tcPr>
          <w:p w14:paraId="461960C0" w14:textId="77777777" w:rsidR="00F77C11" w:rsidRPr="00F77C11" w:rsidRDefault="00F77C11" w:rsidP="00F77C11">
            <w:pPr>
              <w:spacing w:after="0" w:line="240" w:lineRule="auto"/>
              <w:jc w:val="right"/>
              <w:rPr>
                <w:rFonts w:ascii="Times New Roman" w:eastAsia="Times New Roman" w:hAnsi="Times New Roman" w:cs="Times New Roman"/>
                <w:color w:val="000000"/>
                <w:sz w:val="18"/>
                <w:szCs w:val="18"/>
                <w:lang w:val="en-US"/>
              </w:rPr>
            </w:pPr>
            <w:r w:rsidRPr="00F77C11">
              <w:rPr>
                <w:rFonts w:ascii="Times New Roman" w:eastAsia="Times New Roman" w:hAnsi="Times New Roman" w:cs="Times New Roman"/>
                <w:color w:val="000000"/>
                <w:sz w:val="18"/>
                <w:szCs w:val="18"/>
                <w:lang w:val="en-US"/>
              </w:rPr>
              <w:t>7.6</w:t>
            </w:r>
          </w:p>
        </w:tc>
      </w:tr>
    </w:tbl>
    <w:p w14:paraId="26FA57BF" w14:textId="77777777" w:rsidR="00F77C11" w:rsidRPr="00224D3D" w:rsidRDefault="00F77C11" w:rsidP="00F77C11">
      <w:pPr>
        <w:rPr>
          <w:rFonts w:ascii="Times New Roman" w:eastAsia="Times New Roman" w:hAnsi="Times New Roman" w:cs="Times New Roman"/>
          <w:sz w:val="18"/>
          <w:szCs w:val="18"/>
          <w:lang w:val="en-US"/>
        </w:rPr>
      </w:pPr>
      <w:r w:rsidRPr="00224D3D">
        <w:rPr>
          <w:rFonts w:ascii="Times New Roman" w:eastAsia="Times New Roman" w:hAnsi="Times New Roman" w:cs="Times New Roman"/>
          <w:color w:val="222222"/>
          <w:sz w:val="18"/>
          <w:szCs w:val="18"/>
          <w:lang w:eastAsia="en-IN"/>
        </w:rPr>
        <w:t xml:space="preserve">Source : RBI (2022): Sectoral Deployment of Bank Credit – January 2022 , published on February 28, 2022. </w:t>
      </w:r>
    </w:p>
    <w:p w14:paraId="3DF748E6" w14:textId="77777777" w:rsidR="00F77C11" w:rsidRPr="00C455F5" w:rsidRDefault="00F77C11" w:rsidP="00C455F5">
      <w:pPr>
        <w:spacing w:after="0" w:line="360" w:lineRule="auto"/>
        <w:jc w:val="both"/>
        <w:rPr>
          <w:rFonts w:ascii="Times New Roman" w:eastAsia="Times New Roman" w:hAnsi="Times New Roman" w:cs="Times New Roman"/>
          <w:sz w:val="24"/>
          <w:szCs w:val="24"/>
          <w:lang w:eastAsia="en-IN"/>
        </w:rPr>
      </w:pPr>
    </w:p>
    <w:p w14:paraId="228BF64C" w14:textId="4B41DE7A" w:rsidR="00F819E1" w:rsidRPr="00C455F5" w:rsidRDefault="00F819E1" w:rsidP="00C455F5">
      <w:pPr>
        <w:spacing w:after="0" w:line="360" w:lineRule="auto"/>
        <w:jc w:val="both"/>
        <w:rPr>
          <w:rFonts w:ascii="Times New Roman" w:eastAsia="Times New Roman" w:hAnsi="Times New Roman" w:cs="Times New Roman"/>
          <w:sz w:val="24"/>
          <w:szCs w:val="24"/>
          <w:lang w:eastAsia="en-IN"/>
        </w:rPr>
      </w:pPr>
      <w:r w:rsidRPr="00C455F5">
        <w:rPr>
          <w:rFonts w:ascii="Times New Roman" w:eastAsia="Times New Roman" w:hAnsi="Times New Roman" w:cs="Times New Roman"/>
          <w:sz w:val="24"/>
          <w:szCs w:val="24"/>
          <w:lang w:eastAsia="en-IN"/>
        </w:rPr>
        <w:t>The Financial Stability Report published by RBI in December 2021 showed that macro stress tests for credit risk indicate that the gross non-performing asset (GNPA) ratio of Scheduled Commercial Banks may increase from 6.9 per cent in September 2021 to 8.1 per cent by September 2022 under the baseline scenario and to 9.5 per cent under a severe stress scenario. The Report further clarified that the scheduled commercial banks would, however, have sufficient capital, both at the aggregate and individual levels, even under stress conditions . The capital to risk-weighted assets ratio (CRAR) of scheduled commercial banks (SCBs) rose to a new peak of 16.6 per cent in September 2021. As per Basel III stipulated the norm of CRAR at 8 per cent. CRAR is also called Capital Adequacy Ratio (CAR) , which is bank's capital by its risk-weighted assets. The provisioning coverage ratio (PCR) (the percentage of funds that a bank sets aside for losses due to bad debts) was 68.1 per cent in September 2021.</w:t>
      </w:r>
    </w:p>
    <w:p w14:paraId="6E7487F7" w14:textId="77777777" w:rsidR="00F819E1" w:rsidRPr="00C455F5" w:rsidRDefault="00F819E1" w:rsidP="00C455F5">
      <w:pPr>
        <w:spacing w:after="0" w:line="360" w:lineRule="auto"/>
        <w:jc w:val="both"/>
        <w:rPr>
          <w:rFonts w:ascii="Times New Roman" w:eastAsia="Times New Roman" w:hAnsi="Times New Roman" w:cs="Times New Roman"/>
          <w:sz w:val="24"/>
          <w:szCs w:val="24"/>
          <w:lang w:eastAsia="en-IN"/>
        </w:rPr>
      </w:pPr>
    </w:p>
    <w:p w14:paraId="233DE629" w14:textId="77777777" w:rsidR="00370A17" w:rsidRPr="00C455F5" w:rsidRDefault="00370A17" w:rsidP="00C455F5">
      <w:pPr>
        <w:shd w:val="clear" w:color="auto" w:fill="FFFFFF"/>
        <w:spacing w:after="0" w:line="360" w:lineRule="auto"/>
        <w:jc w:val="center"/>
        <w:rPr>
          <w:rFonts w:ascii="Times New Roman" w:eastAsia="Times New Roman" w:hAnsi="Times New Roman" w:cs="Times New Roman"/>
          <w:b/>
          <w:color w:val="222222"/>
          <w:sz w:val="24"/>
          <w:szCs w:val="24"/>
          <w:lang w:eastAsia="en-IN"/>
        </w:rPr>
      </w:pPr>
    </w:p>
    <w:p w14:paraId="18B371D6" w14:textId="5BECDA75" w:rsidR="00370A17" w:rsidRPr="00C455F5" w:rsidRDefault="008B0B9F" w:rsidP="00C455F5">
      <w:pPr>
        <w:shd w:val="clear" w:color="auto" w:fill="FFFFFF"/>
        <w:spacing w:after="0" w:line="36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4</w:t>
      </w:r>
      <w:r w:rsidR="00AB66C1">
        <w:rPr>
          <w:rFonts w:ascii="Times New Roman" w:eastAsia="Times New Roman" w:hAnsi="Times New Roman" w:cs="Times New Roman"/>
          <w:b/>
          <w:color w:val="222222"/>
          <w:sz w:val="24"/>
          <w:szCs w:val="24"/>
          <w:lang w:eastAsia="en-IN"/>
        </w:rPr>
        <w:t xml:space="preserve">. </w:t>
      </w:r>
      <w:r w:rsidR="00846E0A" w:rsidRPr="00C455F5">
        <w:rPr>
          <w:rFonts w:ascii="Times New Roman" w:eastAsia="Times New Roman" w:hAnsi="Times New Roman" w:cs="Times New Roman"/>
          <w:b/>
          <w:color w:val="222222"/>
          <w:sz w:val="24"/>
          <w:szCs w:val="24"/>
          <w:lang w:eastAsia="en-IN"/>
        </w:rPr>
        <w:t xml:space="preserve">Green Bonds </w:t>
      </w:r>
      <w:r w:rsidR="00AB66C1">
        <w:rPr>
          <w:rFonts w:ascii="Times New Roman" w:eastAsia="Times New Roman" w:hAnsi="Times New Roman" w:cs="Times New Roman"/>
          <w:b/>
          <w:color w:val="222222"/>
          <w:sz w:val="24"/>
          <w:szCs w:val="24"/>
          <w:lang w:eastAsia="en-IN"/>
        </w:rPr>
        <w:t xml:space="preserve">: Climate Change is more fiscal than monetary </w:t>
      </w:r>
    </w:p>
    <w:p w14:paraId="3E2E31B7" w14:textId="77777777" w:rsidR="00370A17" w:rsidRPr="00C455F5" w:rsidRDefault="00370A17" w:rsidP="00AB66C1">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0D361845" w14:textId="3F62D137" w:rsidR="00370A17" w:rsidRDefault="001A7551" w:rsidP="005D0E57">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Green bond announced in Union Budget 2022-23  reflects India’s commitment to decarbonisation against the backdrop of Glasgow deliberations. Green bond is an onshore rupee denominated sovereign bond.  This is a debt-instrument is to strengthen green infrastructure projects.  The sovereign green bonds will be the part of government’s gross market borrowing in 2022-23. </w:t>
      </w:r>
      <w:r w:rsidR="005D0E57">
        <w:rPr>
          <w:rFonts w:ascii="Times New Roman" w:eastAsia="Times New Roman" w:hAnsi="Times New Roman" w:cs="Times New Roman"/>
          <w:color w:val="222222"/>
          <w:sz w:val="24"/>
          <w:szCs w:val="24"/>
          <w:lang w:eastAsia="en-IN"/>
        </w:rPr>
        <w:t>Integrating</w:t>
      </w:r>
      <w:r w:rsidR="00370A17" w:rsidRPr="00C455F5">
        <w:rPr>
          <w:rFonts w:ascii="Times New Roman" w:eastAsia="Times New Roman" w:hAnsi="Times New Roman" w:cs="Times New Roman"/>
          <w:color w:val="222222"/>
          <w:sz w:val="24"/>
          <w:szCs w:val="24"/>
          <w:lang w:eastAsia="en-IN"/>
        </w:rPr>
        <w:t xml:space="preserve"> </w:t>
      </w:r>
      <w:r w:rsidR="005D0E57">
        <w:rPr>
          <w:rFonts w:ascii="Times New Roman" w:eastAsia="Times New Roman" w:hAnsi="Times New Roman" w:cs="Times New Roman"/>
          <w:color w:val="222222"/>
          <w:sz w:val="24"/>
          <w:szCs w:val="24"/>
          <w:lang w:eastAsia="en-IN"/>
        </w:rPr>
        <w:t xml:space="preserve">climate change criterion in fiscal policy in India has not begun with green bonds announcement this year. India was the first ever to integrate climate change criterion in the </w:t>
      </w:r>
      <w:r w:rsidR="00370A17" w:rsidRPr="00C455F5">
        <w:rPr>
          <w:rFonts w:ascii="Times New Roman" w:eastAsia="Times New Roman" w:hAnsi="Times New Roman" w:cs="Times New Roman"/>
          <w:color w:val="222222"/>
          <w:sz w:val="24"/>
          <w:szCs w:val="24"/>
          <w:lang w:eastAsia="en-IN"/>
        </w:rPr>
        <w:t>inter-governmental fiscal transfers</w:t>
      </w:r>
      <w:r w:rsidR="008D0474">
        <w:rPr>
          <w:rFonts w:ascii="Times New Roman" w:eastAsia="Times New Roman" w:hAnsi="Times New Roman" w:cs="Times New Roman"/>
          <w:color w:val="222222"/>
          <w:sz w:val="24"/>
          <w:szCs w:val="24"/>
          <w:lang w:eastAsia="en-IN"/>
        </w:rPr>
        <w:t xml:space="preserve"> in 2014</w:t>
      </w:r>
      <w:r w:rsidR="00370A17" w:rsidRPr="00C455F5">
        <w:rPr>
          <w:rFonts w:ascii="Times New Roman" w:eastAsia="Times New Roman" w:hAnsi="Times New Roman" w:cs="Times New Roman"/>
          <w:color w:val="222222"/>
          <w:sz w:val="24"/>
          <w:szCs w:val="24"/>
          <w:lang w:eastAsia="en-IN"/>
        </w:rPr>
        <w:t xml:space="preserve">. The </w:t>
      </w:r>
      <w:r w:rsidR="008D0474">
        <w:rPr>
          <w:rFonts w:ascii="Times New Roman" w:eastAsia="Times New Roman" w:hAnsi="Times New Roman" w:cs="Times New Roman"/>
          <w:color w:val="222222"/>
          <w:sz w:val="24"/>
          <w:szCs w:val="24"/>
          <w:lang w:eastAsia="en-IN"/>
        </w:rPr>
        <w:t xml:space="preserve">green bond is a policy strategy </w:t>
      </w:r>
      <w:r w:rsidR="00370A17" w:rsidRPr="00C455F5">
        <w:rPr>
          <w:rFonts w:ascii="Times New Roman" w:eastAsia="Times New Roman" w:hAnsi="Times New Roman" w:cs="Times New Roman"/>
          <w:color w:val="222222"/>
          <w:sz w:val="24"/>
          <w:szCs w:val="24"/>
          <w:lang w:eastAsia="en-IN"/>
        </w:rPr>
        <w:t xml:space="preserve">to </w:t>
      </w:r>
      <w:r w:rsidR="008D0474">
        <w:rPr>
          <w:rFonts w:ascii="Times New Roman" w:eastAsia="Times New Roman" w:hAnsi="Times New Roman" w:cs="Times New Roman"/>
          <w:color w:val="222222"/>
          <w:sz w:val="24"/>
          <w:szCs w:val="24"/>
          <w:lang w:eastAsia="en-IN"/>
        </w:rPr>
        <w:t xml:space="preserve">finance </w:t>
      </w:r>
      <w:r w:rsidR="00370A17" w:rsidRPr="00C455F5">
        <w:rPr>
          <w:rFonts w:ascii="Times New Roman" w:eastAsia="Times New Roman" w:hAnsi="Times New Roman" w:cs="Times New Roman"/>
          <w:color w:val="222222"/>
          <w:sz w:val="24"/>
          <w:szCs w:val="24"/>
          <w:lang w:eastAsia="en-IN"/>
        </w:rPr>
        <w:t xml:space="preserve">“just transition” towards a sustainable climate-resilient economy. The Fourteenth Finance Commission was the first ever in the world to integrate climate change criteria in the intergovernmental fiscal transfers. This was when the 14th FC integrated climate change as one of the criteria to determine the intergovernmental fiscal transfers to the 29 states. The Fifteenth FC has retained the criterion. </w:t>
      </w:r>
    </w:p>
    <w:p w14:paraId="480DA113" w14:textId="77777777" w:rsidR="00F422C1" w:rsidRPr="00C455F5" w:rsidRDefault="00F422C1" w:rsidP="005D0E57">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6D100491" w14:textId="40AF5917" w:rsidR="00F422C1" w:rsidRDefault="008D0474" w:rsidP="00F422C1">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sidRPr="00C455F5">
        <w:rPr>
          <w:rFonts w:ascii="Times New Roman" w:eastAsia="Times New Roman" w:hAnsi="Times New Roman" w:cs="Times New Roman"/>
          <w:color w:val="222222"/>
          <w:sz w:val="24"/>
          <w:szCs w:val="24"/>
          <w:lang w:eastAsia="en-IN"/>
        </w:rPr>
        <w:t xml:space="preserve">On the monetary policy front, </w:t>
      </w:r>
      <w:r w:rsidR="005007AE">
        <w:rPr>
          <w:rFonts w:ascii="Times New Roman" w:eastAsia="Times New Roman" w:hAnsi="Times New Roman" w:cs="Times New Roman"/>
          <w:color w:val="222222"/>
          <w:sz w:val="24"/>
          <w:szCs w:val="24"/>
          <w:lang w:eastAsia="en-IN"/>
        </w:rPr>
        <w:t xml:space="preserve">integrating climate change is a matter of debate. Economists have highlighted that monetary policy does not have sufficient toolkits to integrate climate change criterion. </w:t>
      </w:r>
      <w:r w:rsidR="00F422C1">
        <w:rPr>
          <w:rFonts w:ascii="Times New Roman" w:eastAsia="Times New Roman" w:hAnsi="Times New Roman" w:cs="Times New Roman"/>
          <w:color w:val="222222"/>
          <w:sz w:val="24"/>
          <w:szCs w:val="24"/>
          <w:lang w:eastAsia="en-IN"/>
        </w:rPr>
        <w:t xml:space="preserve">Hansen (2021) analysed the ways to examine the toolkits of </w:t>
      </w:r>
      <w:r w:rsidR="00F422C1" w:rsidRPr="00F422C1">
        <w:rPr>
          <w:rFonts w:ascii="Times New Roman" w:eastAsia="Times New Roman" w:hAnsi="Times New Roman" w:cs="Times New Roman"/>
          <w:color w:val="222222"/>
          <w:sz w:val="24"/>
          <w:szCs w:val="24"/>
          <w:lang w:eastAsia="en-IN"/>
        </w:rPr>
        <w:t xml:space="preserve"> central bank policy </w:t>
      </w:r>
      <w:r w:rsidR="00F422C1">
        <w:rPr>
          <w:rFonts w:ascii="Times New Roman" w:eastAsia="Times New Roman" w:hAnsi="Times New Roman" w:cs="Times New Roman"/>
          <w:color w:val="222222"/>
          <w:sz w:val="24"/>
          <w:szCs w:val="24"/>
          <w:lang w:eastAsia="en-IN"/>
        </w:rPr>
        <w:t>to combat climate change and warned that “</w:t>
      </w:r>
      <w:r w:rsidR="00F422C1" w:rsidRPr="00DF2F74">
        <w:rPr>
          <w:rFonts w:ascii="Times New Roman" w:eastAsia="Times New Roman" w:hAnsi="Times New Roman" w:cs="Times New Roman"/>
          <w:i/>
          <w:color w:val="222222"/>
          <w:sz w:val="24"/>
          <w:szCs w:val="24"/>
          <w:lang w:eastAsia="en-IN"/>
        </w:rPr>
        <w:t>hastily devised policy rules unsupported by empirically grounded quantitative model</w:t>
      </w:r>
      <w:r w:rsidR="00DF2F74" w:rsidRPr="00DF2F74">
        <w:rPr>
          <w:rFonts w:ascii="Times New Roman" w:eastAsia="Times New Roman" w:hAnsi="Times New Roman" w:cs="Times New Roman"/>
          <w:i/>
          <w:color w:val="222222"/>
          <w:sz w:val="24"/>
          <w:szCs w:val="24"/>
          <w:lang w:eastAsia="en-IN"/>
        </w:rPr>
        <w:t>l</w:t>
      </w:r>
      <w:r w:rsidR="00F422C1" w:rsidRPr="00DF2F74">
        <w:rPr>
          <w:rFonts w:ascii="Times New Roman" w:eastAsia="Times New Roman" w:hAnsi="Times New Roman" w:cs="Times New Roman"/>
          <w:i/>
          <w:color w:val="222222"/>
          <w:sz w:val="24"/>
          <w:szCs w:val="24"/>
          <w:lang w:eastAsia="en-IN"/>
        </w:rPr>
        <w:t>ing could backfire if or when climate policy targets are missed, harming reputations of central banks and weakening their ability to act in the future on a variety of fronts; and could compromise central bank independence in the longer run</w:t>
      </w:r>
      <w:r w:rsidR="00F422C1">
        <w:rPr>
          <w:rFonts w:ascii="Times New Roman" w:eastAsia="Times New Roman" w:hAnsi="Times New Roman" w:cs="Times New Roman"/>
          <w:color w:val="222222"/>
          <w:sz w:val="24"/>
          <w:szCs w:val="24"/>
          <w:lang w:eastAsia="en-IN"/>
        </w:rPr>
        <w:t>”. Hansen (2021) also highlighted that “</w:t>
      </w:r>
      <w:r w:rsidR="00F422C1" w:rsidRPr="00DF2F74">
        <w:rPr>
          <w:rFonts w:ascii="Times New Roman" w:eastAsia="Times New Roman" w:hAnsi="Times New Roman" w:cs="Times New Roman"/>
          <w:i/>
          <w:color w:val="222222"/>
          <w:sz w:val="24"/>
          <w:szCs w:val="24"/>
          <w:lang w:eastAsia="en-IN"/>
        </w:rPr>
        <w:t>climate change mitigation targets added to currently well-defined mandates may generate excessive expectations and unwarranted confidence in the abilities of central banks to address this important social and economic problem while diverting the attention away from fiscal policy</w:t>
      </w:r>
      <w:r w:rsidR="00F422C1">
        <w:rPr>
          <w:rFonts w:ascii="Times New Roman" w:eastAsia="Times New Roman" w:hAnsi="Times New Roman" w:cs="Times New Roman"/>
          <w:color w:val="222222"/>
          <w:sz w:val="24"/>
          <w:szCs w:val="24"/>
          <w:lang w:eastAsia="en-IN"/>
        </w:rPr>
        <w:t>”</w:t>
      </w:r>
      <w:r w:rsidR="00F422C1" w:rsidRPr="00F422C1">
        <w:rPr>
          <w:rFonts w:ascii="Times New Roman" w:eastAsia="Times New Roman" w:hAnsi="Times New Roman" w:cs="Times New Roman"/>
          <w:color w:val="222222"/>
          <w:sz w:val="24"/>
          <w:szCs w:val="24"/>
          <w:lang w:eastAsia="en-IN"/>
        </w:rPr>
        <w:t>.</w:t>
      </w:r>
    </w:p>
    <w:p w14:paraId="21F9A1A5" w14:textId="77777777" w:rsidR="00DF2F74" w:rsidRDefault="00DF2F74" w:rsidP="00F422C1">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2C50E8F1" w14:textId="00BB0C10" w:rsidR="008D0474" w:rsidRPr="00C455F5" w:rsidRDefault="00F422C1" w:rsidP="00B70D06">
      <w:pPr>
        <w:shd w:val="clear" w:color="auto" w:fill="FFFFFF"/>
        <w:spacing w:after="0"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Hansen (2021) explained the significance of </w:t>
      </w:r>
      <w:proofErr w:type="spellStart"/>
      <w:r>
        <w:rPr>
          <w:rFonts w:ascii="Times New Roman" w:eastAsia="Times New Roman" w:hAnsi="Times New Roman" w:cs="Times New Roman"/>
          <w:color w:val="222222"/>
          <w:sz w:val="24"/>
          <w:szCs w:val="24"/>
          <w:lang w:eastAsia="en-IN"/>
        </w:rPr>
        <w:t>m</w:t>
      </w:r>
      <w:r w:rsidRPr="00F422C1">
        <w:rPr>
          <w:rFonts w:ascii="Times New Roman" w:eastAsia="Times New Roman" w:hAnsi="Times New Roman" w:cs="Times New Roman"/>
          <w:color w:val="222222"/>
          <w:sz w:val="24"/>
          <w:szCs w:val="24"/>
          <w:lang w:eastAsia="en-IN"/>
        </w:rPr>
        <w:t>odeling</w:t>
      </w:r>
      <w:proofErr w:type="spellEnd"/>
      <w:r w:rsidRPr="00F422C1">
        <w:rPr>
          <w:rFonts w:ascii="Times New Roman" w:eastAsia="Times New Roman" w:hAnsi="Times New Roman" w:cs="Times New Roman"/>
          <w:color w:val="222222"/>
          <w:sz w:val="24"/>
          <w:szCs w:val="24"/>
          <w:lang w:eastAsia="en-IN"/>
        </w:rPr>
        <w:t xml:space="preserve"> systemic risk and climate change in support of rules-based policy for financial stability</w:t>
      </w:r>
      <w:r>
        <w:rPr>
          <w:rFonts w:ascii="Times New Roman" w:eastAsia="Times New Roman" w:hAnsi="Times New Roman" w:cs="Times New Roman"/>
          <w:color w:val="222222"/>
          <w:sz w:val="24"/>
          <w:szCs w:val="24"/>
          <w:lang w:eastAsia="en-IN"/>
        </w:rPr>
        <w:t>; and how to q</w:t>
      </w:r>
      <w:r w:rsidR="00B70D06">
        <w:rPr>
          <w:rFonts w:ascii="Times New Roman" w:eastAsia="Times New Roman" w:hAnsi="Times New Roman" w:cs="Times New Roman"/>
          <w:color w:val="222222"/>
          <w:sz w:val="24"/>
          <w:szCs w:val="24"/>
          <w:lang w:eastAsia="en-IN"/>
        </w:rPr>
        <w:t xml:space="preserve">uantify </w:t>
      </w:r>
      <w:r w:rsidRPr="00F422C1">
        <w:rPr>
          <w:rFonts w:ascii="Times New Roman" w:eastAsia="Times New Roman" w:hAnsi="Times New Roman" w:cs="Times New Roman"/>
          <w:color w:val="222222"/>
          <w:sz w:val="24"/>
          <w:szCs w:val="24"/>
          <w:lang w:eastAsia="en-IN"/>
        </w:rPr>
        <w:t>the exposure of financial institutions and businesses that receive their loans to uncertain climate change</w:t>
      </w:r>
      <w:r w:rsidR="00B70D06">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T</w:t>
      </w:r>
      <w:r w:rsidR="008D0474" w:rsidRPr="00C455F5">
        <w:rPr>
          <w:rFonts w:ascii="Times New Roman" w:eastAsia="Times New Roman" w:hAnsi="Times New Roman" w:cs="Times New Roman"/>
          <w:color w:val="222222"/>
          <w:sz w:val="24"/>
          <w:szCs w:val="24"/>
          <w:lang w:eastAsia="en-IN"/>
        </w:rPr>
        <w:t xml:space="preserve">he climate-focused stress test conducted by the Central Banks is an upcoming policy tool to address </w:t>
      </w:r>
      <w:r>
        <w:rPr>
          <w:rFonts w:ascii="Times New Roman" w:eastAsia="Times New Roman" w:hAnsi="Times New Roman" w:cs="Times New Roman"/>
          <w:color w:val="222222"/>
          <w:sz w:val="24"/>
          <w:szCs w:val="24"/>
          <w:lang w:eastAsia="en-IN"/>
        </w:rPr>
        <w:t xml:space="preserve">long term possibilities of climate change and slanting central bank portfolios towards </w:t>
      </w:r>
      <w:r>
        <w:rPr>
          <w:rFonts w:ascii="Times New Roman" w:eastAsia="Times New Roman" w:hAnsi="Times New Roman" w:cs="Times New Roman"/>
          <w:color w:val="222222"/>
          <w:sz w:val="24"/>
          <w:szCs w:val="24"/>
          <w:lang w:eastAsia="en-IN"/>
        </w:rPr>
        <w:lastRenderedPageBreak/>
        <w:t>green technologies</w:t>
      </w:r>
      <w:r w:rsidR="008D0474" w:rsidRPr="00C455F5">
        <w:rPr>
          <w:rFonts w:ascii="Times New Roman" w:eastAsia="Times New Roman" w:hAnsi="Times New Roman" w:cs="Times New Roman"/>
          <w:color w:val="222222"/>
          <w:sz w:val="24"/>
          <w:szCs w:val="24"/>
          <w:lang w:eastAsia="en-IN"/>
        </w:rPr>
        <w:t xml:space="preserve">. Such green stress test is to assess how the banking system is exposed to climate risks and uncertainties. Such test was first conducted by the Bank of England. Christine </w:t>
      </w:r>
      <w:proofErr w:type="spellStart"/>
      <w:r w:rsidR="008D0474" w:rsidRPr="00C455F5">
        <w:rPr>
          <w:rFonts w:ascii="Times New Roman" w:eastAsia="Times New Roman" w:hAnsi="Times New Roman" w:cs="Times New Roman"/>
          <w:color w:val="222222"/>
          <w:sz w:val="24"/>
          <w:szCs w:val="24"/>
          <w:lang w:eastAsia="en-IN"/>
        </w:rPr>
        <w:t>Lagarde</w:t>
      </w:r>
      <w:proofErr w:type="spellEnd"/>
      <w:r w:rsidR="008D0474" w:rsidRPr="00C455F5">
        <w:rPr>
          <w:rFonts w:ascii="Times New Roman" w:eastAsia="Times New Roman" w:hAnsi="Times New Roman" w:cs="Times New Roman"/>
          <w:color w:val="222222"/>
          <w:sz w:val="24"/>
          <w:szCs w:val="24"/>
          <w:lang w:eastAsia="en-IN"/>
        </w:rPr>
        <w:t xml:space="preserve"> of the European Central Bank (ECB) is very supportive of greening monetary policy and the ECB will conduct such tests of risk exposure of top banks in European Commission in 2022. </w:t>
      </w:r>
      <w:r>
        <w:rPr>
          <w:rFonts w:ascii="Times New Roman" w:eastAsia="Times New Roman" w:hAnsi="Times New Roman" w:cs="Times New Roman"/>
          <w:color w:val="222222"/>
          <w:sz w:val="24"/>
          <w:szCs w:val="24"/>
          <w:lang w:eastAsia="en-IN"/>
        </w:rPr>
        <w:t>The US</w:t>
      </w:r>
      <w:r w:rsidR="008D0474" w:rsidRPr="00C455F5">
        <w:rPr>
          <w:rFonts w:ascii="Times New Roman" w:eastAsia="Times New Roman" w:hAnsi="Times New Roman" w:cs="Times New Roman"/>
          <w:color w:val="222222"/>
          <w:sz w:val="24"/>
          <w:szCs w:val="24"/>
          <w:lang w:eastAsia="en-IN"/>
        </w:rPr>
        <w:t xml:space="preserve"> Fed</w:t>
      </w:r>
      <w:r>
        <w:rPr>
          <w:rFonts w:ascii="Times New Roman" w:eastAsia="Times New Roman" w:hAnsi="Times New Roman" w:cs="Times New Roman"/>
          <w:color w:val="222222"/>
          <w:sz w:val="24"/>
          <w:szCs w:val="24"/>
          <w:lang w:eastAsia="en-IN"/>
        </w:rPr>
        <w:t>eral Reserve</w:t>
      </w:r>
      <w:r w:rsidR="008D0474" w:rsidRPr="00C455F5">
        <w:rPr>
          <w:rFonts w:ascii="Times New Roman" w:eastAsia="Times New Roman" w:hAnsi="Times New Roman" w:cs="Times New Roman"/>
          <w:color w:val="222222"/>
          <w:sz w:val="24"/>
          <w:szCs w:val="24"/>
          <w:lang w:eastAsia="en-IN"/>
        </w:rPr>
        <w:t xml:space="preserve"> Chair Jay Powell </w:t>
      </w:r>
      <w:r>
        <w:rPr>
          <w:rFonts w:ascii="Times New Roman" w:eastAsia="Times New Roman" w:hAnsi="Times New Roman" w:cs="Times New Roman"/>
          <w:color w:val="222222"/>
          <w:sz w:val="24"/>
          <w:szCs w:val="24"/>
          <w:lang w:eastAsia="en-IN"/>
        </w:rPr>
        <w:t xml:space="preserve">also </w:t>
      </w:r>
      <w:r w:rsidR="008D0474" w:rsidRPr="00C455F5">
        <w:rPr>
          <w:rFonts w:ascii="Times New Roman" w:eastAsia="Times New Roman" w:hAnsi="Times New Roman" w:cs="Times New Roman"/>
          <w:color w:val="222222"/>
          <w:sz w:val="24"/>
          <w:szCs w:val="24"/>
          <w:lang w:eastAsia="en-IN"/>
        </w:rPr>
        <w:t xml:space="preserve">explained that the Fed has asked the lenders to articulate their risk exposure and how they can mitigate such risks. The Reserve Bank of India has published a chapter on greening monetary policy, however there is no further communication of toolkits. </w:t>
      </w:r>
    </w:p>
    <w:p w14:paraId="3705320E" w14:textId="77777777" w:rsidR="008D0474" w:rsidRPr="00C455F5" w:rsidRDefault="008D0474" w:rsidP="008D0474">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4660E2BE" w14:textId="51B202E6" w:rsidR="008D0474" w:rsidRPr="00C455F5" w:rsidRDefault="00B70D06" w:rsidP="00DF2F74">
      <w:pPr>
        <w:shd w:val="clear" w:color="auto" w:fill="FFFFFF"/>
        <w:spacing w:after="0" w:line="360" w:lineRule="auto"/>
        <w:jc w:val="both"/>
        <w:rPr>
          <w:rFonts w:ascii="Times New Roman" w:eastAsia="Times New Roman" w:hAnsi="Times New Roman" w:cs="Times New Roman"/>
          <w:color w:val="222222"/>
          <w:sz w:val="24"/>
          <w:szCs w:val="24"/>
          <w:lang w:eastAsia="en-IN"/>
        </w:rPr>
      </w:pPr>
      <w:proofErr w:type="spellStart"/>
      <w:r>
        <w:rPr>
          <w:rFonts w:ascii="Times New Roman" w:eastAsia="Times New Roman" w:hAnsi="Times New Roman" w:cs="Times New Roman"/>
          <w:color w:val="222222"/>
          <w:sz w:val="24"/>
          <w:szCs w:val="24"/>
          <w:lang w:eastAsia="en-IN"/>
        </w:rPr>
        <w:t>Raghuram</w:t>
      </w:r>
      <w:proofErr w:type="spellEnd"/>
      <w:r>
        <w:rPr>
          <w:rFonts w:ascii="Times New Roman" w:eastAsia="Times New Roman" w:hAnsi="Times New Roman" w:cs="Times New Roman"/>
          <w:color w:val="222222"/>
          <w:sz w:val="24"/>
          <w:szCs w:val="24"/>
          <w:lang w:eastAsia="en-IN"/>
        </w:rPr>
        <w:t xml:space="preserve"> </w:t>
      </w:r>
      <w:proofErr w:type="spellStart"/>
      <w:r>
        <w:rPr>
          <w:rFonts w:ascii="Times New Roman" w:eastAsia="Times New Roman" w:hAnsi="Times New Roman" w:cs="Times New Roman"/>
          <w:color w:val="222222"/>
          <w:sz w:val="24"/>
          <w:szCs w:val="24"/>
          <w:lang w:eastAsia="en-IN"/>
        </w:rPr>
        <w:t>Rajan</w:t>
      </w:r>
      <w:proofErr w:type="spellEnd"/>
      <w:r>
        <w:rPr>
          <w:rFonts w:ascii="Times New Roman" w:eastAsia="Times New Roman" w:hAnsi="Times New Roman" w:cs="Times New Roman"/>
          <w:color w:val="222222"/>
          <w:sz w:val="24"/>
          <w:szCs w:val="24"/>
          <w:lang w:eastAsia="en-IN"/>
        </w:rPr>
        <w:t xml:space="preserve">, former RBI Governor, </w:t>
      </w:r>
      <w:r w:rsidR="00F422C1">
        <w:rPr>
          <w:rFonts w:ascii="Times New Roman" w:eastAsia="Times New Roman" w:hAnsi="Times New Roman" w:cs="Times New Roman"/>
          <w:color w:val="222222"/>
          <w:sz w:val="24"/>
          <w:szCs w:val="24"/>
          <w:lang w:eastAsia="en-IN"/>
        </w:rPr>
        <w:t xml:space="preserve">mentioned </w:t>
      </w:r>
      <w:r w:rsidR="008D0474" w:rsidRPr="00C455F5">
        <w:rPr>
          <w:rFonts w:ascii="Times New Roman" w:eastAsia="Times New Roman" w:hAnsi="Times New Roman" w:cs="Times New Roman"/>
          <w:color w:val="222222"/>
          <w:sz w:val="24"/>
          <w:szCs w:val="24"/>
          <w:lang w:eastAsia="en-IN"/>
        </w:rPr>
        <w:t>that central banks should turn their focus to the financial stability of the green investments instead of asking whether to buy only green bonds, not brown bonds, which is primarily “fiscal” decisions. The broad consensus is that central banks should focus on price stability and financial stability. However, this can be refuted by the concern that climate change is a crucial determinant of financial stability and it is significant to integrate such climate related risks and uncertainties in financing investment decisions</w:t>
      </w:r>
      <w:r w:rsidR="00DF2F74">
        <w:rPr>
          <w:rFonts w:ascii="Times New Roman" w:eastAsia="Times New Roman" w:hAnsi="Times New Roman" w:cs="Times New Roman"/>
          <w:color w:val="222222"/>
          <w:sz w:val="24"/>
          <w:szCs w:val="24"/>
          <w:lang w:eastAsia="en-IN"/>
        </w:rPr>
        <w:t xml:space="preserve"> (Chakraborty, 2021a)</w:t>
      </w:r>
      <w:r w:rsidR="008D0474" w:rsidRPr="00C455F5">
        <w:rPr>
          <w:rFonts w:ascii="Times New Roman" w:eastAsia="Times New Roman" w:hAnsi="Times New Roman" w:cs="Times New Roman"/>
          <w:color w:val="222222"/>
          <w:sz w:val="24"/>
          <w:szCs w:val="24"/>
          <w:lang w:eastAsia="en-IN"/>
        </w:rPr>
        <w:t xml:space="preserve">. In general, economists are apprehensive about the efficacy of central banks in dichotomizing green bonds and brown bonds in their asset portfolio and moving towards a low carbon-emission enterprise. </w:t>
      </w:r>
    </w:p>
    <w:p w14:paraId="6F4DB9EC" w14:textId="77777777" w:rsidR="00370A17" w:rsidRPr="00C455F5" w:rsidRDefault="00370A17" w:rsidP="00C455F5">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29F1329D" w14:textId="544E859A" w:rsidR="00370A17" w:rsidRPr="00C455F5" w:rsidRDefault="00370A17" w:rsidP="00DF2F74">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r w:rsidRPr="00C455F5">
        <w:rPr>
          <w:rFonts w:ascii="Times New Roman" w:eastAsia="Times New Roman" w:hAnsi="Times New Roman" w:cs="Times New Roman"/>
          <w:color w:val="222222"/>
          <w:sz w:val="24"/>
          <w:szCs w:val="24"/>
          <w:lang w:eastAsia="en-IN"/>
        </w:rPr>
        <w:t xml:space="preserve">Within the environmental federalism frameworks, the “principle of subsidiarity” demands that the responsibility for providing a particular service should be assigned to the level of government closest to the people. </w:t>
      </w:r>
      <w:r w:rsidR="00DF2F74">
        <w:rPr>
          <w:rFonts w:ascii="Times New Roman" w:eastAsia="Times New Roman" w:hAnsi="Times New Roman" w:cs="Times New Roman"/>
          <w:color w:val="222222"/>
          <w:sz w:val="24"/>
          <w:szCs w:val="24"/>
          <w:lang w:eastAsia="en-IN"/>
        </w:rPr>
        <w:t>Chakraborty (2021a) argued that t</w:t>
      </w:r>
      <w:r w:rsidRPr="00C455F5">
        <w:rPr>
          <w:rFonts w:ascii="Times New Roman" w:eastAsia="Times New Roman" w:hAnsi="Times New Roman" w:cs="Times New Roman"/>
          <w:color w:val="222222"/>
          <w:sz w:val="24"/>
          <w:szCs w:val="24"/>
          <w:lang w:eastAsia="en-IN"/>
        </w:rPr>
        <w:t xml:space="preserve">his </w:t>
      </w:r>
      <w:r w:rsidR="00DF2F74">
        <w:rPr>
          <w:rFonts w:ascii="Times New Roman" w:eastAsia="Times New Roman" w:hAnsi="Times New Roman" w:cs="Times New Roman"/>
          <w:color w:val="222222"/>
          <w:sz w:val="24"/>
          <w:szCs w:val="24"/>
          <w:lang w:eastAsia="en-IN"/>
        </w:rPr>
        <w:t xml:space="preserve">unconditional </w:t>
      </w:r>
      <w:r w:rsidRPr="00C455F5">
        <w:rPr>
          <w:rFonts w:ascii="Times New Roman" w:eastAsia="Times New Roman" w:hAnsi="Times New Roman" w:cs="Times New Roman"/>
          <w:color w:val="222222"/>
          <w:sz w:val="24"/>
          <w:szCs w:val="24"/>
          <w:lang w:eastAsia="en-IN"/>
        </w:rPr>
        <w:t>tax transfer</w:t>
      </w:r>
      <w:r w:rsidR="00DF2F74">
        <w:rPr>
          <w:rFonts w:ascii="Times New Roman" w:eastAsia="Times New Roman" w:hAnsi="Times New Roman" w:cs="Times New Roman"/>
          <w:color w:val="222222"/>
          <w:sz w:val="24"/>
          <w:szCs w:val="24"/>
          <w:lang w:eastAsia="en-IN"/>
        </w:rPr>
        <w:t xml:space="preserve"> through Finance Commissions</w:t>
      </w:r>
      <w:r w:rsidRPr="00C455F5">
        <w:rPr>
          <w:rFonts w:ascii="Times New Roman" w:eastAsia="Times New Roman" w:hAnsi="Times New Roman" w:cs="Times New Roman"/>
          <w:color w:val="222222"/>
          <w:sz w:val="24"/>
          <w:szCs w:val="24"/>
          <w:lang w:eastAsia="en-IN"/>
        </w:rPr>
        <w:t xml:space="preserve"> is to compensate for the cost disabilities of the subnational governments for revenue foregone and other opportunity costs of protected areas in their path towards economic growth. However, ecological fiscal transfer is only one among many fiscal policy tools to ensure the climate change commitments. In addition to these fiscal transfers, the long term Public Financial Management (PFM) tool like climate responsive budgeting at national and subnational levels is crucial to address climate change commitments. This PFM tool links national climate action plans to budgetary commitments. The roadmap and the analytical matrices to prepare climate responsive budgeting can also eliminate the “fragmented approach” by line ministries towards adaptation and mitigation in India</w:t>
      </w:r>
      <w:r w:rsidR="00DF2F74">
        <w:rPr>
          <w:rFonts w:ascii="Times New Roman" w:eastAsia="Times New Roman" w:hAnsi="Times New Roman" w:cs="Times New Roman"/>
          <w:color w:val="222222"/>
          <w:sz w:val="24"/>
          <w:szCs w:val="24"/>
          <w:lang w:eastAsia="en-IN"/>
        </w:rPr>
        <w:t xml:space="preserve"> (Chakraborty, 2021a)</w:t>
      </w:r>
      <w:r w:rsidRPr="00C455F5">
        <w:rPr>
          <w:rFonts w:ascii="Times New Roman" w:eastAsia="Times New Roman" w:hAnsi="Times New Roman" w:cs="Times New Roman"/>
          <w:color w:val="222222"/>
          <w:sz w:val="24"/>
          <w:szCs w:val="24"/>
          <w:lang w:eastAsia="en-IN"/>
        </w:rPr>
        <w:t xml:space="preserve">. However, differential tax rates can lead to “race to the bottom” to attract mobile capital and create 'pollution havens” through trading lower environmental quality for </w:t>
      </w:r>
      <w:r w:rsidRPr="00C455F5">
        <w:rPr>
          <w:rFonts w:ascii="Times New Roman" w:eastAsia="Times New Roman" w:hAnsi="Times New Roman" w:cs="Times New Roman"/>
          <w:color w:val="222222"/>
          <w:sz w:val="24"/>
          <w:szCs w:val="24"/>
          <w:lang w:eastAsia="en-IN"/>
        </w:rPr>
        <w:lastRenderedPageBreak/>
        <w:t xml:space="preserve">more mobile capital. </w:t>
      </w:r>
      <w:r w:rsidR="00DF2F74">
        <w:rPr>
          <w:rFonts w:ascii="Times New Roman" w:eastAsia="Times New Roman" w:hAnsi="Times New Roman" w:cs="Times New Roman"/>
          <w:color w:val="222222"/>
          <w:sz w:val="24"/>
          <w:szCs w:val="24"/>
          <w:lang w:eastAsia="en-IN"/>
        </w:rPr>
        <w:t xml:space="preserve"> The recent initiative of green bonds is a leading example of thematic bond financing, by earmarking the sovereign bonds to a specific objective. This might open an earmarking of bond financing towards human development </w:t>
      </w:r>
      <w:r w:rsidR="00547546">
        <w:rPr>
          <w:rFonts w:ascii="Times New Roman" w:eastAsia="Times New Roman" w:hAnsi="Times New Roman" w:cs="Times New Roman"/>
          <w:color w:val="222222"/>
          <w:sz w:val="24"/>
          <w:szCs w:val="24"/>
          <w:lang w:eastAsia="en-IN"/>
        </w:rPr>
        <w:t>a</w:t>
      </w:r>
      <w:r w:rsidR="00DF2F74">
        <w:rPr>
          <w:rFonts w:ascii="Times New Roman" w:eastAsia="Times New Roman" w:hAnsi="Times New Roman" w:cs="Times New Roman"/>
          <w:color w:val="222222"/>
          <w:sz w:val="24"/>
          <w:szCs w:val="24"/>
          <w:lang w:eastAsia="en-IN"/>
        </w:rPr>
        <w:t xml:space="preserve">s well in future , in addition to climate financing. </w:t>
      </w:r>
    </w:p>
    <w:p w14:paraId="30053437" w14:textId="77777777" w:rsidR="00C42353" w:rsidRPr="00C455F5" w:rsidRDefault="00C42353" w:rsidP="00C455F5">
      <w:pPr>
        <w:shd w:val="clear" w:color="auto" w:fill="FFFFFF"/>
        <w:spacing w:after="0" w:line="360" w:lineRule="auto"/>
        <w:ind w:firstLine="720"/>
        <w:jc w:val="both"/>
        <w:rPr>
          <w:rFonts w:ascii="Times New Roman" w:eastAsia="Times New Roman" w:hAnsi="Times New Roman" w:cs="Times New Roman"/>
          <w:color w:val="222222"/>
          <w:sz w:val="24"/>
          <w:szCs w:val="24"/>
          <w:lang w:eastAsia="en-IN"/>
        </w:rPr>
      </w:pPr>
    </w:p>
    <w:p w14:paraId="252F7140" w14:textId="590E6DA7" w:rsidR="00370A17" w:rsidRPr="00DF2F74" w:rsidRDefault="00C42353" w:rsidP="00DF2F74">
      <w:pPr>
        <w:pStyle w:val="ListParagraph"/>
        <w:numPr>
          <w:ilvl w:val="0"/>
          <w:numId w:val="5"/>
        </w:numPr>
        <w:shd w:val="clear" w:color="auto" w:fill="FFFFFF"/>
        <w:spacing w:after="0" w:line="360" w:lineRule="auto"/>
        <w:jc w:val="both"/>
        <w:rPr>
          <w:rFonts w:ascii="Times New Roman" w:eastAsia="Times New Roman" w:hAnsi="Times New Roman" w:cs="Times New Roman"/>
          <w:b/>
          <w:color w:val="222222"/>
          <w:sz w:val="24"/>
          <w:szCs w:val="24"/>
          <w:lang w:eastAsia="en-IN"/>
        </w:rPr>
      </w:pPr>
      <w:r w:rsidRPr="00DF2F74">
        <w:rPr>
          <w:rFonts w:ascii="Times New Roman" w:eastAsia="Times New Roman" w:hAnsi="Times New Roman" w:cs="Times New Roman"/>
          <w:b/>
          <w:color w:val="222222"/>
          <w:sz w:val="24"/>
          <w:szCs w:val="24"/>
          <w:lang w:eastAsia="en-IN"/>
        </w:rPr>
        <w:t xml:space="preserve">Conclusion </w:t>
      </w:r>
    </w:p>
    <w:p w14:paraId="3C02393B" w14:textId="77777777" w:rsidR="00C42353" w:rsidRPr="00C455F5" w:rsidRDefault="00C42353" w:rsidP="00C455F5">
      <w:pPr>
        <w:pStyle w:val="ListParagraph"/>
        <w:shd w:val="clear" w:color="auto" w:fill="FFFFFF"/>
        <w:spacing w:after="0" w:line="360" w:lineRule="auto"/>
        <w:jc w:val="both"/>
        <w:rPr>
          <w:rFonts w:ascii="Times New Roman" w:eastAsia="Times New Roman" w:hAnsi="Times New Roman" w:cs="Times New Roman"/>
          <w:b/>
          <w:color w:val="222222"/>
          <w:sz w:val="24"/>
          <w:szCs w:val="24"/>
          <w:lang w:eastAsia="en-IN"/>
        </w:rPr>
      </w:pPr>
    </w:p>
    <w:p w14:paraId="5157F24F" w14:textId="313167DA" w:rsidR="00EC2F15" w:rsidRPr="00EC2F15" w:rsidRDefault="00EC2F15" w:rsidP="00EC2F15">
      <w:pPr>
        <w:shd w:val="clear" w:color="auto" w:fill="FFFFFF"/>
        <w:spacing w:after="0"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Given the</w:t>
      </w:r>
      <w:r w:rsidRPr="00EC2F15">
        <w:rPr>
          <w:rFonts w:ascii="Times New Roman" w:eastAsia="Times New Roman" w:hAnsi="Times New Roman" w:cs="Times New Roman"/>
          <w:color w:val="222222"/>
          <w:sz w:val="24"/>
          <w:szCs w:val="24"/>
          <w:lang w:eastAsia="en-IN"/>
        </w:rPr>
        <w:t xml:space="preserve"> constraints on monetary policy stance</w:t>
      </w:r>
      <w:r>
        <w:rPr>
          <w:rFonts w:ascii="Times New Roman" w:eastAsia="Times New Roman" w:hAnsi="Times New Roman" w:cs="Times New Roman"/>
          <w:color w:val="222222"/>
          <w:sz w:val="24"/>
          <w:szCs w:val="24"/>
          <w:lang w:eastAsia="en-IN"/>
        </w:rPr>
        <w:t xml:space="preserve"> to exogenous supply shocks which are growth-dampening</w:t>
      </w:r>
      <w:r w:rsidRPr="00EC2F15">
        <w:rPr>
          <w:rFonts w:ascii="Times New Roman" w:eastAsia="Times New Roman" w:hAnsi="Times New Roman" w:cs="Times New Roman"/>
          <w:color w:val="222222"/>
          <w:sz w:val="24"/>
          <w:szCs w:val="24"/>
          <w:lang w:eastAsia="en-IN"/>
        </w:rPr>
        <w:t>, rely</w:t>
      </w:r>
      <w:r>
        <w:rPr>
          <w:rFonts w:ascii="Times New Roman" w:eastAsia="Times New Roman" w:hAnsi="Times New Roman" w:cs="Times New Roman"/>
          <w:color w:val="222222"/>
          <w:sz w:val="24"/>
          <w:szCs w:val="24"/>
          <w:lang w:eastAsia="en-IN"/>
        </w:rPr>
        <w:t>ing</w:t>
      </w:r>
      <w:r w:rsidRPr="00EC2F15">
        <w:rPr>
          <w:rFonts w:ascii="Times New Roman" w:eastAsia="Times New Roman" w:hAnsi="Times New Roman" w:cs="Times New Roman"/>
          <w:color w:val="222222"/>
          <w:sz w:val="24"/>
          <w:szCs w:val="24"/>
          <w:lang w:eastAsia="en-IN"/>
        </w:rPr>
        <w:t xml:space="preserve"> on “fiscal dominance” </w:t>
      </w:r>
      <w:r>
        <w:rPr>
          <w:rFonts w:ascii="Times New Roman" w:eastAsia="Times New Roman" w:hAnsi="Times New Roman" w:cs="Times New Roman"/>
          <w:color w:val="222222"/>
          <w:sz w:val="24"/>
          <w:szCs w:val="24"/>
          <w:lang w:eastAsia="en-IN"/>
        </w:rPr>
        <w:t>is crucial for sustainable economic recovery.</w:t>
      </w:r>
      <w:r w:rsidRPr="00EC2F15">
        <w:rPr>
          <w:rFonts w:ascii="Times New Roman" w:eastAsia="Times New Roman" w:hAnsi="Times New Roman" w:cs="Times New Roman"/>
          <w:color w:val="222222"/>
          <w:sz w:val="24"/>
          <w:szCs w:val="24"/>
          <w:lang w:eastAsia="en-IN"/>
        </w:rPr>
        <w:t xml:space="preserve"> Globally, </w:t>
      </w:r>
      <w:r>
        <w:rPr>
          <w:rFonts w:ascii="Times New Roman" w:eastAsia="Times New Roman" w:hAnsi="Times New Roman" w:cs="Times New Roman"/>
          <w:color w:val="222222"/>
          <w:sz w:val="24"/>
          <w:szCs w:val="24"/>
          <w:lang w:eastAsia="en-IN"/>
        </w:rPr>
        <w:t>an accommodative fiscal stance has been maintained with</w:t>
      </w:r>
      <w:r w:rsidRPr="00EC2F15">
        <w:rPr>
          <w:rFonts w:ascii="Times New Roman" w:eastAsia="Times New Roman" w:hAnsi="Times New Roman" w:cs="Times New Roman"/>
          <w:color w:val="222222"/>
          <w:sz w:val="24"/>
          <w:szCs w:val="24"/>
          <w:lang w:eastAsia="en-IN"/>
        </w:rPr>
        <w:t xml:space="preserve"> high fiscal defic</w:t>
      </w:r>
      <w:r>
        <w:rPr>
          <w:rFonts w:ascii="Times New Roman" w:eastAsia="Times New Roman" w:hAnsi="Times New Roman" w:cs="Times New Roman"/>
          <w:color w:val="222222"/>
          <w:sz w:val="24"/>
          <w:szCs w:val="24"/>
          <w:lang w:eastAsia="en-IN"/>
        </w:rPr>
        <w:t xml:space="preserve">its to support growth recovery. In India, the Union Budget 2022-23 has emphasised on “crowding-in” </w:t>
      </w:r>
      <w:r w:rsidR="00E257DF">
        <w:rPr>
          <w:rFonts w:ascii="Times New Roman" w:eastAsia="Times New Roman" w:hAnsi="Times New Roman" w:cs="Times New Roman"/>
          <w:color w:val="222222"/>
          <w:sz w:val="24"/>
          <w:szCs w:val="24"/>
          <w:lang w:eastAsia="en-IN"/>
        </w:rPr>
        <w:t xml:space="preserve">effects of public infrastructure investment on </w:t>
      </w:r>
      <w:r>
        <w:rPr>
          <w:rFonts w:ascii="Times New Roman" w:eastAsia="Times New Roman" w:hAnsi="Times New Roman" w:cs="Times New Roman"/>
          <w:color w:val="222222"/>
          <w:sz w:val="24"/>
          <w:szCs w:val="24"/>
          <w:lang w:eastAsia="en-IN"/>
        </w:rPr>
        <w:t xml:space="preserve">private investment </w:t>
      </w:r>
      <w:r w:rsidR="00E257DF">
        <w:rPr>
          <w:rFonts w:ascii="Times New Roman" w:eastAsia="Times New Roman" w:hAnsi="Times New Roman" w:cs="Times New Roman"/>
          <w:color w:val="222222"/>
          <w:sz w:val="24"/>
          <w:szCs w:val="24"/>
          <w:lang w:eastAsia="en-IN"/>
        </w:rPr>
        <w:t xml:space="preserve">. </w:t>
      </w:r>
      <w:r w:rsidRPr="00EC2F15">
        <w:rPr>
          <w:rFonts w:ascii="Times New Roman" w:eastAsia="Times New Roman" w:hAnsi="Times New Roman" w:cs="Times New Roman"/>
          <w:color w:val="222222"/>
          <w:sz w:val="24"/>
          <w:szCs w:val="24"/>
          <w:lang w:eastAsia="en-IN"/>
        </w:rPr>
        <w:t xml:space="preserve">The efficacy of </w:t>
      </w:r>
      <w:r w:rsidR="00D23D6E">
        <w:rPr>
          <w:rFonts w:ascii="Times New Roman" w:eastAsia="Times New Roman" w:hAnsi="Times New Roman" w:cs="Times New Roman"/>
          <w:color w:val="222222"/>
          <w:sz w:val="24"/>
          <w:szCs w:val="24"/>
          <w:lang w:eastAsia="en-IN"/>
        </w:rPr>
        <w:t xml:space="preserve">rules-based macroeconomic framework – both monetary and fiscal – needs to be recalibrated to support economic growth, as fiscal conservatism can adversely affect growth process and accentuate macroeconomic uncertainties. The credit related stimulus has limited multiplier effects and also lead to financial instability, if the liquidity infusion is not adequately followed by the credit growth in the economy. </w:t>
      </w:r>
      <w:r w:rsidRPr="00EC2F15">
        <w:rPr>
          <w:rFonts w:ascii="Times New Roman" w:eastAsia="Times New Roman" w:hAnsi="Times New Roman" w:cs="Times New Roman"/>
          <w:color w:val="222222"/>
          <w:sz w:val="24"/>
          <w:szCs w:val="24"/>
          <w:lang w:eastAsia="en-IN"/>
        </w:rPr>
        <w:t xml:space="preserve">Climate change risks </w:t>
      </w:r>
      <w:r w:rsidR="00D23D6E">
        <w:rPr>
          <w:rFonts w:ascii="Times New Roman" w:eastAsia="Times New Roman" w:hAnsi="Times New Roman" w:cs="Times New Roman"/>
          <w:color w:val="222222"/>
          <w:sz w:val="24"/>
          <w:szCs w:val="24"/>
          <w:lang w:eastAsia="en-IN"/>
        </w:rPr>
        <w:t>and uncertainties affect  sustainable growth process and there is an increasing recognition to integrate climate change commitments in fiscal and monetary policies</w:t>
      </w:r>
      <w:r w:rsidRPr="00EC2F15">
        <w:rPr>
          <w:rFonts w:ascii="Times New Roman" w:eastAsia="Times New Roman" w:hAnsi="Times New Roman" w:cs="Times New Roman"/>
          <w:color w:val="222222"/>
          <w:sz w:val="24"/>
          <w:szCs w:val="24"/>
          <w:lang w:eastAsia="en-IN"/>
        </w:rPr>
        <w:t xml:space="preserve">. </w:t>
      </w:r>
      <w:r w:rsidR="00D23D6E">
        <w:rPr>
          <w:rFonts w:ascii="Times New Roman" w:eastAsia="Times New Roman" w:hAnsi="Times New Roman" w:cs="Times New Roman"/>
          <w:color w:val="222222"/>
          <w:sz w:val="24"/>
          <w:szCs w:val="24"/>
          <w:lang w:eastAsia="en-IN"/>
        </w:rPr>
        <w:t>However, the monetary policy toolkit is often viewed as inadequate to deal with climate change commitments</w:t>
      </w:r>
      <w:r w:rsidRPr="00EC2F15">
        <w:rPr>
          <w:rFonts w:ascii="Times New Roman" w:eastAsia="Times New Roman" w:hAnsi="Times New Roman" w:cs="Times New Roman"/>
          <w:color w:val="222222"/>
          <w:sz w:val="24"/>
          <w:szCs w:val="24"/>
          <w:lang w:eastAsia="en-IN"/>
        </w:rPr>
        <w:t>. There is a broad consensus among economists that fiscal policy is capable to deal with the clima</w:t>
      </w:r>
      <w:r w:rsidR="00D23D6E">
        <w:rPr>
          <w:rFonts w:ascii="Times New Roman" w:eastAsia="Times New Roman" w:hAnsi="Times New Roman" w:cs="Times New Roman"/>
          <w:color w:val="222222"/>
          <w:sz w:val="24"/>
          <w:szCs w:val="24"/>
          <w:lang w:eastAsia="en-IN"/>
        </w:rPr>
        <w:t>te crisis, and national budget is</w:t>
      </w:r>
      <w:r w:rsidRPr="00EC2F15">
        <w:rPr>
          <w:rFonts w:ascii="Times New Roman" w:eastAsia="Times New Roman" w:hAnsi="Times New Roman" w:cs="Times New Roman"/>
          <w:color w:val="222222"/>
          <w:sz w:val="24"/>
          <w:szCs w:val="24"/>
          <w:lang w:eastAsia="en-IN"/>
        </w:rPr>
        <w:t xml:space="preserve"> an important tool </w:t>
      </w:r>
      <w:r w:rsidR="00D23D6E">
        <w:rPr>
          <w:rFonts w:ascii="Times New Roman" w:eastAsia="Times New Roman" w:hAnsi="Times New Roman" w:cs="Times New Roman"/>
          <w:color w:val="222222"/>
          <w:sz w:val="24"/>
          <w:szCs w:val="24"/>
          <w:lang w:eastAsia="en-IN"/>
        </w:rPr>
        <w:t>for National Adaptation Communication</w:t>
      </w:r>
      <w:r w:rsidRPr="00EC2F15">
        <w:rPr>
          <w:rFonts w:ascii="Times New Roman" w:eastAsia="Times New Roman" w:hAnsi="Times New Roman" w:cs="Times New Roman"/>
          <w:color w:val="222222"/>
          <w:sz w:val="24"/>
          <w:szCs w:val="24"/>
          <w:lang w:eastAsia="en-IN"/>
        </w:rPr>
        <w:t xml:space="preserve">. </w:t>
      </w:r>
      <w:r w:rsidR="00D23D6E">
        <w:rPr>
          <w:rFonts w:ascii="Times New Roman" w:eastAsia="Times New Roman" w:hAnsi="Times New Roman" w:cs="Times New Roman"/>
          <w:color w:val="222222"/>
          <w:sz w:val="24"/>
          <w:szCs w:val="24"/>
          <w:lang w:eastAsia="en-IN"/>
        </w:rPr>
        <w:t xml:space="preserve">The financing of climate change through sovereign rupee denominated green bonds – earmarked within the gross market borrowing programme for green infrastructure – is a right step towards making fiscal policies green in future. </w:t>
      </w:r>
    </w:p>
    <w:p w14:paraId="5EE8963B" w14:textId="77777777" w:rsidR="00E53965" w:rsidRPr="00C455F5" w:rsidRDefault="00E53965" w:rsidP="00C455F5">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0D2D1949" w14:textId="77777777" w:rsidR="00370A17" w:rsidRPr="00846E0A" w:rsidRDefault="00370A17" w:rsidP="00E53965">
      <w:pPr>
        <w:shd w:val="clear" w:color="auto" w:fill="FFFFFF"/>
        <w:spacing w:after="0" w:line="240" w:lineRule="auto"/>
        <w:jc w:val="both"/>
        <w:rPr>
          <w:rFonts w:ascii="Times New Roman" w:eastAsia="Times New Roman" w:hAnsi="Times New Roman" w:cs="Times New Roman"/>
          <w:color w:val="222222"/>
          <w:lang w:eastAsia="en-IN"/>
        </w:rPr>
      </w:pPr>
    </w:p>
    <w:p w14:paraId="162FC549" w14:textId="77777777" w:rsidR="00370A17" w:rsidRDefault="00370A17" w:rsidP="00E53965">
      <w:pPr>
        <w:shd w:val="clear" w:color="auto" w:fill="FFFFFF"/>
        <w:spacing w:after="0" w:line="240" w:lineRule="auto"/>
        <w:jc w:val="both"/>
        <w:rPr>
          <w:rFonts w:ascii="Arial" w:eastAsia="Times New Roman" w:hAnsi="Arial" w:cs="Arial"/>
          <w:color w:val="222222"/>
          <w:lang w:eastAsia="en-IN"/>
        </w:rPr>
      </w:pPr>
    </w:p>
    <w:p w14:paraId="41B04B19" w14:textId="77777777" w:rsidR="00370A17" w:rsidRDefault="00370A17" w:rsidP="00E53965">
      <w:pPr>
        <w:shd w:val="clear" w:color="auto" w:fill="FFFFFF"/>
        <w:spacing w:after="0" w:line="240" w:lineRule="auto"/>
        <w:jc w:val="both"/>
        <w:rPr>
          <w:rFonts w:ascii="Arial" w:eastAsia="Times New Roman" w:hAnsi="Arial" w:cs="Arial"/>
          <w:color w:val="222222"/>
          <w:lang w:eastAsia="en-IN"/>
        </w:rPr>
      </w:pPr>
    </w:p>
    <w:p w14:paraId="1BD84395" w14:textId="77777777" w:rsidR="00CF40ED" w:rsidRPr="00846E0A" w:rsidRDefault="00CF40ED" w:rsidP="00E53965">
      <w:pPr>
        <w:shd w:val="clear" w:color="auto" w:fill="FFFFFF"/>
        <w:spacing w:after="0" w:line="240" w:lineRule="auto"/>
        <w:jc w:val="both"/>
        <w:rPr>
          <w:rFonts w:ascii="Times New Roman" w:eastAsia="Times New Roman" w:hAnsi="Times New Roman" w:cs="Times New Roman"/>
          <w:color w:val="222222"/>
          <w:lang w:eastAsia="en-IN"/>
        </w:rPr>
      </w:pPr>
    </w:p>
    <w:p w14:paraId="76DC0DD7" w14:textId="77777777" w:rsidR="00E53965" w:rsidRDefault="00E53965" w:rsidP="00E53965">
      <w:pPr>
        <w:shd w:val="clear" w:color="auto" w:fill="FFFFFF"/>
        <w:spacing w:after="0" w:line="240" w:lineRule="auto"/>
        <w:jc w:val="both"/>
        <w:rPr>
          <w:rFonts w:ascii="Times New Roman" w:eastAsia="Times New Roman" w:hAnsi="Times New Roman" w:cs="Times New Roman"/>
          <w:lang w:eastAsia="en-IN"/>
        </w:rPr>
      </w:pPr>
    </w:p>
    <w:p w14:paraId="764B95F1" w14:textId="77777777" w:rsidR="005A1CE3" w:rsidRDefault="005A1CE3" w:rsidP="00E53965">
      <w:pPr>
        <w:shd w:val="clear" w:color="auto" w:fill="FFFFFF"/>
        <w:spacing w:after="0" w:line="240" w:lineRule="auto"/>
        <w:jc w:val="both"/>
        <w:rPr>
          <w:rFonts w:ascii="Times New Roman" w:eastAsia="Times New Roman" w:hAnsi="Times New Roman" w:cs="Times New Roman"/>
          <w:lang w:eastAsia="en-IN"/>
        </w:rPr>
      </w:pPr>
    </w:p>
    <w:p w14:paraId="4CC43B62" w14:textId="77777777" w:rsidR="005A1CE3" w:rsidRDefault="005A1CE3" w:rsidP="00E53965">
      <w:pPr>
        <w:shd w:val="clear" w:color="auto" w:fill="FFFFFF"/>
        <w:spacing w:after="0" w:line="240" w:lineRule="auto"/>
        <w:jc w:val="both"/>
        <w:rPr>
          <w:rFonts w:ascii="Times New Roman" w:eastAsia="Times New Roman" w:hAnsi="Times New Roman" w:cs="Times New Roman"/>
          <w:lang w:eastAsia="en-IN"/>
        </w:rPr>
      </w:pPr>
    </w:p>
    <w:p w14:paraId="1F26E9C2" w14:textId="77777777" w:rsidR="005A1CE3" w:rsidRDefault="005A1CE3" w:rsidP="00E53965">
      <w:pPr>
        <w:shd w:val="clear" w:color="auto" w:fill="FFFFFF"/>
        <w:spacing w:after="0" w:line="240" w:lineRule="auto"/>
        <w:jc w:val="both"/>
        <w:rPr>
          <w:rFonts w:ascii="Arial" w:eastAsia="Times New Roman" w:hAnsi="Arial" w:cs="Arial"/>
          <w:color w:val="222222"/>
          <w:lang w:eastAsia="en-IN"/>
        </w:rPr>
      </w:pPr>
    </w:p>
    <w:p w14:paraId="517309AD" w14:textId="77777777" w:rsidR="00713B0B" w:rsidRDefault="00713B0B" w:rsidP="005B2B6C">
      <w:pPr>
        <w:shd w:val="clear" w:color="auto" w:fill="FFFFFF"/>
        <w:spacing w:after="0" w:line="240" w:lineRule="auto"/>
        <w:rPr>
          <w:rFonts w:ascii="Arial" w:eastAsia="Times New Roman" w:hAnsi="Arial" w:cs="Arial"/>
          <w:b/>
          <w:color w:val="222222"/>
          <w:sz w:val="28"/>
          <w:szCs w:val="28"/>
          <w:lang w:eastAsia="en-IN"/>
        </w:rPr>
      </w:pPr>
    </w:p>
    <w:p w14:paraId="45470FCF" w14:textId="77777777" w:rsidR="00713B0B" w:rsidRDefault="00713B0B" w:rsidP="005B2B6C">
      <w:pPr>
        <w:shd w:val="clear" w:color="auto" w:fill="FFFFFF"/>
        <w:spacing w:after="0" w:line="240" w:lineRule="auto"/>
        <w:rPr>
          <w:rFonts w:ascii="Arial" w:eastAsia="Times New Roman" w:hAnsi="Arial" w:cs="Arial"/>
          <w:b/>
          <w:color w:val="222222"/>
          <w:sz w:val="28"/>
          <w:szCs w:val="28"/>
          <w:lang w:eastAsia="en-IN"/>
        </w:rPr>
      </w:pPr>
    </w:p>
    <w:p w14:paraId="69D24C80" w14:textId="77777777" w:rsidR="00E53965" w:rsidRPr="007103F9" w:rsidRDefault="00E53965" w:rsidP="005B2B6C">
      <w:pPr>
        <w:shd w:val="clear" w:color="auto" w:fill="FFFFFF"/>
        <w:spacing w:after="0" w:line="240" w:lineRule="auto"/>
        <w:rPr>
          <w:rFonts w:ascii="Times New Roman" w:eastAsia="Times New Roman" w:hAnsi="Times New Roman" w:cs="Times New Roman"/>
          <w:b/>
          <w:color w:val="222222"/>
          <w:sz w:val="24"/>
          <w:szCs w:val="24"/>
          <w:lang w:eastAsia="en-IN"/>
        </w:rPr>
      </w:pPr>
      <w:r w:rsidRPr="007103F9">
        <w:rPr>
          <w:rFonts w:ascii="Times New Roman" w:eastAsia="Times New Roman" w:hAnsi="Times New Roman" w:cs="Times New Roman"/>
          <w:b/>
          <w:color w:val="222222"/>
          <w:sz w:val="24"/>
          <w:szCs w:val="24"/>
          <w:lang w:eastAsia="en-IN"/>
        </w:rPr>
        <w:lastRenderedPageBreak/>
        <w:t>References</w:t>
      </w:r>
    </w:p>
    <w:p w14:paraId="43CDA7A3" w14:textId="77777777" w:rsidR="00E53965" w:rsidRPr="007103F9" w:rsidRDefault="00E53965" w:rsidP="00E53965">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5E8FF94" w14:textId="77777777" w:rsidR="001831B5" w:rsidRPr="007103F9" w:rsidRDefault="001831B5" w:rsidP="00713B0B">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Blanchard, Olivier, (2019).  “Public Debt and Low Interest Rates,” American Economic Review, Vol 109, No 4, pp 1197–1229.</w:t>
      </w:r>
    </w:p>
    <w:p w14:paraId="56A1807E"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Chakraborty, Lekha (2016). Fiscal Consolidation, Budget Deficits and the Macroeconomy, New Delhi: Sage Publications.</w:t>
      </w:r>
    </w:p>
    <w:p w14:paraId="0CCB56AA" w14:textId="77777777" w:rsidR="001831B5" w:rsidRPr="007103F9" w:rsidRDefault="001831B5" w:rsidP="001831B5">
      <w:pPr>
        <w:shd w:val="clear" w:color="auto" w:fill="FFFFFF"/>
        <w:spacing w:after="0" w:line="240" w:lineRule="auto"/>
        <w:ind w:left="284" w:hanging="284"/>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 xml:space="preserve">Chakraborty, Lekha (2021). “The Macroeconomic Framework of Union Budget 2021-22”, Economic and Political weekly, March 2021. </w:t>
      </w:r>
    </w:p>
    <w:p w14:paraId="4C556560" w14:textId="77777777" w:rsidR="007103F9" w:rsidRDefault="00547546" w:rsidP="007103F9">
      <w:pPr>
        <w:ind w:left="284" w:hanging="284"/>
        <w:rPr>
          <w:rFonts w:ascii="Times New Roman" w:eastAsia="Times New Roman" w:hAnsi="Times New Roman" w:cs="Times New Roman"/>
          <w:sz w:val="24"/>
          <w:szCs w:val="24"/>
          <w:lang w:val="en-US"/>
        </w:rPr>
      </w:pPr>
      <w:r w:rsidRPr="007103F9">
        <w:rPr>
          <w:rFonts w:ascii="Times New Roman" w:eastAsia="Times New Roman" w:hAnsi="Times New Roman" w:cs="Times New Roman"/>
          <w:color w:val="222222"/>
          <w:sz w:val="24"/>
          <w:szCs w:val="24"/>
          <w:lang w:eastAsia="en-IN"/>
        </w:rPr>
        <w:t>Chakraborty, Lekha (2021a). “</w:t>
      </w:r>
      <w:r w:rsidR="009D48B6" w:rsidRPr="007103F9">
        <w:rPr>
          <w:rFonts w:ascii="Times New Roman" w:eastAsia="Times New Roman" w:hAnsi="Times New Roman" w:cs="Times New Roman"/>
          <w:color w:val="4D5156"/>
          <w:sz w:val="24"/>
          <w:szCs w:val="24"/>
          <w:shd w:val="clear" w:color="auto" w:fill="FFFFFF"/>
          <w:lang w:val="en-US"/>
        </w:rPr>
        <w:t>Is </w:t>
      </w:r>
      <w:r w:rsidR="009D48B6" w:rsidRPr="007103F9">
        <w:rPr>
          <w:rFonts w:ascii="Times New Roman" w:eastAsia="Times New Roman" w:hAnsi="Times New Roman" w:cs="Times New Roman"/>
          <w:bCs/>
          <w:color w:val="5F6368"/>
          <w:sz w:val="24"/>
          <w:szCs w:val="24"/>
          <w:lang w:val="en-US"/>
        </w:rPr>
        <w:t>Climate change</w:t>
      </w:r>
      <w:r w:rsidR="009D48B6" w:rsidRPr="007103F9">
        <w:rPr>
          <w:rFonts w:ascii="Times New Roman" w:eastAsia="Times New Roman" w:hAnsi="Times New Roman" w:cs="Times New Roman"/>
          <w:color w:val="4D5156"/>
          <w:sz w:val="24"/>
          <w:szCs w:val="24"/>
          <w:shd w:val="clear" w:color="auto" w:fill="FFFFFF"/>
          <w:lang w:val="en-US"/>
        </w:rPr>
        <w:t> a </w:t>
      </w:r>
      <w:r w:rsidR="009D48B6" w:rsidRPr="007103F9">
        <w:rPr>
          <w:rFonts w:ascii="Times New Roman" w:eastAsia="Times New Roman" w:hAnsi="Times New Roman" w:cs="Times New Roman"/>
          <w:bCs/>
          <w:color w:val="5F6368"/>
          <w:sz w:val="24"/>
          <w:szCs w:val="24"/>
          <w:lang w:val="en-US"/>
        </w:rPr>
        <w:t>fiscal</w:t>
      </w:r>
      <w:r w:rsidR="009D48B6" w:rsidRPr="007103F9">
        <w:rPr>
          <w:rFonts w:ascii="Times New Roman" w:eastAsia="Times New Roman" w:hAnsi="Times New Roman" w:cs="Times New Roman"/>
          <w:color w:val="4D5156"/>
          <w:sz w:val="24"/>
          <w:szCs w:val="24"/>
          <w:shd w:val="clear" w:color="auto" w:fill="FFFFFF"/>
          <w:lang w:val="en-US"/>
        </w:rPr>
        <w:t> or </w:t>
      </w:r>
      <w:r w:rsidR="009D48B6" w:rsidRPr="007103F9">
        <w:rPr>
          <w:rFonts w:ascii="Times New Roman" w:eastAsia="Times New Roman" w:hAnsi="Times New Roman" w:cs="Times New Roman"/>
          <w:bCs/>
          <w:color w:val="5F6368"/>
          <w:sz w:val="24"/>
          <w:szCs w:val="24"/>
          <w:lang w:val="en-US"/>
        </w:rPr>
        <w:t>monetary</w:t>
      </w:r>
      <w:r w:rsidR="009D48B6" w:rsidRPr="007103F9">
        <w:rPr>
          <w:rFonts w:ascii="Times New Roman" w:eastAsia="Times New Roman" w:hAnsi="Times New Roman" w:cs="Times New Roman"/>
          <w:color w:val="4D5156"/>
          <w:sz w:val="24"/>
          <w:szCs w:val="24"/>
          <w:shd w:val="clear" w:color="auto" w:fill="FFFFFF"/>
          <w:lang w:val="en-US"/>
        </w:rPr>
        <w:t xml:space="preserve"> policy challenge?” published in Multiplier Effect, Levy Economics Institute of Bard College, New York, November 10, 2021. </w:t>
      </w:r>
    </w:p>
    <w:p w14:paraId="6FC87905" w14:textId="031EF702" w:rsidR="001831B5" w:rsidRPr="007103F9" w:rsidRDefault="001831B5" w:rsidP="007103F9">
      <w:pPr>
        <w:ind w:left="284" w:hanging="284"/>
        <w:rPr>
          <w:rFonts w:ascii="Times New Roman" w:eastAsia="Times New Roman" w:hAnsi="Times New Roman" w:cs="Times New Roman"/>
          <w:sz w:val="24"/>
          <w:szCs w:val="24"/>
          <w:lang w:val="en-US"/>
        </w:rPr>
      </w:pPr>
      <w:r w:rsidRPr="007103F9">
        <w:rPr>
          <w:rFonts w:ascii="Times New Roman" w:eastAsia="Times New Roman" w:hAnsi="Times New Roman" w:cs="Times New Roman"/>
          <w:color w:val="222222"/>
          <w:sz w:val="24"/>
          <w:szCs w:val="24"/>
          <w:lang w:eastAsia="en-IN"/>
        </w:rPr>
        <w:t xml:space="preserve">Chakraborty, Lekha (2022). “High Deficit is the new Growth Mantra”, The New Indian Express, February 2, 2022. </w:t>
      </w:r>
    </w:p>
    <w:p w14:paraId="78D796AB"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 xml:space="preserve">Chakraborty, Lekha </w:t>
      </w:r>
      <w:r w:rsidRPr="007103F9">
        <w:rPr>
          <w:rFonts w:ascii="Times New Roman" w:eastAsia="Times New Roman" w:hAnsi="Times New Roman" w:cs="Times New Roman"/>
          <w:i/>
          <w:color w:val="222222"/>
          <w:sz w:val="24"/>
          <w:szCs w:val="24"/>
          <w:lang w:eastAsia="en-IN"/>
        </w:rPr>
        <w:t>et al</w:t>
      </w:r>
      <w:r w:rsidRPr="007103F9">
        <w:rPr>
          <w:rFonts w:ascii="Times New Roman" w:eastAsia="Times New Roman" w:hAnsi="Times New Roman" w:cs="Times New Roman"/>
          <w:color w:val="222222"/>
          <w:sz w:val="24"/>
          <w:szCs w:val="24"/>
          <w:lang w:eastAsia="en-IN"/>
        </w:rPr>
        <w:t xml:space="preserve"> (2020).  “Budget Credi</w:t>
      </w:r>
      <w:r w:rsidRPr="007103F9">
        <w:rPr>
          <w:rFonts w:ascii="Times New Roman" w:eastAsia="Times New Roman" w:hAnsi="Times New Roman" w:cs="Times New Roman"/>
          <w:color w:val="222222"/>
          <w:sz w:val="24"/>
          <w:szCs w:val="24"/>
          <w:lang w:eastAsia="en-IN"/>
        </w:rPr>
        <w:softHyphen/>
        <w:t>bility of Subnational Governments: Analysing the Fiscal Forecasting Errors of 28 States in India,” Working Paper 964, The Levy Economics Institute, New York.</w:t>
      </w:r>
    </w:p>
    <w:p w14:paraId="01BC2705"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Government of India, (2022). “The Union Budget Documents 2022,” Ministry of Finance, New Delhi.</w:t>
      </w:r>
    </w:p>
    <w:p w14:paraId="514E284C" w14:textId="550BC699" w:rsidR="00E062F8" w:rsidRPr="007103F9" w:rsidRDefault="00E062F8" w:rsidP="00E062F8">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proofErr w:type="spellStart"/>
      <w:r w:rsidRPr="007103F9">
        <w:rPr>
          <w:rFonts w:ascii="Times New Roman" w:eastAsia="Times New Roman" w:hAnsi="Times New Roman" w:cs="Times New Roman"/>
          <w:color w:val="222222"/>
          <w:sz w:val="24"/>
          <w:szCs w:val="24"/>
          <w:lang w:eastAsia="en-IN"/>
        </w:rPr>
        <w:t>Hansen,Lars</w:t>
      </w:r>
      <w:proofErr w:type="spellEnd"/>
      <w:r w:rsidRPr="007103F9">
        <w:rPr>
          <w:rFonts w:ascii="Times New Roman" w:eastAsia="Times New Roman" w:hAnsi="Times New Roman" w:cs="Times New Roman"/>
          <w:color w:val="222222"/>
          <w:sz w:val="24"/>
          <w:szCs w:val="24"/>
          <w:lang w:eastAsia="en-IN"/>
        </w:rPr>
        <w:t xml:space="preserve"> peter, (2022). “Central banking challenges posed by uncertain climate change and natural disasters”, Journal of Monetary Economics, </w:t>
      </w:r>
      <w:r w:rsidR="00D27503" w:rsidRPr="007103F9">
        <w:rPr>
          <w:rFonts w:ascii="Times New Roman" w:eastAsia="Times New Roman" w:hAnsi="Times New Roman" w:cs="Times New Roman"/>
          <w:color w:val="222222"/>
          <w:sz w:val="24"/>
          <w:szCs w:val="24"/>
          <w:lang w:eastAsia="en-IN"/>
        </w:rPr>
        <w:t xml:space="preserve">2022. </w:t>
      </w:r>
    </w:p>
    <w:p w14:paraId="74C9863F" w14:textId="4F14090C" w:rsidR="0009710E" w:rsidRPr="007103F9" w:rsidRDefault="00E062F8" w:rsidP="00E062F8">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 xml:space="preserve">  </w:t>
      </w:r>
    </w:p>
    <w:p w14:paraId="2A3198E6" w14:textId="77777777" w:rsidR="001831B5" w:rsidRPr="007103F9" w:rsidRDefault="001831B5" w:rsidP="00AF6F7C">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RBI (2022). “Monetary Policy Statement, 2020–21: Resolution of the Monetary Policy Committee (MPC), 8-10 February 2022,” Press Release, 24 February 2022, Reserve Bank of India, Mumbai.</w:t>
      </w:r>
    </w:p>
    <w:p w14:paraId="4BC37E3B"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proofErr w:type="spellStart"/>
      <w:r w:rsidRPr="007103F9">
        <w:rPr>
          <w:rFonts w:ascii="Times New Roman" w:eastAsia="Times New Roman" w:hAnsi="Times New Roman" w:cs="Times New Roman"/>
          <w:color w:val="222222"/>
          <w:sz w:val="24"/>
          <w:szCs w:val="24"/>
          <w:lang w:eastAsia="en-IN"/>
        </w:rPr>
        <w:t>Roubini</w:t>
      </w:r>
      <w:proofErr w:type="spellEnd"/>
      <w:r w:rsidRPr="007103F9">
        <w:rPr>
          <w:rFonts w:ascii="Times New Roman" w:eastAsia="Times New Roman" w:hAnsi="Times New Roman" w:cs="Times New Roman"/>
          <w:color w:val="222222"/>
          <w:sz w:val="24"/>
          <w:szCs w:val="24"/>
          <w:lang w:eastAsia="en-IN"/>
        </w:rPr>
        <w:t xml:space="preserve">, (2022).”Russia’s War and Global Economy”, Project Syndicate, February 25 2022. </w:t>
      </w:r>
    </w:p>
    <w:p w14:paraId="25CE83A3"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 xml:space="preserve">Singh, N K (2022). “The budget’s balance”, The Indian Express, February 3, 2022. </w:t>
      </w:r>
    </w:p>
    <w:p w14:paraId="7E9CD4C2" w14:textId="77777777"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Stiglitz Joseph and Hamid Rashid (2020). “Which Economic Stimulus Works?” Project Syndicate, 8 June, </w:t>
      </w:r>
      <w:r w:rsidRPr="007103F9">
        <w:rPr>
          <w:rFonts w:ascii="Times New Roman" w:hAnsi="Times New Roman" w:cs="Times New Roman"/>
          <w:sz w:val="24"/>
          <w:szCs w:val="24"/>
        </w:rPr>
        <w:t>2020.</w:t>
      </w:r>
    </w:p>
    <w:p w14:paraId="619B20CB" w14:textId="56BD3EA2" w:rsidR="001831B5" w:rsidRPr="007103F9" w:rsidRDefault="001831B5" w:rsidP="00E53965">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7103F9">
        <w:rPr>
          <w:rFonts w:ascii="Times New Roman" w:eastAsia="Times New Roman" w:hAnsi="Times New Roman" w:cs="Times New Roman"/>
          <w:color w:val="222222"/>
          <w:sz w:val="24"/>
          <w:szCs w:val="24"/>
          <w:lang w:eastAsia="en-IN"/>
        </w:rPr>
        <w:t>Vinod, H,</w:t>
      </w:r>
      <w:r w:rsidR="00BD2729" w:rsidRPr="007103F9">
        <w:rPr>
          <w:rFonts w:ascii="Times New Roman" w:eastAsia="Times New Roman" w:hAnsi="Times New Roman" w:cs="Times New Roman"/>
          <w:color w:val="222222"/>
          <w:sz w:val="24"/>
          <w:szCs w:val="24"/>
          <w:lang w:eastAsia="en-IN"/>
        </w:rPr>
        <w:t xml:space="preserve"> H Karun and L Chakraborty (2020</w:t>
      </w:r>
      <w:r w:rsidRPr="007103F9">
        <w:rPr>
          <w:rFonts w:ascii="Times New Roman" w:eastAsia="Times New Roman" w:hAnsi="Times New Roman" w:cs="Times New Roman"/>
          <w:color w:val="222222"/>
          <w:sz w:val="24"/>
          <w:szCs w:val="24"/>
          <w:lang w:eastAsia="en-IN"/>
        </w:rPr>
        <w:t>): “Encouraging Private Corporate Investment in India,” Handbook of Statistics, H Vinod and C R Rao (</w:t>
      </w:r>
      <w:proofErr w:type="spellStart"/>
      <w:r w:rsidRPr="007103F9">
        <w:rPr>
          <w:rFonts w:ascii="Times New Roman" w:eastAsia="Times New Roman" w:hAnsi="Times New Roman" w:cs="Times New Roman"/>
          <w:color w:val="222222"/>
          <w:sz w:val="24"/>
          <w:szCs w:val="24"/>
          <w:lang w:eastAsia="en-IN"/>
        </w:rPr>
        <w:t>eds</w:t>
      </w:r>
      <w:proofErr w:type="spellEnd"/>
      <w:r w:rsidRPr="007103F9">
        <w:rPr>
          <w:rFonts w:ascii="Times New Roman" w:eastAsia="Times New Roman" w:hAnsi="Times New Roman" w:cs="Times New Roman"/>
          <w:color w:val="222222"/>
          <w:sz w:val="24"/>
          <w:szCs w:val="24"/>
          <w:lang w:eastAsia="en-IN"/>
        </w:rPr>
        <w:t xml:space="preserve">), Chapter 5, Financial, Macro and Micro Econometrics Using R, Vol 42, North Holland: </w:t>
      </w:r>
      <w:bookmarkStart w:id="0" w:name="_GoBack"/>
      <w:bookmarkEnd w:id="0"/>
      <w:r w:rsidRPr="007103F9">
        <w:rPr>
          <w:rFonts w:ascii="Times New Roman" w:eastAsia="Times New Roman" w:hAnsi="Times New Roman" w:cs="Times New Roman"/>
          <w:color w:val="222222"/>
          <w:sz w:val="24"/>
          <w:szCs w:val="24"/>
          <w:lang w:eastAsia="en-IN"/>
        </w:rPr>
        <w:t>Elsevier, pp 155–83. </w:t>
      </w:r>
    </w:p>
    <w:sectPr w:rsidR="001831B5" w:rsidRPr="007103F9" w:rsidSect="00E53965">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3B64" w14:textId="77777777" w:rsidR="00644351" w:rsidRDefault="00644351" w:rsidP="0043535C">
      <w:pPr>
        <w:spacing w:after="0" w:line="240" w:lineRule="auto"/>
      </w:pPr>
      <w:r>
        <w:separator/>
      </w:r>
    </w:p>
  </w:endnote>
  <w:endnote w:type="continuationSeparator" w:id="0">
    <w:p w14:paraId="487A7575" w14:textId="77777777" w:rsidR="00644351" w:rsidRDefault="00644351" w:rsidP="0043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55108"/>
      <w:docPartObj>
        <w:docPartGallery w:val="Page Numbers (Bottom of Page)"/>
        <w:docPartUnique/>
      </w:docPartObj>
    </w:sdtPr>
    <w:sdtEndPr>
      <w:rPr>
        <w:noProof/>
      </w:rPr>
    </w:sdtEndPr>
    <w:sdtContent>
      <w:p w14:paraId="4F146979" w14:textId="77777777" w:rsidR="00BF5D9F" w:rsidRDefault="00BF5D9F">
        <w:pPr>
          <w:pStyle w:val="Footer"/>
          <w:jc w:val="right"/>
        </w:pPr>
        <w:r>
          <w:fldChar w:fldCharType="begin"/>
        </w:r>
        <w:r>
          <w:instrText xml:space="preserve"> PAGE   \* MERGEFORMAT </w:instrText>
        </w:r>
        <w:r>
          <w:fldChar w:fldCharType="separate"/>
        </w:r>
        <w:r w:rsidR="005A1CE3">
          <w:rPr>
            <w:noProof/>
          </w:rPr>
          <w:t>15</w:t>
        </w:r>
        <w:r>
          <w:rPr>
            <w:noProof/>
          </w:rPr>
          <w:fldChar w:fldCharType="end"/>
        </w:r>
      </w:p>
    </w:sdtContent>
  </w:sdt>
  <w:p w14:paraId="5D1F2FB5" w14:textId="77777777" w:rsidR="00BF5D9F" w:rsidRDefault="00BF5D9F">
    <w:pPr>
      <w:pStyle w:val="Footer"/>
    </w:pPr>
  </w:p>
  <w:p w14:paraId="10760A0C" w14:textId="77777777" w:rsidR="00BF5D9F" w:rsidRDefault="00BF5D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72CA" w14:textId="77777777" w:rsidR="00644351" w:rsidRDefault="00644351" w:rsidP="0043535C">
      <w:pPr>
        <w:spacing w:after="0" w:line="240" w:lineRule="auto"/>
      </w:pPr>
      <w:r>
        <w:separator/>
      </w:r>
    </w:p>
  </w:footnote>
  <w:footnote w:type="continuationSeparator" w:id="0">
    <w:p w14:paraId="2128D9D3" w14:textId="77777777" w:rsidR="00644351" w:rsidRDefault="00644351" w:rsidP="004353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8CA"/>
    <w:multiLevelType w:val="hybridMultilevel"/>
    <w:tmpl w:val="A1EC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17D3B"/>
    <w:multiLevelType w:val="hybridMultilevel"/>
    <w:tmpl w:val="B86232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B069B"/>
    <w:multiLevelType w:val="hybridMultilevel"/>
    <w:tmpl w:val="46D4B4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041F4"/>
    <w:multiLevelType w:val="multilevel"/>
    <w:tmpl w:val="E2D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9F10A8"/>
    <w:multiLevelType w:val="multilevel"/>
    <w:tmpl w:val="6F7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65"/>
    <w:rsid w:val="0000366E"/>
    <w:rsid w:val="00024BC4"/>
    <w:rsid w:val="00040F43"/>
    <w:rsid w:val="00047871"/>
    <w:rsid w:val="00055E4B"/>
    <w:rsid w:val="000618C1"/>
    <w:rsid w:val="0008768D"/>
    <w:rsid w:val="0009710E"/>
    <w:rsid w:val="000A34D3"/>
    <w:rsid w:val="000B732B"/>
    <w:rsid w:val="000C3054"/>
    <w:rsid w:val="000D2EDC"/>
    <w:rsid w:val="000E4D65"/>
    <w:rsid w:val="000F63B1"/>
    <w:rsid w:val="000F7EEA"/>
    <w:rsid w:val="00121C71"/>
    <w:rsid w:val="001223CA"/>
    <w:rsid w:val="0012419A"/>
    <w:rsid w:val="00125CB4"/>
    <w:rsid w:val="00131641"/>
    <w:rsid w:val="001429E8"/>
    <w:rsid w:val="00144368"/>
    <w:rsid w:val="00166C86"/>
    <w:rsid w:val="001823F8"/>
    <w:rsid w:val="001831B5"/>
    <w:rsid w:val="001A0D89"/>
    <w:rsid w:val="001A7551"/>
    <w:rsid w:val="001B52F0"/>
    <w:rsid w:val="001C08AE"/>
    <w:rsid w:val="001C306F"/>
    <w:rsid w:val="001D7B4F"/>
    <w:rsid w:val="001E3E06"/>
    <w:rsid w:val="001E5C68"/>
    <w:rsid w:val="001E6190"/>
    <w:rsid w:val="001F03F6"/>
    <w:rsid w:val="001F1D47"/>
    <w:rsid w:val="001F417C"/>
    <w:rsid w:val="00212D3B"/>
    <w:rsid w:val="0022419E"/>
    <w:rsid w:val="00224D3D"/>
    <w:rsid w:val="00227346"/>
    <w:rsid w:val="00231770"/>
    <w:rsid w:val="002348B4"/>
    <w:rsid w:val="00236F81"/>
    <w:rsid w:val="00243001"/>
    <w:rsid w:val="002439C9"/>
    <w:rsid w:val="00256FE6"/>
    <w:rsid w:val="00263945"/>
    <w:rsid w:val="00265694"/>
    <w:rsid w:val="002B0EEA"/>
    <w:rsid w:val="002E3303"/>
    <w:rsid w:val="002F5927"/>
    <w:rsid w:val="00335BCF"/>
    <w:rsid w:val="003376AD"/>
    <w:rsid w:val="003411FA"/>
    <w:rsid w:val="003503BA"/>
    <w:rsid w:val="003510C4"/>
    <w:rsid w:val="00351DB2"/>
    <w:rsid w:val="00354466"/>
    <w:rsid w:val="0036733A"/>
    <w:rsid w:val="00370A17"/>
    <w:rsid w:val="003729A3"/>
    <w:rsid w:val="00374200"/>
    <w:rsid w:val="003846C8"/>
    <w:rsid w:val="003B2D51"/>
    <w:rsid w:val="003B6B51"/>
    <w:rsid w:val="003C38EE"/>
    <w:rsid w:val="003D1389"/>
    <w:rsid w:val="003E460C"/>
    <w:rsid w:val="003E4C95"/>
    <w:rsid w:val="003E66CE"/>
    <w:rsid w:val="003F4BA4"/>
    <w:rsid w:val="00400346"/>
    <w:rsid w:val="0040285B"/>
    <w:rsid w:val="00402B84"/>
    <w:rsid w:val="00414E1B"/>
    <w:rsid w:val="00423FF5"/>
    <w:rsid w:val="00424B5C"/>
    <w:rsid w:val="0043535C"/>
    <w:rsid w:val="004355AA"/>
    <w:rsid w:val="00456854"/>
    <w:rsid w:val="00461338"/>
    <w:rsid w:val="00461F9C"/>
    <w:rsid w:val="00480A8A"/>
    <w:rsid w:val="00492A83"/>
    <w:rsid w:val="004D02AB"/>
    <w:rsid w:val="004D11FB"/>
    <w:rsid w:val="004D1698"/>
    <w:rsid w:val="004E29D4"/>
    <w:rsid w:val="004F43B7"/>
    <w:rsid w:val="004F716F"/>
    <w:rsid w:val="005007AE"/>
    <w:rsid w:val="00510164"/>
    <w:rsid w:val="00510CD8"/>
    <w:rsid w:val="00525EDF"/>
    <w:rsid w:val="005357DA"/>
    <w:rsid w:val="0054445C"/>
    <w:rsid w:val="00547546"/>
    <w:rsid w:val="0056072F"/>
    <w:rsid w:val="0056313E"/>
    <w:rsid w:val="005710FE"/>
    <w:rsid w:val="005A1CE3"/>
    <w:rsid w:val="005B28C8"/>
    <w:rsid w:val="005B2B6C"/>
    <w:rsid w:val="005B2D3C"/>
    <w:rsid w:val="005C2723"/>
    <w:rsid w:val="005C3686"/>
    <w:rsid w:val="005D0E57"/>
    <w:rsid w:val="005E414C"/>
    <w:rsid w:val="005F1247"/>
    <w:rsid w:val="005F3174"/>
    <w:rsid w:val="005F69A5"/>
    <w:rsid w:val="00601C2E"/>
    <w:rsid w:val="006229DB"/>
    <w:rsid w:val="00644351"/>
    <w:rsid w:val="00652D43"/>
    <w:rsid w:val="00654C64"/>
    <w:rsid w:val="006558B4"/>
    <w:rsid w:val="00660618"/>
    <w:rsid w:val="006610EC"/>
    <w:rsid w:val="00684FF5"/>
    <w:rsid w:val="006932FF"/>
    <w:rsid w:val="00697CA5"/>
    <w:rsid w:val="006A11FF"/>
    <w:rsid w:val="006B1D7D"/>
    <w:rsid w:val="006B27B4"/>
    <w:rsid w:val="006B54A7"/>
    <w:rsid w:val="006B5EAA"/>
    <w:rsid w:val="006C7347"/>
    <w:rsid w:val="006D2EBD"/>
    <w:rsid w:val="006D5FF7"/>
    <w:rsid w:val="006F6C48"/>
    <w:rsid w:val="007103F9"/>
    <w:rsid w:val="00713B0B"/>
    <w:rsid w:val="00714194"/>
    <w:rsid w:val="00717E04"/>
    <w:rsid w:val="00722564"/>
    <w:rsid w:val="00722687"/>
    <w:rsid w:val="00724068"/>
    <w:rsid w:val="0074188B"/>
    <w:rsid w:val="007448FF"/>
    <w:rsid w:val="007456EA"/>
    <w:rsid w:val="00752415"/>
    <w:rsid w:val="00761A8A"/>
    <w:rsid w:val="00767A10"/>
    <w:rsid w:val="00783A8B"/>
    <w:rsid w:val="0078499A"/>
    <w:rsid w:val="00791CCA"/>
    <w:rsid w:val="007A4965"/>
    <w:rsid w:val="007B526B"/>
    <w:rsid w:val="007C0850"/>
    <w:rsid w:val="007C08D3"/>
    <w:rsid w:val="008026B6"/>
    <w:rsid w:val="008147B3"/>
    <w:rsid w:val="00817EDF"/>
    <w:rsid w:val="00820E53"/>
    <w:rsid w:val="00831B43"/>
    <w:rsid w:val="00832A12"/>
    <w:rsid w:val="00846B2F"/>
    <w:rsid w:val="00846E0A"/>
    <w:rsid w:val="00852C8E"/>
    <w:rsid w:val="00862C8F"/>
    <w:rsid w:val="008641CC"/>
    <w:rsid w:val="00872564"/>
    <w:rsid w:val="0088258B"/>
    <w:rsid w:val="0088472B"/>
    <w:rsid w:val="008862AC"/>
    <w:rsid w:val="00894D8E"/>
    <w:rsid w:val="008A5716"/>
    <w:rsid w:val="008B0B9F"/>
    <w:rsid w:val="008B44B8"/>
    <w:rsid w:val="008B5C31"/>
    <w:rsid w:val="008C0BAC"/>
    <w:rsid w:val="008C2144"/>
    <w:rsid w:val="008D0474"/>
    <w:rsid w:val="008D223E"/>
    <w:rsid w:val="008D5810"/>
    <w:rsid w:val="008F6254"/>
    <w:rsid w:val="00905148"/>
    <w:rsid w:val="00907614"/>
    <w:rsid w:val="00925AEC"/>
    <w:rsid w:val="00944CA5"/>
    <w:rsid w:val="0094674E"/>
    <w:rsid w:val="0097607B"/>
    <w:rsid w:val="00985D37"/>
    <w:rsid w:val="009A0DBA"/>
    <w:rsid w:val="009C2404"/>
    <w:rsid w:val="009D48B6"/>
    <w:rsid w:val="009D7A52"/>
    <w:rsid w:val="009E1931"/>
    <w:rsid w:val="009E2AB3"/>
    <w:rsid w:val="00A12D5F"/>
    <w:rsid w:val="00A15CA5"/>
    <w:rsid w:val="00A268DD"/>
    <w:rsid w:val="00A27452"/>
    <w:rsid w:val="00A761E7"/>
    <w:rsid w:val="00AB6565"/>
    <w:rsid w:val="00AB66C1"/>
    <w:rsid w:val="00AC44D1"/>
    <w:rsid w:val="00AD5FB2"/>
    <w:rsid w:val="00AE3A0F"/>
    <w:rsid w:val="00AE65A9"/>
    <w:rsid w:val="00AF6F7C"/>
    <w:rsid w:val="00AF7AA3"/>
    <w:rsid w:val="00B002A3"/>
    <w:rsid w:val="00B53E19"/>
    <w:rsid w:val="00B55081"/>
    <w:rsid w:val="00B70D06"/>
    <w:rsid w:val="00B717C7"/>
    <w:rsid w:val="00B76E30"/>
    <w:rsid w:val="00B77504"/>
    <w:rsid w:val="00B97EA5"/>
    <w:rsid w:val="00BB04D4"/>
    <w:rsid w:val="00BC11F4"/>
    <w:rsid w:val="00BC437C"/>
    <w:rsid w:val="00BC488C"/>
    <w:rsid w:val="00BC7005"/>
    <w:rsid w:val="00BD2729"/>
    <w:rsid w:val="00BD38E9"/>
    <w:rsid w:val="00BE1D95"/>
    <w:rsid w:val="00BE21D7"/>
    <w:rsid w:val="00BF068E"/>
    <w:rsid w:val="00BF2E0F"/>
    <w:rsid w:val="00BF5D9F"/>
    <w:rsid w:val="00C04D34"/>
    <w:rsid w:val="00C04E94"/>
    <w:rsid w:val="00C17A11"/>
    <w:rsid w:val="00C22073"/>
    <w:rsid w:val="00C24906"/>
    <w:rsid w:val="00C363F5"/>
    <w:rsid w:val="00C36414"/>
    <w:rsid w:val="00C42353"/>
    <w:rsid w:val="00C44FFE"/>
    <w:rsid w:val="00C455F5"/>
    <w:rsid w:val="00C517BE"/>
    <w:rsid w:val="00C54118"/>
    <w:rsid w:val="00C55055"/>
    <w:rsid w:val="00C5566F"/>
    <w:rsid w:val="00C570CA"/>
    <w:rsid w:val="00C72187"/>
    <w:rsid w:val="00C81E20"/>
    <w:rsid w:val="00C97594"/>
    <w:rsid w:val="00CB600D"/>
    <w:rsid w:val="00CD1C1C"/>
    <w:rsid w:val="00CD27AF"/>
    <w:rsid w:val="00CF40ED"/>
    <w:rsid w:val="00D0071E"/>
    <w:rsid w:val="00D032D5"/>
    <w:rsid w:val="00D07738"/>
    <w:rsid w:val="00D1139E"/>
    <w:rsid w:val="00D118DB"/>
    <w:rsid w:val="00D146E3"/>
    <w:rsid w:val="00D21331"/>
    <w:rsid w:val="00D23D6E"/>
    <w:rsid w:val="00D27503"/>
    <w:rsid w:val="00D342CD"/>
    <w:rsid w:val="00D3572F"/>
    <w:rsid w:val="00D372C8"/>
    <w:rsid w:val="00D748B0"/>
    <w:rsid w:val="00D80AC1"/>
    <w:rsid w:val="00D824E2"/>
    <w:rsid w:val="00D84500"/>
    <w:rsid w:val="00D84FAB"/>
    <w:rsid w:val="00DB3599"/>
    <w:rsid w:val="00DB3745"/>
    <w:rsid w:val="00DC088D"/>
    <w:rsid w:val="00DC1DD3"/>
    <w:rsid w:val="00DC6A7A"/>
    <w:rsid w:val="00DC717B"/>
    <w:rsid w:val="00DE374E"/>
    <w:rsid w:val="00DE5FEA"/>
    <w:rsid w:val="00DE6D10"/>
    <w:rsid w:val="00DE7275"/>
    <w:rsid w:val="00DF2111"/>
    <w:rsid w:val="00DF2F74"/>
    <w:rsid w:val="00E04486"/>
    <w:rsid w:val="00E062F8"/>
    <w:rsid w:val="00E07525"/>
    <w:rsid w:val="00E14FC3"/>
    <w:rsid w:val="00E257DF"/>
    <w:rsid w:val="00E510C3"/>
    <w:rsid w:val="00E53722"/>
    <w:rsid w:val="00E53965"/>
    <w:rsid w:val="00E5655B"/>
    <w:rsid w:val="00E616F1"/>
    <w:rsid w:val="00E9077C"/>
    <w:rsid w:val="00EC08DB"/>
    <w:rsid w:val="00EC2F15"/>
    <w:rsid w:val="00F01090"/>
    <w:rsid w:val="00F079EE"/>
    <w:rsid w:val="00F100C4"/>
    <w:rsid w:val="00F15E3E"/>
    <w:rsid w:val="00F422C1"/>
    <w:rsid w:val="00F52EC9"/>
    <w:rsid w:val="00F72FC3"/>
    <w:rsid w:val="00F741AC"/>
    <w:rsid w:val="00F74881"/>
    <w:rsid w:val="00F77C11"/>
    <w:rsid w:val="00F819E1"/>
    <w:rsid w:val="00F90FDF"/>
    <w:rsid w:val="00F968A0"/>
    <w:rsid w:val="00F974C2"/>
    <w:rsid w:val="00FA26F3"/>
    <w:rsid w:val="00FC68F7"/>
    <w:rsid w:val="00FD0E5C"/>
    <w:rsid w:val="00FF5C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243F"/>
  <w15:chartTrackingRefBased/>
  <w15:docId w15:val="{AB8FBA49-A5C2-4B11-8E83-E4BFB6C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965"/>
    <w:rPr>
      <w:color w:val="0000FF"/>
      <w:u w:val="single"/>
    </w:rPr>
  </w:style>
  <w:style w:type="paragraph" w:styleId="Header">
    <w:name w:val="header"/>
    <w:basedOn w:val="Normal"/>
    <w:link w:val="HeaderChar"/>
    <w:uiPriority w:val="99"/>
    <w:unhideWhenUsed/>
    <w:rsid w:val="0043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5C"/>
  </w:style>
  <w:style w:type="paragraph" w:styleId="Footer">
    <w:name w:val="footer"/>
    <w:basedOn w:val="Normal"/>
    <w:link w:val="FooterChar"/>
    <w:uiPriority w:val="99"/>
    <w:unhideWhenUsed/>
    <w:rsid w:val="00435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5C"/>
  </w:style>
  <w:style w:type="paragraph" w:customStyle="1" w:styleId="TableParagraph">
    <w:name w:val="Table Paragraph"/>
    <w:basedOn w:val="Normal"/>
    <w:uiPriority w:val="1"/>
    <w:qFormat/>
    <w:rsid w:val="00125CB4"/>
    <w:pPr>
      <w:widowControl w:val="0"/>
      <w:autoSpaceDE w:val="0"/>
      <w:autoSpaceDN w:val="0"/>
      <w:spacing w:before="24" w:after="0" w:line="171" w:lineRule="exact"/>
      <w:jc w:val="right"/>
    </w:pPr>
    <w:rPr>
      <w:rFonts w:ascii="Arial" w:eastAsia="Arial" w:hAnsi="Arial" w:cs="Arial"/>
      <w:lang w:val="en-US"/>
    </w:rPr>
  </w:style>
  <w:style w:type="table" w:styleId="TableGrid">
    <w:name w:val="Table Grid"/>
    <w:basedOn w:val="TableNormal"/>
    <w:uiPriority w:val="39"/>
    <w:rsid w:val="008D581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7594"/>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6B27B4"/>
    <w:pPr>
      <w:ind w:left="720"/>
      <w:contextualSpacing/>
    </w:pPr>
  </w:style>
  <w:style w:type="character" w:customStyle="1" w:styleId="apple-converted-space">
    <w:name w:val="apple-converted-space"/>
    <w:basedOn w:val="DefaultParagraphFont"/>
    <w:rsid w:val="009D48B6"/>
  </w:style>
  <w:style w:type="character" w:styleId="Emphasis">
    <w:name w:val="Emphasis"/>
    <w:basedOn w:val="DefaultParagraphFont"/>
    <w:uiPriority w:val="20"/>
    <w:qFormat/>
    <w:rsid w:val="009D4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553">
      <w:bodyDiv w:val="1"/>
      <w:marLeft w:val="0"/>
      <w:marRight w:val="0"/>
      <w:marTop w:val="0"/>
      <w:marBottom w:val="0"/>
      <w:divBdr>
        <w:top w:val="none" w:sz="0" w:space="0" w:color="auto"/>
        <w:left w:val="none" w:sz="0" w:space="0" w:color="auto"/>
        <w:bottom w:val="none" w:sz="0" w:space="0" w:color="auto"/>
        <w:right w:val="none" w:sz="0" w:space="0" w:color="auto"/>
      </w:divBdr>
    </w:div>
    <w:div w:id="144860406">
      <w:bodyDiv w:val="1"/>
      <w:marLeft w:val="0"/>
      <w:marRight w:val="0"/>
      <w:marTop w:val="0"/>
      <w:marBottom w:val="0"/>
      <w:divBdr>
        <w:top w:val="none" w:sz="0" w:space="0" w:color="auto"/>
        <w:left w:val="none" w:sz="0" w:space="0" w:color="auto"/>
        <w:bottom w:val="none" w:sz="0" w:space="0" w:color="auto"/>
        <w:right w:val="none" w:sz="0" w:space="0" w:color="auto"/>
      </w:divBdr>
    </w:div>
    <w:div w:id="240723493">
      <w:bodyDiv w:val="1"/>
      <w:marLeft w:val="0"/>
      <w:marRight w:val="0"/>
      <w:marTop w:val="0"/>
      <w:marBottom w:val="0"/>
      <w:divBdr>
        <w:top w:val="none" w:sz="0" w:space="0" w:color="auto"/>
        <w:left w:val="none" w:sz="0" w:space="0" w:color="auto"/>
        <w:bottom w:val="none" w:sz="0" w:space="0" w:color="auto"/>
        <w:right w:val="none" w:sz="0" w:space="0" w:color="auto"/>
      </w:divBdr>
    </w:div>
    <w:div w:id="263809070">
      <w:bodyDiv w:val="1"/>
      <w:marLeft w:val="0"/>
      <w:marRight w:val="0"/>
      <w:marTop w:val="0"/>
      <w:marBottom w:val="0"/>
      <w:divBdr>
        <w:top w:val="none" w:sz="0" w:space="0" w:color="auto"/>
        <w:left w:val="none" w:sz="0" w:space="0" w:color="auto"/>
        <w:bottom w:val="none" w:sz="0" w:space="0" w:color="auto"/>
        <w:right w:val="none" w:sz="0" w:space="0" w:color="auto"/>
      </w:divBdr>
    </w:div>
    <w:div w:id="464782650">
      <w:bodyDiv w:val="1"/>
      <w:marLeft w:val="0"/>
      <w:marRight w:val="0"/>
      <w:marTop w:val="0"/>
      <w:marBottom w:val="0"/>
      <w:divBdr>
        <w:top w:val="none" w:sz="0" w:space="0" w:color="auto"/>
        <w:left w:val="none" w:sz="0" w:space="0" w:color="auto"/>
        <w:bottom w:val="none" w:sz="0" w:space="0" w:color="auto"/>
        <w:right w:val="none" w:sz="0" w:space="0" w:color="auto"/>
      </w:divBdr>
    </w:div>
    <w:div w:id="489443318">
      <w:bodyDiv w:val="1"/>
      <w:marLeft w:val="0"/>
      <w:marRight w:val="0"/>
      <w:marTop w:val="0"/>
      <w:marBottom w:val="0"/>
      <w:divBdr>
        <w:top w:val="none" w:sz="0" w:space="0" w:color="auto"/>
        <w:left w:val="none" w:sz="0" w:space="0" w:color="auto"/>
        <w:bottom w:val="none" w:sz="0" w:space="0" w:color="auto"/>
        <w:right w:val="none" w:sz="0" w:space="0" w:color="auto"/>
      </w:divBdr>
    </w:div>
    <w:div w:id="565144899">
      <w:bodyDiv w:val="1"/>
      <w:marLeft w:val="0"/>
      <w:marRight w:val="0"/>
      <w:marTop w:val="0"/>
      <w:marBottom w:val="0"/>
      <w:divBdr>
        <w:top w:val="none" w:sz="0" w:space="0" w:color="auto"/>
        <w:left w:val="none" w:sz="0" w:space="0" w:color="auto"/>
        <w:bottom w:val="none" w:sz="0" w:space="0" w:color="auto"/>
        <w:right w:val="none" w:sz="0" w:space="0" w:color="auto"/>
      </w:divBdr>
      <w:divsChild>
        <w:div w:id="1896695993">
          <w:marLeft w:val="0"/>
          <w:marRight w:val="0"/>
          <w:marTop w:val="0"/>
          <w:marBottom w:val="0"/>
          <w:divBdr>
            <w:top w:val="none" w:sz="0" w:space="0" w:color="auto"/>
            <w:left w:val="none" w:sz="0" w:space="0" w:color="auto"/>
            <w:bottom w:val="none" w:sz="0" w:space="0" w:color="auto"/>
            <w:right w:val="none" w:sz="0" w:space="0" w:color="auto"/>
          </w:divBdr>
        </w:div>
        <w:div w:id="257759854">
          <w:marLeft w:val="0"/>
          <w:marRight w:val="0"/>
          <w:marTop w:val="0"/>
          <w:marBottom w:val="0"/>
          <w:divBdr>
            <w:top w:val="none" w:sz="0" w:space="0" w:color="auto"/>
            <w:left w:val="none" w:sz="0" w:space="0" w:color="auto"/>
            <w:bottom w:val="none" w:sz="0" w:space="0" w:color="auto"/>
            <w:right w:val="none" w:sz="0" w:space="0" w:color="auto"/>
          </w:divBdr>
        </w:div>
        <w:div w:id="1966085177">
          <w:marLeft w:val="0"/>
          <w:marRight w:val="0"/>
          <w:marTop w:val="0"/>
          <w:marBottom w:val="0"/>
          <w:divBdr>
            <w:top w:val="none" w:sz="0" w:space="0" w:color="auto"/>
            <w:left w:val="none" w:sz="0" w:space="0" w:color="auto"/>
            <w:bottom w:val="none" w:sz="0" w:space="0" w:color="auto"/>
            <w:right w:val="none" w:sz="0" w:space="0" w:color="auto"/>
          </w:divBdr>
        </w:div>
        <w:div w:id="1521164470">
          <w:marLeft w:val="0"/>
          <w:marRight w:val="0"/>
          <w:marTop w:val="0"/>
          <w:marBottom w:val="0"/>
          <w:divBdr>
            <w:top w:val="none" w:sz="0" w:space="0" w:color="auto"/>
            <w:left w:val="none" w:sz="0" w:space="0" w:color="auto"/>
            <w:bottom w:val="none" w:sz="0" w:space="0" w:color="auto"/>
            <w:right w:val="none" w:sz="0" w:space="0" w:color="auto"/>
          </w:divBdr>
        </w:div>
        <w:div w:id="1725595637">
          <w:marLeft w:val="0"/>
          <w:marRight w:val="0"/>
          <w:marTop w:val="0"/>
          <w:marBottom w:val="0"/>
          <w:divBdr>
            <w:top w:val="none" w:sz="0" w:space="0" w:color="auto"/>
            <w:left w:val="none" w:sz="0" w:space="0" w:color="auto"/>
            <w:bottom w:val="none" w:sz="0" w:space="0" w:color="auto"/>
            <w:right w:val="none" w:sz="0" w:space="0" w:color="auto"/>
          </w:divBdr>
        </w:div>
        <w:div w:id="412706569">
          <w:marLeft w:val="0"/>
          <w:marRight w:val="0"/>
          <w:marTop w:val="0"/>
          <w:marBottom w:val="0"/>
          <w:divBdr>
            <w:top w:val="none" w:sz="0" w:space="0" w:color="auto"/>
            <w:left w:val="none" w:sz="0" w:space="0" w:color="auto"/>
            <w:bottom w:val="none" w:sz="0" w:space="0" w:color="auto"/>
            <w:right w:val="none" w:sz="0" w:space="0" w:color="auto"/>
          </w:divBdr>
        </w:div>
        <w:div w:id="1633907077">
          <w:marLeft w:val="0"/>
          <w:marRight w:val="0"/>
          <w:marTop w:val="0"/>
          <w:marBottom w:val="0"/>
          <w:divBdr>
            <w:top w:val="none" w:sz="0" w:space="0" w:color="auto"/>
            <w:left w:val="none" w:sz="0" w:space="0" w:color="auto"/>
            <w:bottom w:val="none" w:sz="0" w:space="0" w:color="auto"/>
            <w:right w:val="none" w:sz="0" w:space="0" w:color="auto"/>
          </w:divBdr>
        </w:div>
        <w:div w:id="793060473">
          <w:marLeft w:val="0"/>
          <w:marRight w:val="0"/>
          <w:marTop w:val="0"/>
          <w:marBottom w:val="0"/>
          <w:divBdr>
            <w:top w:val="none" w:sz="0" w:space="0" w:color="auto"/>
            <w:left w:val="none" w:sz="0" w:space="0" w:color="auto"/>
            <w:bottom w:val="none" w:sz="0" w:space="0" w:color="auto"/>
            <w:right w:val="none" w:sz="0" w:space="0" w:color="auto"/>
          </w:divBdr>
        </w:div>
        <w:div w:id="1267038734">
          <w:marLeft w:val="0"/>
          <w:marRight w:val="0"/>
          <w:marTop w:val="0"/>
          <w:marBottom w:val="0"/>
          <w:divBdr>
            <w:top w:val="none" w:sz="0" w:space="0" w:color="auto"/>
            <w:left w:val="none" w:sz="0" w:space="0" w:color="auto"/>
            <w:bottom w:val="none" w:sz="0" w:space="0" w:color="auto"/>
            <w:right w:val="none" w:sz="0" w:space="0" w:color="auto"/>
          </w:divBdr>
        </w:div>
        <w:div w:id="119540459">
          <w:marLeft w:val="0"/>
          <w:marRight w:val="0"/>
          <w:marTop w:val="0"/>
          <w:marBottom w:val="0"/>
          <w:divBdr>
            <w:top w:val="none" w:sz="0" w:space="0" w:color="auto"/>
            <w:left w:val="none" w:sz="0" w:space="0" w:color="auto"/>
            <w:bottom w:val="none" w:sz="0" w:space="0" w:color="auto"/>
            <w:right w:val="none" w:sz="0" w:space="0" w:color="auto"/>
          </w:divBdr>
        </w:div>
        <w:div w:id="1422528694">
          <w:marLeft w:val="0"/>
          <w:marRight w:val="0"/>
          <w:marTop w:val="0"/>
          <w:marBottom w:val="0"/>
          <w:divBdr>
            <w:top w:val="none" w:sz="0" w:space="0" w:color="auto"/>
            <w:left w:val="none" w:sz="0" w:space="0" w:color="auto"/>
            <w:bottom w:val="none" w:sz="0" w:space="0" w:color="auto"/>
            <w:right w:val="none" w:sz="0" w:space="0" w:color="auto"/>
          </w:divBdr>
        </w:div>
        <w:div w:id="732122084">
          <w:marLeft w:val="0"/>
          <w:marRight w:val="0"/>
          <w:marTop w:val="0"/>
          <w:marBottom w:val="0"/>
          <w:divBdr>
            <w:top w:val="none" w:sz="0" w:space="0" w:color="auto"/>
            <w:left w:val="none" w:sz="0" w:space="0" w:color="auto"/>
            <w:bottom w:val="none" w:sz="0" w:space="0" w:color="auto"/>
            <w:right w:val="none" w:sz="0" w:space="0" w:color="auto"/>
          </w:divBdr>
        </w:div>
      </w:divsChild>
    </w:div>
    <w:div w:id="608511063">
      <w:bodyDiv w:val="1"/>
      <w:marLeft w:val="0"/>
      <w:marRight w:val="0"/>
      <w:marTop w:val="0"/>
      <w:marBottom w:val="0"/>
      <w:divBdr>
        <w:top w:val="none" w:sz="0" w:space="0" w:color="auto"/>
        <w:left w:val="none" w:sz="0" w:space="0" w:color="auto"/>
        <w:bottom w:val="none" w:sz="0" w:space="0" w:color="auto"/>
        <w:right w:val="none" w:sz="0" w:space="0" w:color="auto"/>
      </w:divBdr>
    </w:div>
    <w:div w:id="684016712">
      <w:bodyDiv w:val="1"/>
      <w:marLeft w:val="0"/>
      <w:marRight w:val="0"/>
      <w:marTop w:val="0"/>
      <w:marBottom w:val="0"/>
      <w:divBdr>
        <w:top w:val="none" w:sz="0" w:space="0" w:color="auto"/>
        <w:left w:val="none" w:sz="0" w:space="0" w:color="auto"/>
        <w:bottom w:val="none" w:sz="0" w:space="0" w:color="auto"/>
        <w:right w:val="none" w:sz="0" w:space="0" w:color="auto"/>
      </w:divBdr>
    </w:div>
    <w:div w:id="919021383">
      <w:bodyDiv w:val="1"/>
      <w:marLeft w:val="0"/>
      <w:marRight w:val="0"/>
      <w:marTop w:val="0"/>
      <w:marBottom w:val="0"/>
      <w:divBdr>
        <w:top w:val="none" w:sz="0" w:space="0" w:color="auto"/>
        <w:left w:val="none" w:sz="0" w:space="0" w:color="auto"/>
        <w:bottom w:val="none" w:sz="0" w:space="0" w:color="auto"/>
        <w:right w:val="none" w:sz="0" w:space="0" w:color="auto"/>
      </w:divBdr>
      <w:divsChild>
        <w:div w:id="2081825066">
          <w:marLeft w:val="0"/>
          <w:marRight w:val="0"/>
          <w:marTop w:val="0"/>
          <w:marBottom w:val="0"/>
          <w:divBdr>
            <w:top w:val="none" w:sz="0" w:space="0" w:color="auto"/>
            <w:left w:val="none" w:sz="0" w:space="0" w:color="auto"/>
            <w:bottom w:val="none" w:sz="0" w:space="0" w:color="auto"/>
            <w:right w:val="none" w:sz="0" w:space="0" w:color="auto"/>
          </w:divBdr>
        </w:div>
        <w:div w:id="1383750198">
          <w:marLeft w:val="0"/>
          <w:marRight w:val="0"/>
          <w:marTop w:val="0"/>
          <w:marBottom w:val="0"/>
          <w:divBdr>
            <w:top w:val="none" w:sz="0" w:space="0" w:color="auto"/>
            <w:left w:val="none" w:sz="0" w:space="0" w:color="auto"/>
            <w:bottom w:val="none" w:sz="0" w:space="0" w:color="auto"/>
            <w:right w:val="none" w:sz="0" w:space="0" w:color="auto"/>
          </w:divBdr>
        </w:div>
        <w:div w:id="1952276968">
          <w:marLeft w:val="0"/>
          <w:marRight w:val="0"/>
          <w:marTop w:val="0"/>
          <w:marBottom w:val="0"/>
          <w:divBdr>
            <w:top w:val="none" w:sz="0" w:space="0" w:color="auto"/>
            <w:left w:val="none" w:sz="0" w:space="0" w:color="auto"/>
            <w:bottom w:val="none" w:sz="0" w:space="0" w:color="auto"/>
            <w:right w:val="none" w:sz="0" w:space="0" w:color="auto"/>
          </w:divBdr>
        </w:div>
        <w:div w:id="807359531">
          <w:marLeft w:val="0"/>
          <w:marRight w:val="0"/>
          <w:marTop w:val="0"/>
          <w:marBottom w:val="0"/>
          <w:divBdr>
            <w:top w:val="none" w:sz="0" w:space="0" w:color="auto"/>
            <w:left w:val="none" w:sz="0" w:space="0" w:color="auto"/>
            <w:bottom w:val="none" w:sz="0" w:space="0" w:color="auto"/>
            <w:right w:val="none" w:sz="0" w:space="0" w:color="auto"/>
          </w:divBdr>
        </w:div>
        <w:div w:id="348803129">
          <w:marLeft w:val="0"/>
          <w:marRight w:val="0"/>
          <w:marTop w:val="0"/>
          <w:marBottom w:val="0"/>
          <w:divBdr>
            <w:top w:val="none" w:sz="0" w:space="0" w:color="auto"/>
            <w:left w:val="none" w:sz="0" w:space="0" w:color="auto"/>
            <w:bottom w:val="none" w:sz="0" w:space="0" w:color="auto"/>
            <w:right w:val="none" w:sz="0" w:space="0" w:color="auto"/>
          </w:divBdr>
        </w:div>
        <w:div w:id="1026522861">
          <w:marLeft w:val="0"/>
          <w:marRight w:val="0"/>
          <w:marTop w:val="0"/>
          <w:marBottom w:val="0"/>
          <w:divBdr>
            <w:top w:val="none" w:sz="0" w:space="0" w:color="auto"/>
            <w:left w:val="none" w:sz="0" w:space="0" w:color="auto"/>
            <w:bottom w:val="none" w:sz="0" w:space="0" w:color="auto"/>
            <w:right w:val="none" w:sz="0" w:space="0" w:color="auto"/>
          </w:divBdr>
        </w:div>
        <w:div w:id="93401411">
          <w:marLeft w:val="0"/>
          <w:marRight w:val="0"/>
          <w:marTop w:val="0"/>
          <w:marBottom w:val="0"/>
          <w:divBdr>
            <w:top w:val="none" w:sz="0" w:space="0" w:color="auto"/>
            <w:left w:val="none" w:sz="0" w:space="0" w:color="auto"/>
            <w:bottom w:val="none" w:sz="0" w:space="0" w:color="auto"/>
            <w:right w:val="none" w:sz="0" w:space="0" w:color="auto"/>
          </w:divBdr>
        </w:div>
        <w:div w:id="2146895010">
          <w:marLeft w:val="0"/>
          <w:marRight w:val="0"/>
          <w:marTop w:val="0"/>
          <w:marBottom w:val="0"/>
          <w:divBdr>
            <w:top w:val="none" w:sz="0" w:space="0" w:color="auto"/>
            <w:left w:val="none" w:sz="0" w:space="0" w:color="auto"/>
            <w:bottom w:val="none" w:sz="0" w:space="0" w:color="auto"/>
            <w:right w:val="none" w:sz="0" w:space="0" w:color="auto"/>
          </w:divBdr>
        </w:div>
        <w:div w:id="891888528">
          <w:marLeft w:val="0"/>
          <w:marRight w:val="0"/>
          <w:marTop w:val="0"/>
          <w:marBottom w:val="0"/>
          <w:divBdr>
            <w:top w:val="none" w:sz="0" w:space="0" w:color="auto"/>
            <w:left w:val="none" w:sz="0" w:space="0" w:color="auto"/>
            <w:bottom w:val="none" w:sz="0" w:space="0" w:color="auto"/>
            <w:right w:val="none" w:sz="0" w:space="0" w:color="auto"/>
          </w:divBdr>
        </w:div>
        <w:div w:id="1297839153">
          <w:marLeft w:val="0"/>
          <w:marRight w:val="0"/>
          <w:marTop w:val="0"/>
          <w:marBottom w:val="0"/>
          <w:divBdr>
            <w:top w:val="none" w:sz="0" w:space="0" w:color="auto"/>
            <w:left w:val="none" w:sz="0" w:space="0" w:color="auto"/>
            <w:bottom w:val="none" w:sz="0" w:space="0" w:color="auto"/>
            <w:right w:val="none" w:sz="0" w:space="0" w:color="auto"/>
          </w:divBdr>
        </w:div>
        <w:div w:id="664435309">
          <w:marLeft w:val="0"/>
          <w:marRight w:val="0"/>
          <w:marTop w:val="0"/>
          <w:marBottom w:val="0"/>
          <w:divBdr>
            <w:top w:val="none" w:sz="0" w:space="0" w:color="auto"/>
            <w:left w:val="none" w:sz="0" w:space="0" w:color="auto"/>
            <w:bottom w:val="none" w:sz="0" w:space="0" w:color="auto"/>
            <w:right w:val="none" w:sz="0" w:space="0" w:color="auto"/>
          </w:divBdr>
        </w:div>
        <w:div w:id="1495340875">
          <w:marLeft w:val="0"/>
          <w:marRight w:val="0"/>
          <w:marTop w:val="0"/>
          <w:marBottom w:val="0"/>
          <w:divBdr>
            <w:top w:val="none" w:sz="0" w:space="0" w:color="auto"/>
            <w:left w:val="none" w:sz="0" w:space="0" w:color="auto"/>
            <w:bottom w:val="none" w:sz="0" w:space="0" w:color="auto"/>
            <w:right w:val="none" w:sz="0" w:space="0" w:color="auto"/>
          </w:divBdr>
        </w:div>
        <w:div w:id="692925186">
          <w:marLeft w:val="0"/>
          <w:marRight w:val="0"/>
          <w:marTop w:val="0"/>
          <w:marBottom w:val="0"/>
          <w:divBdr>
            <w:top w:val="none" w:sz="0" w:space="0" w:color="auto"/>
            <w:left w:val="none" w:sz="0" w:space="0" w:color="auto"/>
            <w:bottom w:val="none" w:sz="0" w:space="0" w:color="auto"/>
            <w:right w:val="none" w:sz="0" w:space="0" w:color="auto"/>
          </w:divBdr>
        </w:div>
        <w:div w:id="1675720758">
          <w:marLeft w:val="0"/>
          <w:marRight w:val="0"/>
          <w:marTop w:val="0"/>
          <w:marBottom w:val="0"/>
          <w:divBdr>
            <w:top w:val="none" w:sz="0" w:space="0" w:color="auto"/>
            <w:left w:val="none" w:sz="0" w:space="0" w:color="auto"/>
            <w:bottom w:val="none" w:sz="0" w:space="0" w:color="auto"/>
            <w:right w:val="none" w:sz="0" w:space="0" w:color="auto"/>
          </w:divBdr>
        </w:div>
        <w:div w:id="1848711729">
          <w:marLeft w:val="0"/>
          <w:marRight w:val="0"/>
          <w:marTop w:val="0"/>
          <w:marBottom w:val="0"/>
          <w:divBdr>
            <w:top w:val="none" w:sz="0" w:space="0" w:color="auto"/>
            <w:left w:val="none" w:sz="0" w:space="0" w:color="auto"/>
            <w:bottom w:val="none" w:sz="0" w:space="0" w:color="auto"/>
            <w:right w:val="none" w:sz="0" w:space="0" w:color="auto"/>
          </w:divBdr>
        </w:div>
        <w:div w:id="1574316749">
          <w:marLeft w:val="0"/>
          <w:marRight w:val="0"/>
          <w:marTop w:val="0"/>
          <w:marBottom w:val="0"/>
          <w:divBdr>
            <w:top w:val="none" w:sz="0" w:space="0" w:color="auto"/>
            <w:left w:val="none" w:sz="0" w:space="0" w:color="auto"/>
            <w:bottom w:val="none" w:sz="0" w:space="0" w:color="auto"/>
            <w:right w:val="none" w:sz="0" w:space="0" w:color="auto"/>
          </w:divBdr>
        </w:div>
        <w:div w:id="435515870">
          <w:marLeft w:val="0"/>
          <w:marRight w:val="0"/>
          <w:marTop w:val="0"/>
          <w:marBottom w:val="0"/>
          <w:divBdr>
            <w:top w:val="none" w:sz="0" w:space="0" w:color="auto"/>
            <w:left w:val="none" w:sz="0" w:space="0" w:color="auto"/>
            <w:bottom w:val="none" w:sz="0" w:space="0" w:color="auto"/>
            <w:right w:val="none" w:sz="0" w:space="0" w:color="auto"/>
          </w:divBdr>
        </w:div>
        <w:div w:id="237137157">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24567378">
          <w:marLeft w:val="0"/>
          <w:marRight w:val="0"/>
          <w:marTop w:val="0"/>
          <w:marBottom w:val="0"/>
          <w:divBdr>
            <w:top w:val="none" w:sz="0" w:space="0" w:color="auto"/>
            <w:left w:val="none" w:sz="0" w:space="0" w:color="auto"/>
            <w:bottom w:val="none" w:sz="0" w:space="0" w:color="auto"/>
            <w:right w:val="none" w:sz="0" w:space="0" w:color="auto"/>
          </w:divBdr>
        </w:div>
        <w:div w:id="500388031">
          <w:marLeft w:val="0"/>
          <w:marRight w:val="0"/>
          <w:marTop w:val="0"/>
          <w:marBottom w:val="0"/>
          <w:divBdr>
            <w:top w:val="none" w:sz="0" w:space="0" w:color="auto"/>
            <w:left w:val="none" w:sz="0" w:space="0" w:color="auto"/>
            <w:bottom w:val="none" w:sz="0" w:space="0" w:color="auto"/>
            <w:right w:val="none" w:sz="0" w:space="0" w:color="auto"/>
          </w:divBdr>
        </w:div>
        <w:div w:id="1247955673">
          <w:marLeft w:val="0"/>
          <w:marRight w:val="0"/>
          <w:marTop w:val="0"/>
          <w:marBottom w:val="0"/>
          <w:divBdr>
            <w:top w:val="none" w:sz="0" w:space="0" w:color="auto"/>
            <w:left w:val="none" w:sz="0" w:space="0" w:color="auto"/>
            <w:bottom w:val="none" w:sz="0" w:space="0" w:color="auto"/>
            <w:right w:val="none" w:sz="0" w:space="0" w:color="auto"/>
          </w:divBdr>
        </w:div>
        <w:div w:id="1965573482">
          <w:marLeft w:val="0"/>
          <w:marRight w:val="0"/>
          <w:marTop w:val="0"/>
          <w:marBottom w:val="0"/>
          <w:divBdr>
            <w:top w:val="none" w:sz="0" w:space="0" w:color="auto"/>
            <w:left w:val="none" w:sz="0" w:space="0" w:color="auto"/>
            <w:bottom w:val="none" w:sz="0" w:space="0" w:color="auto"/>
            <w:right w:val="none" w:sz="0" w:space="0" w:color="auto"/>
          </w:divBdr>
        </w:div>
        <w:div w:id="230431901">
          <w:marLeft w:val="0"/>
          <w:marRight w:val="0"/>
          <w:marTop w:val="0"/>
          <w:marBottom w:val="0"/>
          <w:divBdr>
            <w:top w:val="none" w:sz="0" w:space="0" w:color="auto"/>
            <w:left w:val="none" w:sz="0" w:space="0" w:color="auto"/>
            <w:bottom w:val="none" w:sz="0" w:space="0" w:color="auto"/>
            <w:right w:val="none" w:sz="0" w:space="0" w:color="auto"/>
          </w:divBdr>
        </w:div>
        <w:div w:id="1326862179">
          <w:marLeft w:val="0"/>
          <w:marRight w:val="0"/>
          <w:marTop w:val="0"/>
          <w:marBottom w:val="0"/>
          <w:divBdr>
            <w:top w:val="none" w:sz="0" w:space="0" w:color="auto"/>
            <w:left w:val="none" w:sz="0" w:space="0" w:color="auto"/>
            <w:bottom w:val="none" w:sz="0" w:space="0" w:color="auto"/>
            <w:right w:val="none" w:sz="0" w:space="0" w:color="auto"/>
          </w:divBdr>
        </w:div>
        <w:div w:id="995499293">
          <w:marLeft w:val="0"/>
          <w:marRight w:val="0"/>
          <w:marTop w:val="0"/>
          <w:marBottom w:val="0"/>
          <w:divBdr>
            <w:top w:val="none" w:sz="0" w:space="0" w:color="auto"/>
            <w:left w:val="none" w:sz="0" w:space="0" w:color="auto"/>
            <w:bottom w:val="none" w:sz="0" w:space="0" w:color="auto"/>
            <w:right w:val="none" w:sz="0" w:space="0" w:color="auto"/>
          </w:divBdr>
        </w:div>
        <w:div w:id="1619986982">
          <w:marLeft w:val="0"/>
          <w:marRight w:val="0"/>
          <w:marTop w:val="0"/>
          <w:marBottom w:val="0"/>
          <w:divBdr>
            <w:top w:val="none" w:sz="0" w:space="0" w:color="auto"/>
            <w:left w:val="none" w:sz="0" w:space="0" w:color="auto"/>
            <w:bottom w:val="none" w:sz="0" w:space="0" w:color="auto"/>
            <w:right w:val="none" w:sz="0" w:space="0" w:color="auto"/>
          </w:divBdr>
        </w:div>
        <w:div w:id="1787655016">
          <w:marLeft w:val="0"/>
          <w:marRight w:val="0"/>
          <w:marTop w:val="0"/>
          <w:marBottom w:val="0"/>
          <w:divBdr>
            <w:top w:val="none" w:sz="0" w:space="0" w:color="auto"/>
            <w:left w:val="none" w:sz="0" w:space="0" w:color="auto"/>
            <w:bottom w:val="none" w:sz="0" w:space="0" w:color="auto"/>
            <w:right w:val="none" w:sz="0" w:space="0" w:color="auto"/>
          </w:divBdr>
        </w:div>
        <w:div w:id="357969789">
          <w:marLeft w:val="0"/>
          <w:marRight w:val="0"/>
          <w:marTop w:val="0"/>
          <w:marBottom w:val="0"/>
          <w:divBdr>
            <w:top w:val="none" w:sz="0" w:space="0" w:color="auto"/>
            <w:left w:val="none" w:sz="0" w:space="0" w:color="auto"/>
            <w:bottom w:val="none" w:sz="0" w:space="0" w:color="auto"/>
            <w:right w:val="none" w:sz="0" w:space="0" w:color="auto"/>
          </w:divBdr>
        </w:div>
        <w:div w:id="1571035865">
          <w:marLeft w:val="0"/>
          <w:marRight w:val="0"/>
          <w:marTop w:val="0"/>
          <w:marBottom w:val="0"/>
          <w:divBdr>
            <w:top w:val="none" w:sz="0" w:space="0" w:color="auto"/>
            <w:left w:val="none" w:sz="0" w:space="0" w:color="auto"/>
            <w:bottom w:val="none" w:sz="0" w:space="0" w:color="auto"/>
            <w:right w:val="none" w:sz="0" w:space="0" w:color="auto"/>
          </w:divBdr>
        </w:div>
        <w:div w:id="1974560686">
          <w:marLeft w:val="0"/>
          <w:marRight w:val="0"/>
          <w:marTop w:val="0"/>
          <w:marBottom w:val="0"/>
          <w:divBdr>
            <w:top w:val="none" w:sz="0" w:space="0" w:color="auto"/>
            <w:left w:val="none" w:sz="0" w:space="0" w:color="auto"/>
            <w:bottom w:val="none" w:sz="0" w:space="0" w:color="auto"/>
            <w:right w:val="none" w:sz="0" w:space="0" w:color="auto"/>
          </w:divBdr>
        </w:div>
        <w:div w:id="505482521">
          <w:marLeft w:val="0"/>
          <w:marRight w:val="0"/>
          <w:marTop w:val="0"/>
          <w:marBottom w:val="0"/>
          <w:divBdr>
            <w:top w:val="none" w:sz="0" w:space="0" w:color="auto"/>
            <w:left w:val="none" w:sz="0" w:space="0" w:color="auto"/>
            <w:bottom w:val="none" w:sz="0" w:space="0" w:color="auto"/>
            <w:right w:val="none" w:sz="0" w:space="0" w:color="auto"/>
          </w:divBdr>
        </w:div>
        <w:div w:id="63766558">
          <w:marLeft w:val="0"/>
          <w:marRight w:val="0"/>
          <w:marTop w:val="0"/>
          <w:marBottom w:val="0"/>
          <w:divBdr>
            <w:top w:val="none" w:sz="0" w:space="0" w:color="auto"/>
            <w:left w:val="none" w:sz="0" w:space="0" w:color="auto"/>
            <w:bottom w:val="none" w:sz="0" w:space="0" w:color="auto"/>
            <w:right w:val="none" w:sz="0" w:space="0" w:color="auto"/>
          </w:divBdr>
        </w:div>
        <w:div w:id="224881110">
          <w:marLeft w:val="0"/>
          <w:marRight w:val="0"/>
          <w:marTop w:val="0"/>
          <w:marBottom w:val="0"/>
          <w:divBdr>
            <w:top w:val="none" w:sz="0" w:space="0" w:color="auto"/>
            <w:left w:val="none" w:sz="0" w:space="0" w:color="auto"/>
            <w:bottom w:val="none" w:sz="0" w:space="0" w:color="auto"/>
            <w:right w:val="none" w:sz="0" w:space="0" w:color="auto"/>
          </w:divBdr>
        </w:div>
        <w:div w:id="1393886421">
          <w:marLeft w:val="0"/>
          <w:marRight w:val="0"/>
          <w:marTop w:val="0"/>
          <w:marBottom w:val="0"/>
          <w:divBdr>
            <w:top w:val="none" w:sz="0" w:space="0" w:color="auto"/>
            <w:left w:val="none" w:sz="0" w:space="0" w:color="auto"/>
            <w:bottom w:val="none" w:sz="0" w:space="0" w:color="auto"/>
            <w:right w:val="none" w:sz="0" w:space="0" w:color="auto"/>
          </w:divBdr>
        </w:div>
        <w:div w:id="2056654338">
          <w:marLeft w:val="0"/>
          <w:marRight w:val="0"/>
          <w:marTop w:val="0"/>
          <w:marBottom w:val="0"/>
          <w:divBdr>
            <w:top w:val="none" w:sz="0" w:space="0" w:color="auto"/>
            <w:left w:val="none" w:sz="0" w:space="0" w:color="auto"/>
            <w:bottom w:val="none" w:sz="0" w:space="0" w:color="auto"/>
            <w:right w:val="none" w:sz="0" w:space="0" w:color="auto"/>
          </w:divBdr>
        </w:div>
        <w:div w:id="2089224735">
          <w:marLeft w:val="0"/>
          <w:marRight w:val="0"/>
          <w:marTop w:val="0"/>
          <w:marBottom w:val="0"/>
          <w:divBdr>
            <w:top w:val="none" w:sz="0" w:space="0" w:color="auto"/>
            <w:left w:val="none" w:sz="0" w:space="0" w:color="auto"/>
            <w:bottom w:val="none" w:sz="0" w:space="0" w:color="auto"/>
            <w:right w:val="none" w:sz="0" w:space="0" w:color="auto"/>
          </w:divBdr>
        </w:div>
        <w:div w:id="1572497131">
          <w:marLeft w:val="0"/>
          <w:marRight w:val="0"/>
          <w:marTop w:val="0"/>
          <w:marBottom w:val="0"/>
          <w:divBdr>
            <w:top w:val="none" w:sz="0" w:space="0" w:color="auto"/>
            <w:left w:val="none" w:sz="0" w:space="0" w:color="auto"/>
            <w:bottom w:val="none" w:sz="0" w:space="0" w:color="auto"/>
            <w:right w:val="none" w:sz="0" w:space="0" w:color="auto"/>
          </w:divBdr>
        </w:div>
        <w:div w:id="1516842056">
          <w:marLeft w:val="0"/>
          <w:marRight w:val="0"/>
          <w:marTop w:val="0"/>
          <w:marBottom w:val="0"/>
          <w:divBdr>
            <w:top w:val="none" w:sz="0" w:space="0" w:color="auto"/>
            <w:left w:val="none" w:sz="0" w:space="0" w:color="auto"/>
            <w:bottom w:val="none" w:sz="0" w:space="0" w:color="auto"/>
            <w:right w:val="none" w:sz="0" w:space="0" w:color="auto"/>
          </w:divBdr>
        </w:div>
        <w:div w:id="1367681120">
          <w:marLeft w:val="0"/>
          <w:marRight w:val="0"/>
          <w:marTop w:val="0"/>
          <w:marBottom w:val="0"/>
          <w:divBdr>
            <w:top w:val="none" w:sz="0" w:space="0" w:color="auto"/>
            <w:left w:val="none" w:sz="0" w:space="0" w:color="auto"/>
            <w:bottom w:val="none" w:sz="0" w:space="0" w:color="auto"/>
            <w:right w:val="none" w:sz="0" w:space="0" w:color="auto"/>
          </w:divBdr>
        </w:div>
        <w:div w:id="73817216">
          <w:marLeft w:val="0"/>
          <w:marRight w:val="0"/>
          <w:marTop w:val="0"/>
          <w:marBottom w:val="0"/>
          <w:divBdr>
            <w:top w:val="none" w:sz="0" w:space="0" w:color="auto"/>
            <w:left w:val="none" w:sz="0" w:space="0" w:color="auto"/>
            <w:bottom w:val="none" w:sz="0" w:space="0" w:color="auto"/>
            <w:right w:val="none" w:sz="0" w:space="0" w:color="auto"/>
          </w:divBdr>
        </w:div>
        <w:div w:id="917253449">
          <w:marLeft w:val="0"/>
          <w:marRight w:val="0"/>
          <w:marTop w:val="0"/>
          <w:marBottom w:val="0"/>
          <w:divBdr>
            <w:top w:val="none" w:sz="0" w:space="0" w:color="auto"/>
            <w:left w:val="none" w:sz="0" w:space="0" w:color="auto"/>
            <w:bottom w:val="none" w:sz="0" w:space="0" w:color="auto"/>
            <w:right w:val="none" w:sz="0" w:space="0" w:color="auto"/>
          </w:divBdr>
        </w:div>
        <w:div w:id="1490249665">
          <w:marLeft w:val="0"/>
          <w:marRight w:val="0"/>
          <w:marTop w:val="0"/>
          <w:marBottom w:val="0"/>
          <w:divBdr>
            <w:top w:val="none" w:sz="0" w:space="0" w:color="auto"/>
            <w:left w:val="none" w:sz="0" w:space="0" w:color="auto"/>
            <w:bottom w:val="none" w:sz="0" w:space="0" w:color="auto"/>
            <w:right w:val="none" w:sz="0" w:space="0" w:color="auto"/>
          </w:divBdr>
        </w:div>
        <w:div w:id="88939909">
          <w:marLeft w:val="0"/>
          <w:marRight w:val="0"/>
          <w:marTop w:val="0"/>
          <w:marBottom w:val="0"/>
          <w:divBdr>
            <w:top w:val="none" w:sz="0" w:space="0" w:color="auto"/>
            <w:left w:val="none" w:sz="0" w:space="0" w:color="auto"/>
            <w:bottom w:val="none" w:sz="0" w:space="0" w:color="auto"/>
            <w:right w:val="none" w:sz="0" w:space="0" w:color="auto"/>
          </w:divBdr>
        </w:div>
        <w:div w:id="427116324">
          <w:marLeft w:val="0"/>
          <w:marRight w:val="0"/>
          <w:marTop w:val="0"/>
          <w:marBottom w:val="0"/>
          <w:divBdr>
            <w:top w:val="none" w:sz="0" w:space="0" w:color="auto"/>
            <w:left w:val="none" w:sz="0" w:space="0" w:color="auto"/>
            <w:bottom w:val="none" w:sz="0" w:space="0" w:color="auto"/>
            <w:right w:val="none" w:sz="0" w:space="0" w:color="auto"/>
          </w:divBdr>
        </w:div>
        <w:div w:id="1276596931">
          <w:marLeft w:val="0"/>
          <w:marRight w:val="0"/>
          <w:marTop w:val="0"/>
          <w:marBottom w:val="0"/>
          <w:divBdr>
            <w:top w:val="none" w:sz="0" w:space="0" w:color="auto"/>
            <w:left w:val="none" w:sz="0" w:space="0" w:color="auto"/>
            <w:bottom w:val="none" w:sz="0" w:space="0" w:color="auto"/>
            <w:right w:val="none" w:sz="0" w:space="0" w:color="auto"/>
          </w:divBdr>
        </w:div>
        <w:div w:id="281032989">
          <w:marLeft w:val="0"/>
          <w:marRight w:val="0"/>
          <w:marTop w:val="0"/>
          <w:marBottom w:val="0"/>
          <w:divBdr>
            <w:top w:val="none" w:sz="0" w:space="0" w:color="auto"/>
            <w:left w:val="none" w:sz="0" w:space="0" w:color="auto"/>
            <w:bottom w:val="none" w:sz="0" w:space="0" w:color="auto"/>
            <w:right w:val="none" w:sz="0" w:space="0" w:color="auto"/>
          </w:divBdr>
        </w:div>
        <w:div w:id="511727312">
          <w:marLeft w:val="0"/>
          <w:marRight w:val="0"/>
          <w:marTop w:val="0"/>
          <w:marBottom w:val="0"/>
          <w:divBdr>
            <w:top w:val="none" w:sz="0" w:space="0" w:color="auto"/>
            <w:left w:val="none" w:sz="0" w:space="0" w:color="auto"/>
            <w:bottom w:val="none" w:sz="0" w:space="0" w:color="auto"/>
            <w:right w:val="none" w:sz="0" w:space="0" w:color="auto"/>
          </w:divBdr>
        </w:div>
        <w:div w:id="313145050">
          <w:marLeft w:val="0"/>
          <w:marRight w:val="0"/>
          <w:marTop w:val="0"/>
          <w:marBottom w:val="0"/>
          <w:divBdr>
            <w:top w:val="none" w:sz="0" w:space="0" w:color="auto"/>
            <w:left w:val="none" w:sz="0" w:space="0" w:color="auto"/>
            <w:bottom w:val="none" w:sz="0" w:space="0" w:color="auto"/>
            <w:right w:val="none" w:sz="0" w:space="0" w:color="auto"/>
          </w:divBdr>
        </w:div>
        <w:div w:id="1601991767">
          <w:marLeft w:val="0"/>
          <w:marRight w:val="0"/>
          <w:marTop w:val="0"/>
          <w:marBottom w:val="0"/>
          <w:divBdr>
            <w:top w:val="none" w:sz="0" w:space="0" w:color="auto"/>
            <w:left w:val="none" w:sz="0" w:space="0" w:color="auto"/>
            <w:bottom w:val="none" w:sz="0" w:space="0" w:color="auto"/>
            <w:right w:val="none" w:sz="0" w:space="0" w:color="auto"/>
          </w:divBdr>
        </w:div>
        <w:div w:id="1325664559">
          <w:marLeft w:val="0"/>
          <w:marRight w:val="0"/>
          <w:marTop w:val="0"/>
          <w:marBottom w:val="0"/>
          <w:divBdr>
            <w:top w:val="none" w:sz="0" w:space="0" w:color="auto"/>
            <w:left w:val="none" w:sz="0" w:space="0" w:color="auto"/>
            <w:bottom w:val="none" w:sz="0" w:space="0" w:color="auto"/>
            <w:right w:val="none" w:sz="0" w:space="0" w:color="auto"/>
          </w:divBdr>
        </w:div>
        <w:div w:id="1428842172">
          <w:marLeft w:val="0"/>
          <w:marRight w:val="0"/>
          <w:marTop w:val="0"/>
          <w:marBottom w:val="0"/>
          <w:divBdr>
            <w:top w:val="none" w:sz="0" w:space="0" w:color="auto"/>
            <w:left w:val="none" w:sz="0" w:space="0" w:color="auto"/>
            <w:bottom w:val="none" w:sz="0" w:space="0" w:color="auto"/>
            <w:right w:val="none" w:sz="0" w:space="0" w:color="auto"/>
          </w:divBdr>
        </w:div>
        <w:div w:id="1508864448">
          <w:marLeft w:val="0"/>
          <w:marRight w:val="0"/>
          <w:marTop w:val="0"/>
          <w:marBottom w:val="0"/>
          <w:divBdr>
            <w:top w:val="none" w:sz="0" w:space="0" w:color="auto"/>
            <w:left w:val="none" w:sz="0" w:space="0" w:color="auto"/>
            <w:bottom w:val="none" w:sz="0" w:space="0" w:color="auto"/>
            <w:right w:val="none" w:sz="0" w:space="0" w:color="auto"/>
          </w:divBdr>
        </w:div>
        <w:div w:id="1983927928">
          <w:marLeft w:val="0"/>
          <w:marRight w:val="0"/>
          <w:marTop w:val="0"/>
          <w:marBottom w:val="0"/>
          <w:divBdr>
            <w:top w:val="none" w:sz="0" w:space="0" w:color="auto"/>
            <w:left w:val="none" w:sz="0" w:space="0" w:color="auto"/>
            <w:bottom w:val="none" w:sz="0" w:space="0" w:color="auto"/>
            <w:right w:val="none" w:sz="0" w:space="0" w:color="auto"/>
          </w:divBdr>
        </w:div>
        <w:div w:id="1422028068">
          <w:marLeft w:val="0"/>
          <w:marRight w:val="0"/>
          <w:marTop w:val="0"/>
          <w:marBottom w:val="0"/>
          <w:divBdr>
            <w:top w:val="none" w:sz="0" w:space="0" w:color="auto"/>
            <w:left w:val="none" w:sz="0" w:space="0" w:color="auto"/>
            <w:bottom w:val="none" w:sz="0" w:space="0" w:color="auto"/>
            <w:right w:val="none" w:sz="0" w:space="0" w:color="auto"/>
          </w:divBdr>
        </w:div>
        <w:div w:id="664164955">
          <w:marLeft w:val="0"/>
          <w:marRight w:val="0"/>
          <w:marTop w:val="0"/>
          <w:marBottom w:val="0"/>
          <w:divBdr>
            <w:top w:val="none" w:sz="0" w:space="0" w:color="auto"/>
            <w:left w:val="none" w:sz="0" w:space="0" w:color="auto"/>
            <w:bottom w:val="none" w:sz="0" w:space="0" w:color="auto"/>
            <w:right w:val="none" w:sz="0" w:space="0" w:color="auto"/>
          </w:divBdr>
        </w:div>
        <w:div w:id="1747725964">
          <w:marLeft w:val="0"/>
          <w:marRight w:val="0"/>
          <w:marTop w:val="0"/>
          <w:marBottom w:val="0"/>
          <w:divBdr>
            <w:top w:val="none" w:sz="0" w:space="0" w:color="auto"/>
            <w:left w:val="none" w:sz="0" w:space="0" w:color="auto"/>
            <w:bottom w:val="none" w:sz="0" w:space="0" w:color="auto"/>
            <w:right w:val="none" w:sz="0" w:space="0" w:color="auto"/>
          </w:divBdr>
        </w:div>
        <w:div w:id="1204555543">
          <w:marLeft w:val="0"/>
          <w:marRight w:val="0"/>
          <w:marTop w:val="0"/>
          <w:marBottom w:val="0"/>
          <w:divBdr>
            <w:top w:val="none" w:sz="0" w:space="0" w:color="auto"/>
            <w:left w:val="none" w:sz="0" w:space="0" w:color="auto"/>
            <w:bottom w:val="none" w:sz="0" w:space="0" w:color="auto"/>
            <w:right w:val="none" w:sz="0" w:space="0" w:color="auto"/>
          </w:divBdr>
        </w:div>
        <w:div w:id="1626085757">
          <w:marLeft w:val="0"/>
          <w:marRight w:val="0"/>
          <w:marTop w:val="0"/>
          <w:marBottom w:val="0"/>
          <w:divBdr>
            <w:top w:val="none" w:sz="0" w:space="0" w:color="auto"/>
            <w:left w:val="none" w:sz="0" w:space="0" w:color="auto"/>
            <w:bottom w:val="none" w:sz="0" w:space="0" w:color="auto"/>
            <w:right w:val="none" w:sz="0" w:space="0" w:color="auto"/>
          </w:divBdr>
        </w:div>
        <w:div w:id="1866627716">
          <w:marLeft w:val="0"/>
          <w:marRight w:val="0"/>
          <w:marTop w:val="0"/>
          <w:marBottom w:val="0"/>
          <w:divBdr>
            <w:top w:val="none" w:sz="0" w:space="0" w:color="auto"/>
            <w:left w:val="none" w:sz="0" w:space="0" w:color="auto"/>
            <w:bottom w:val="none" w:sz="0" w:space="0" w:color="auto"/>
            <w:right w:val="none" w:sz="0" w:space="0" w:color="auto"/>
          </w:divBdr>
        </w:div>
        <w:div w:id="1371106454">
          <w:marLeft w:val="0"/>
          <w:marRight w:val="0"/>
          <w:marTop w:val="0"/>
          <w:marBottom w:val="0"/>
          <w:divBdr>
            <w:top w:val="none" w:sz="0" w:space="0" w:color="auto"/>
            <w:left w:val="none" w:sz="0" w:space="0" w:color="auto"/>
            <w:bottom w:val="none" w:sz="0" w:space="0" w:color="auto"/>
            <w:right w:val="none" w:sz="0" w:space="0" w:color="auto"/>
          </w:divBdr>
        </w:div>
        <w:div w:id="1623028156">
          <w:marLeft w:val="0"/>
          <w:marRight w:val="0"/>
          <w:marTop w:val="0"/>
          <w:marBottom w:val="0"/>
          <w:divBdr>
            <w:top w:val="none" w:sz="0" w:space="0" w:color="auto"/>
            <w:left w:val="none" w:sz="0" w:space="0" w:color="auto"/>
            <w:bottom w:val="none" w:sz="0" w:space="0" w:color="auto"/>
            <w:right w:val="none" w:sz="0" w:space="0" w:color="auto"/>
          </w:divBdr>
        </w:div>
        <w:div w:id="1572932617">
          <w:marLeft w:val="0"/>
          <w:marRight w:val="0"/>
          <w:marTop w:val="0"/>
          <w:marBottom w:val="0"/>
          <w:divBdr>
            <w:top w:val="none" w:sz="0" w:space="0" w:color="auto"/>
            <w:left w:val="none" w:sz="0" w:space="0" w:color="auto"/>
            <w:bottom w:val="none" w:sz="0" w:space="0" w:color="auto"/>
            <w:right w:val="none" w:sz="0" w:space="0" w:color="auto"/>
          </w:divBdr>
        </w:div>
        <w:div w:id="1249735609">
          <w:marLeft w:val="0"/>
          <w:marRight w:val="0"/>
          <w:marTop w:val="0"/>
          <w:marBottom w:val="0"/>
          <w:divBdr>
            <w:top w:val="none" w:sz="0" w:space="0" w:color="auto"/>
            <w:left w:val="none" w:sz="0" w:space="0" w:color="auto"/>
            <w:bottom w:val="none" w:sz="0" w:space="0" w:color="auto"/>
            <w:right w:val="none" w:sz="0" w:space="0" w:color="auto"/>
          </w:divBdr>
        </w:div>
        <w:div w:id="767888147">
          <w:marLeft w:val="0"/>
          <w:marRight w:val="0"/>
          <w:marTop w:val="0"/>
          <w:marBottom w:val="0"/>
          <w:divBdr>
            <w:top w:val="none" w:sz="0" w:space="0" w:color="auto"/>
            <w:left w:val="none" w:sz="0" w:space="0" w:color="auto"/>
            <w:bottom w:val="none" w:sz="0" w:space="0" w:color="auto"/>
            <w:right w:val="none" w:sz="0" w:space="0" w:color="auto"/>
          </w:divBdr>
        </w:div>
        <w:div w:id="1742363890">
          <w:marLeft w:val="0"/>
          <w:marRight w:val="0"/>
          <w:marTop w:val="0"/>
          <w:marBottom w:val="0"/>
          <w:divBdr>
            <w:top w:val="none" w:sz="0" w:space="0" w:color="auto"/>
            <w:left w:val="none" w:sz="0" w:space="0" w:color="auto"/>
            <w:bottom w:val="none" w:sz="0" w:space="0" w:color="auto"/>
            <w:right w:val="none" w:sz="0" w:space="0" w:color="auto"/>
          </w:divBdr>
        </w:div>
        <w:div w:id="1290164097">
          <w:marLeft w:val="0"/>
          <w:marRight w:val="0"/>
          <w:marTop w:val="0"/>
          <w:marBottom w:val="0"/>
          <w:divBdr>
            <w:top w:val="none" w:sz="0" w:space="0" w:color="auto"/>
            <w:left w:val="none" w:sz="0" w:space="0" w:color="auto"/>
            <w:bottom w:val="none" w:sz="0" w:space="0" w:color="auto"/>
            <w:right w:val="none" w:sz="0" w:space="0" w:color="auto"/>
          </w:divBdr>
        </w:div>
        <w:div w:id="363335130">
          <w:marLeft w:val="0"/>
          <w:marRight w:val="0"/>
          <w:marTop w:val="0"/>
          <w:marBottom w:val="0"/>
          <w:divBdr>
            <w:top w:val="none" w:sz="0" w:space="0" w:color="auto"/>
            <w:left w:val="none" w:sz="0" w:space="0" w:color="auto"/>
            <w:bottom w:val="none" w:sz="0" w:space="0" w:color="auto"/>
            <w:right w:val="none" w:sz="0" w:space="0" w:color="auto"/>
          </w:divBdr>
        </w:div>
        <w:div w:id="49424488">
          <w:marLeft w:val="0"/>
          <w:marRight w:val="0"/>
          <w:marTop w:val="0"/>
          <w:marBottom w:val="0"/>
          <w:divBdr>
            <w:top w:val="none" w:sz="0" w:space="0" w:color="auto"/>
            <w:left w:val="none" w:sz="0" w:space="0" w:color="auto"/>
            <w:bottom w:val="none" w:sz="0" w:space="0" w:color="auto"/>
            <w:right w:val="none" w:sz="0" w:space="0" w:color="auto"/>
          </w:divBdr>
        </w:div>
        <w:div w:id="809053782">
          <w:marLeft w:val="0"/>
          <w:marRight w:val="0"/>
          <w:marTop w:val="0"/>
          <w:marBottom w:val="0"/>
          <w:divBdr>
            <w:top w:val="none" w:sz="0" w:space="0" w:color="auto"/>
            <w:left w:val="none" w:sz="0" w:space="0" w:color="auto"/>
            <w:bottom w:val="none" w:sz="0" w:space="0" w:color="auto"/>
            <w:right w:val="none" w:sz="0" w:space="0" w:color="auto"/>
          </w:divBdr>
        </w:div>
        <w:div w:id="758675648">
          <w:marLeft w:val="0"/>
          <w:marRight w:val="0"/>
          <w:marTop w:val="0"/>
          <w:marBottom w:val="0"/>
          <w:divBdr>
            <w:top w:val="none" w:sz="0" w:space="0" w:color="auto"/>
            <w:left w:val="none" w:sz="0" w:space="0" w:color="auto"/>
            <w:bottom w:val="none" w:sz="0" w:space="0" w:color="auto"/>
            <w:right w:val="none" w:sz="0" w:space="0" w:color="auto"/>
          </w:divBdr>
        </w:div>
        <w:div w:id="480662940">
          <w:marLeft w:val="0"/>
          <w:marRight w:val="0"/>
          <w:marTop w:val="0"/>
          <w:marBottom w:val="0"/>
          <w:divBdr>
            <w:top w:val="none" w:sz="0" w:space="0" w:color="auto"/>
            <w:left w:val="none" w:sz="0" w:space="0" w:color="auto"/>
            <w:bottom w:val="none" w:sz="0" w:space="0" w:color="auto"/>
            <w:right w:val="none" w:sz="0" w:space="0" w:color="auto"/>
          </w:divBdr>
        </w:div>
        <w:div w:id="1441729655">
          <w:marLeft w:val="0"/>
          <w:marRight w:val="0"/>
          <w:marTop w:val="0"/>
          <w:marBottom w:val="0"/>
          <w:divBdr>
            <w:top w:val="none" w:sz="0" w:space="0" w:color="auto"/>
            <w:left w:val="none" w:sz="0" w:space="0" w:color="auto"/>
            <w:bottom w:val="none" w:sz="0" w:space="0" w:color="auto"/>
            <w:right w:val="none" w:sz="0" w:space="0" w:color="auto"/>
          </w:divBdr>
        </w:div>
        <w:div w:id="897981744">
          <w:marLeft w:val="0"/>
          <w:marRight w:val="0"/>
          <w:marTop w:val="0"/>
          <w:marBottom w:val="0"/>
          <w:divBdr>
            <w:top w:val="none" w:sz="0" w:space="0" w:color="auto"/>
            <w:left w:val="none" w:sz="0" w:space="0" w:color="auto"/>
            <w:bottom w:val="none" w:sz="0" w:space="0" w:color="auto"/>
            <w:right w:val="none" w:sz="0" w:space="0" w:color="auto"/>
          </w:divBdr>
        </w:div>
        <w:div w:id="1361125540">
          <w:marLeft w:val="0"/>
          <w:marRight w:val="0"/>
          <w:marTop w:val="0"/>
          <w:marBottom w:val="0"/>
          <w:divBdr>
            <w:top w:val="none" w:sz="0" w:space="0" w:color="auto"/>
            <w:left w:val="none" w:sz="0" w:space="0" w:color="auto"/>
            <w:bottom w:val="none" w:sz="0" w:space="0" w:color="auto"/>
            <w:right w:val="none" w:sz="0" w:space="0" w:color="auto"/>
          </w:divBdr>
        </w:div>
        <w:div w:id="972904179">
          <w:marLeft w:val="0"/>
          <w:marRight w:val="0"/>
          <w:marTop w:val="0"/>
          <w:marBottom w:val="0"/>
          <w:divBdr>
            <w:top w:val="none" w:sz="0" w:space="0" w:color="auto"/>
            <w:left w:val="none" w:sz="0" w:space="0" w:color="auto"/>
            <w:bottom w:val="none" w:sz="0" w:space="0" w:color="auto"/>
            <w:right w:val="none" w:sz="0" w:space="0" w:color="auto"/>
          </w:divBdr>
        </w:div>
        <w:div w:id="1511065691">
          <w:marLeft w:val="0"/>
          <w:marRight w:val="0"/>
          <w:marTop w:val="0"/>
          <w:marBottom w:val="0"/>
          <w:divBdr>
            <w:top w:val="none" w:sz="0" w:space="0" w:color="auto"/>
            <w:left w:val="none" w:sz="0" w:space="0" w:color="auto"/>
            <w:bottom w:val="none" w:sz="0" w:space="0" w:color="auto"/>
            <w:right w:val="none" w:sz="0" w:space="0" w:color="auto"/>
          </w:divBdr>
        </w:div>
        <w:div w:id="220290350">
          <w:marLeft w:val="0"/>
          <w:marRight w:val="0"/>
          <w:marTop w:val="0"/>
          <w:marBottom w:val="0"/>
          <w:divBdr>
            <w:top w:val="none" w:sz="0" w:space="0" w:color="auto"/>
            <w:left w:val="none" w:sz="0" w:space="0" w:color="auto"/>
            <w:bottom w:val="none" w:sz="0" w:space="0" w:color="auto"/>
            <w:right w:val="none" w:sz="0" w:space="0" w:color="auto"/>
          </w:divBdr>
        </w:div>
        <w:div w:id="1180042807">
          <w:marLeft w:val="0"/>
          <w:marRight w:val="0"/>
          <w:marTop w:val="0"/>
          <w:marBottom w:val="0"/>
          <w:divBdr>
            <w:top w:val="none" w:sz="0" w:space="0" w:color="auto"/>
            <w:left w:val="none" w:sz="0" w:space="0" w:color="auto"/>
            <w:bottom w:val="none" w:sz="0" w:space="0" w:color="auto"/>
            <w:right w:val="none" w:sz="0" w:space="0" w:color="auto"/>
          </w:divBdr>
        </w:div>
        <w:div w:id="2049639557">
          <w:marLeft w:val="0"/>
          <w:marRight w:val="0"/>
          <w:marTop w:val="0"/>
          <w:marBottom w:val="0"/>
          <w:divBdr>
            <w:top w:val="none" w:sz="0" w:space="0" w:color="auto"/>
            <w:left w:val="none" w:sz="0" w:space="0" w:color="auto"/>
            <w:bottom w:val="none" w:sz="0" w:space="0" w:color="auto"/>
            <w:right w:val="none" w:sz="0" w:space="0" w:color="auto"/>
          </w:divBdr>
        </w:div>
        <w:div w:id="1934432266">
          <w:marLeft w:val="0"/>
          <w:marRight w:val="0"/>
          <w:marTop w:val="0"/>
          <w:marBottom w:val="0"/>
          <w:divBdr>
            <w:top w:val="none" w:sz="0" w:space="0" w:color="auto"/>
            <w:left w:val="none" w:sz="0" w:space="0" w:color="auto"/>
            <w:bottom w:val="none" w:sz="0" w:space="0" w:color="auto"/>
            <w:right w:val="none" w:sz="0" w:space="0" w:color="auto"/>
          </w:divBdr>
        </w:div>
      </w:divsChild>
    </w:div>
    <w:div w:id="926570517">
      <w:bodyDiv w:val="1"/>
      <w:marLeft w:val="0"/>
      <w:marRight w:val="0"/>
      <w:marTop w:val="0"/>
      <w:marBottom w:val="0"/>
      <w:divBdr>
        <w:top w:val="none" w:sz="0" w:space="0" w:color="auto"/>
        <w:left w:val="none" w:sz="0" w:space="0" w:color="auto"/>
        <w:bottom w:val="none" w:sz="0" w:space="0" w:color="auto"/>
        <w:right w:val="none" w:sz="0" w:space="0" w:color="auto"/>
      </w:divBdr>
      <w:divsChild>
        <w:div w:id="1094594240">
          <w:marLeft w:val="0"/>
          <w:marRight w:val="0"/>
          <w:marTop w:val="0"/>
          <w:marBottom w:val="0"/>
          <w:divBdr>
            <w:top w:val="none" w:sz="0" w:space="0" w:color="auto"/>
            <w:left w:val="none" w:sz="0" w:space="0" w:color="auto"/>
            <w:bottom w:val="none" w:sz="0" w:space="0" w:color="auto"/>
            <w:right w:val="none" w:sz="0" w:space="0" w:color="auto"/>
          </w:divBdr>
        </w:div>
        <w:div w:id="435102967">
          <w:marLeft w:val="0"/>
          <w:marRight w:val="0"/>
          <w:marTop w:val="0"/>
          <w:marBottom w:val="0"/>
          <w:divBdr>
            <w:top w:val="none" w:sz="0" w:space="0" w:color="auto"/>
            <w:left w:val="none" w:sz="0" w:space="0" w:color="auto"/>
            <w:bottom w:val="none" w:sz="0" w:space="0" w:color="auto"/>
            <w:right w:val="none" w:sz="0" w:space="0" w:color="auto"/>
          </w:divBdr>
        </w:div>
      </w:divsChild>
    </w:div>
    <w:div w:id="951942275">
      <w:bodyDiv w:val="1"/>
      <w:marLeft w:val="0"/>
      <w:marRight w:val="0"/>
      <w:marTop w:val="0"/>
      <w:marBottom w:val="0"/>
      <w:divBdr>
        <w:top w:val="none" w:sz="0" w:space="0" w:color="auto"/>
        <w:left w:val="none" w:sz="0" w:space="0" w:color="auto"/>
        <w:bottom w:val="none" w:sz="0" w:space="0" w:color="auto"/>
        <w:right w:val="none" w:sz="0" w:space="0" w:color="auto"/>
      </w:divBdr>
    </w:div>
    <w:div w:id="977108000">
      <w:bodyDiv w:val="1"/>
      <w:marLeft w:val="0"/>
      <w:marRight w:val="0"/>
      <w:marTop w:val="0"/>
      <w:marBottom w:val="0"/>
      <w:divBdr>
        <w:top w:val="none" w:sz="0" w:space="0" w:color="auto"/>
        <w:left w:val="none" w:sz="0" w:space="0" w:color="auto"/>
        <w:bottom w:val="none" w:sz="0" w:space="0" w:color="auto"/>
        <w:right w:val="none" w:sz="0" w:space="0" w:color="auto"/>
      </w:divBdr>
    </w:div>
    <w:div w:id="985007885">
      <w:bodyDiv w:val="1"/>
      <w:marLeft w:val="0"/>
      <w:marRight w:val="0"/>
      <w:marTop w:val="0"/>
      <w:marBottom w:val="0"/>
      <w:divBdr>
        <w:top w:val="none" w:sz="0" w:space="0" w:color="auto"/>
        <w:left w:val="none" w:sz="0" w:space="0" w:color="auto"/>
        <w:bottom w:val="none" w:sz="0" w:space="0" w:color="auto"/>
        <w:right w:val="none" w:sz="0" w:space="0" w:color="auto"/>
      </w:divBdr>
    </w:div>
    <w:div w:id="1022515223">
      <w:bodyDiv w:val="1"/>
      <w:marLeft w:val="0"/>
      <w:marRight w:val="0"/>
      <w:marTop w:val="0"/>
      <w:marBottom w:val="0"/>
      <w:divBdr>
        <w:top w:val="none" w:sz="0" w:space="0" w:color="auto"/>
        <w:left w:val="none" w:sz="0" w:space="0" w:color="auto"/>
        <w:bottom w:val="none" w:sz="0" w:space="0" w:color="auto"/>
        <w:right w:val="none" w:sz="0" w:space="0" w:color="auto"/>
      </w:divBdr>
      <w:divsChild>
        <w:div w:id="375855150">
          <w:marLeft w:val="0"/>
          <w:marRight w:val="0"/>
          <w:marTop w:val="0"/>
          <w:marBottom w:val="0"/>
          <w:divBdr>
            <w:top w:val="none" w:sz="0" w:space="0" w:color="auto"/>
            <w:left w:val="none" w:sz="0" w:space="0" w:color="auto"/>
            <w:bottom w:val="none" w:sz="0" w:space="0" w:color="auto"/>
            <w:right w:val="none" w:sz="0" w:space="0" w:color="auto"/>
          </w:divBdr>
          <w:divsChild>
            <w:div w:id="1432386746">
              <w:marLeft w:val="0"/>
              <w:marRight w:val="0"/>
              <w:marTop w:val="0"/>
              <w:marBottom w:val="0"/>
              <w:divBdr>
                <w:top w:val="none" w:sz="0" w:space="0" w:color="auto"/>
                <w:left w:val="none" w:sz="0" w:space="0" w:color="auto"/>
                <w:bottom w:val="none" w:sz="0" w:space="0" w:color="auto"/>
                <w:right w:val="none" w:sz="0" w:space="0" w:color="auto"/>
              </w:divBdr>
              <w:divsChild>
                <w:div w:id="8494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3241">
      <w:bodyDiv w:val="1"/>
      <w:marLeft w:val="0"/>
      <w:marRight w:val="0"/>
      <w:marTop w:val="0"/>
      <w:marBottom w:val="0"/>
      <w:divBdr>
        <w:top w:val="none" w:sz="0" w:space="0" w:color="auto"/>
        <w:left w:val="none" w:sz="0" w:space="0" w:color="auto"/>
        <w:bottom w:val="none" w:sz="0" w:space="0" w:color="auto"/>
        <w:right w:val="none" w:sz="0" w:space="0" w:color="auto"/>
      </w:divBdr>
    </w:div>
    <w:div w:id="1374963344">
      <w:bodyDiv w:val="1"/>
      <w:marLeft w:val="0"/>
      <w:marRight w:val="0"/>
      <w:marTop w:val="0"/>
      <w:marBottom w:val="0"/>
      <w:divBdr>
        <w:top w:val="none" w:sz="0" w:space="0" w:color="auto"/>
        <w:left w:val="none" w:sz="0" w:space="0" w:color="auto"/>
        <w:bottom w:val="none" w:sz="0" w:space="0" w:color="auto"/>
        <w:right w:val="none" w:sz="0" w:space="0" w:color="auto"/>
      </w:divBdr>
    </w:div>
    <w:div w:id="1534537025">
      <w:bodyDiv w:val="1"/>
      <w:marLeft w:val="0"/>
      <w:marRight w:val="0"/>
      <w:marTop w:val="0"/>
      <w:marBottom w:val="0"/>
      <w:divBdr>
        <w:top w:val="none" w:sz="0" w:space="0" w:color="auto"/>
        <w:left w:val="none" w:sz="0" w:space="0" w:color="auto"/>
        <w:bottom w:val="none" w:sz="0" w:space="0" w:color="auto"/>
        <w:right w:val="none" w:sz="0" w:space="0" w:color="auto"/>
      </w:divBdr>
    </w:div>
    <w:div w:id="1546407942">
      <w:bodyDiv w:val="1"/>
      <w:marLeft w:val="0"/>
      <w:marRight w:val="0"/>
      <w:marTop w:val="0"/>
      <w:marBottom w:val="0"/>
      <w:divBdr>
        <w:top w:val="none" w:sz="0" w:space="0" w:color="auto"/>
        <w:left w:val="none" w:sz="0" w:space="0" w:color="auto"/>
        <w:bottom w:val="none" w:sz="0" w:space="0" w:color="auto"/>
        <w:right w:val="none" w:sz="0" w:space="0" w:color="auto"/>
      </w:divBdr>
    </w:div>
    <w:div w:id="1677264055">
      <w:bodyDiv w:val="1"/>
      <w:marLeft w:val="0"/>
      <w:marRight w:val="0"/>
      <w:marTop w:val="0"/>
      <w:marBottom w:val="0"/>
      <w:divBdr>
        <w:top w:val="none" w:sz="0" w:space="0" w:color="auto"/>
        <w:left w:val="none" w:sz="0" w:space="0" w:color="auto"/>
        <w:bottom w:val="none" w:sz="0" w:space="0" w:color="auto"/>
        <w:right w:val="none" w:sz="0" w:space="0" w:color="auto"/>
      </w:divBdr>
      <w:divsChild>
        <w:div w:id="2103404697">
          <w:marLeft w:val="0"/>
          <w:marRight w:val="0"/>
          <w:marTop w:val="0"/>
          <w:marBottom w:val="0"/>
          <w:divBdr>
            <w:top w:val="none" w:sz="0" w:space="0" w:color="auto"/>
            <w:left w:val="none" w:sz="0" w:space="0" w:color="auto"/>
            <w:bottom w:val="none" w:sz="0" w:space="0" w:color="auto"/>
            <w:right w:val="none" w:sz="0" w:space="0" w:color="auto"/>
          </w:divBdr>
          <w:divsChild>
            <w:div w:id="2123570515">
              <w:marLeft w:val="0"/>
              <w:marRight w:val="0"/>
              <w:marTop w:val="0"/>
              <w:marBottom w:val="0"/>
              <w:divBdr>
                <w:top w:val="none" w:sz="0" w:space="0" w:color="auto"/>
                <w:left w:val="none" w:sz="0" w:space="0" w:color="auto"/>
                <w:bottom w:val="none" w:sz="0" w:space="0" w:color="auto"/>
                <w:right w:val="none" w:sz="0" w:space="0" w:color="auto"/>
              </w:divBdr>
              <w:divsChild>
                <w:div w:id="405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BDA1-939E-7D4D-92C5-DB142978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5192</Words>
  <Characters>29598</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2022-04-10T16:34:00Z</dcterms:created>
  <dcterms:modified xsi:type="dcterms:W3CDTF">2022-04-10T16:34:00Z</dcterms:modified>
</cp:coreProperties>
</file>