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62" w:rsidRPr="007442C2" w:rsidRDefault="00874062" w:rsidP="00A46735">
      <w:pPr>
        <w:pStyle w:val="Default"/>
        <w:spacing w:line="360" w:lineRule="auto"/>
        <w:jc w:val="both"/>
        <w:rPr>
          <w:rFonts w:ascii="Times New Roman" w:hAnsi="Times New Roman" w:cs="Times New Roman"/>
          <w:color w:val="7030A0"/>
        </w:rPr>
      </w:pPr>
      <w:r>
        <w:rPr>
          <w:rFonts w:ascii="Times New Roman" w:hAnsi="Times New Roman" w:cs="Times New Roman"/>
          <w:b/>
          <w:bCs/>
        </w:rPr>
        <w:t>The Impact of COVID-19 Pandemic on Social Welfare and the Health System C</w:t>
      </w:r>
      <w:r w:rsidR="00130062" w:rsidRPr="007442C2">
        <w:rPr>
          <w:rFonts w:ascii="Times New Roman" w:hAnsi="Times New Roman" w:cs="Times New Roman"/>
          <w:b/>
          <w:bCs/>
        </w:rPr>
        <w:t>apacity of East African Eco</w:t>
      </w:r>
      <w:r>
        <w:rPr>
          <w:rFonts w:ascii="Times New Roman" w:hAnsi="Times New Roman" w:cs="Times New Roman"/>
          <w:b/>
          <w:bCs/>
        </w:rPr>
        <w:t>nomies: A Comparative Analysis</w:t>
      </w:r>
    </w:p>
    <w:p w:rsidR="00A46735" w:rsidRPr="007442C2" w:rsidRDefault="00A46735" w:rsidP="00130062">
      <w:pPr>
        <w:autoSpaceDE w:val="0"/>
        <w:autoSpaceDN w:val="0"/>
        <w:adjustRightInd w:val="0"/>
        <w:spacing w:after="0" w:line="360" w:lineRule="auto"/>
        <w:jc w:val="both"/>
        <w:rPr>
          <w:rFonts w:ascii="Times New Roman" w:hAnsi="Times New Roman" w:cs="Times New Roman"/>
          <w:color w:val="000000"/>
          <w:sz w:val="24"/>
          <w:szCs w:val="24"/>
        </w:rPr>
      </w:pPr>
      <w:r w:rsidRPr="007442C2">
        <w:rPr>
          <w:rFonts w:ascii="Times New Roman" w:hAnsi="Times New Roman" w:cs="Times New Roman"/>
          <w:color w:val="000000"/>
          <w:sz w:val="24"/>
          <w:szCs w:val="24"/>
        </w:rPr>
        <w:t xml:space="preserve"> </w:t>
      </w:r>
    </w:p>
    <w:p w:rsidR="00A46735" w:rsidRPr="007442C2" w:rsidRDefault="00A46735" w:rsidP="00A46735">
      <w:pPr>
        <w:spacing w:after="0" w:line="360" w:lineRule="auto"/>
        <w:rPr>
          <w:rFonts w:ascii="Times New Roman" w:hAnsi="Times New Roman" w:cs="Times New Roman"/>
          <w:b/>
          <w:sz w:val="24"/>
          <w:szCs w:val="24"/>
        </w:rPr>
      </w:pPr>
      <w:r w:rsidRPr="007442C2">
        <w:rPr>
          <w:rFonts w:ascii="Times New Roman" w:hAnsi="Times New Roman" w:cs="Times New Roman"/>
          <w:b/>
          <w:sz w:val="24"/>
          <w:szCs w:val="24"/>
        </w:rPr>
        <w:t>Cyprian Amutabi</w:t>
      </w:r>
    </w:p>
    <w:p w:rsidR="00A46735" w:rsidRPr="007442C2" w:rsidRDefault="00A46735" w:rsidP="00A46735">
      <w:pPr>
        <w:spacing w:after="0" w:line="360" w:lineRule="auto"/>
        <w:rPr>
          <w:rFonts w:ascii="Times New Roman" w:hAnsi="Times New Roman" w:cs="Times New Roman"/>
          <w:sz w:val="24"/>
          <w:szCs w:val="24"/>
        </w:rPr>
      </w:pPr>
      <w:r w:rsidRPr="007442C2">
        <w:rPr>
          <w:rFonts w:ascii="Times New Roman" w:hAnsi="Times New Roman" w:cs="Times New Roman"/>
          <w:sz w:val="24"/>
          <w:szCs w:val="24"/>
          <w:lang w:val="en-GB" w:eastAsia="en-GB"/>
        </w:rPr>
        <w:t>University of Nairobi, 30197- 00100, Nairobi, Kenya.</w:t>
      </w:r>
    </w:p>
    <w:p w:rsidR="00F45083" w:rsidRPr="007442C2" w:rsidRDefault="00A46735" w:rsidP="00A46735">
      <w:pPr>
        <w:autoSpaceDE w:val="0"/>
        <w:autoSpaceDN w:val="0"/>
        <w:adjustRightInd w:val="0"/>
        <w:spacing w:after="0" w:line="360" w:lineRule="auto"/>
        <w:jc w:val="both"/>
        <w:rPr>
          <w:rFonts w:ascii="Times New Roman" w:hAnsi="Times New Roman" w:cs="Times New Roman"/>
          <w:color w:val="000000"/>
          <w:sz w:val="24"/>
          <w:szCs w:val="24"/>
        </w:rPr>
      </w:pPr>
      <w:r w:rsidRPr="007442C2">
        <w:rPr>
          <w:rFonts w:ascii="Times New Roman" w:hAnsi="Times New Roman" w:cs="Times New Roman"/>
          <w:sz w:val="24"/>
          <w:szCs w:val="24"/>
          <w:lang w:val="en-GB" w:eastAsia="en-GB"/>
        </w:rPr>
        <w:t xml:space="preserve">Email address: </w:t>
      </w:r>
      <w:hyperlink r:id="rId9" w:history="1">
        <w:r w:rsidRPr="007442C2">
          <w:rPr>
            <w:rStyle w:val="Hyperlink"/>
            <w:rFonts w:ascii="Times New Roman" w:hAnsi="Times New Roman" w:cs="Times New Roman"/>
            <w:b/>
            <w:sz w:val="24"/>
            <w:szCs w:val="24"/>
            <w:lang w:val="en-GB" w:eastAsia="en-GB"/>
          </w:rPr>
          <w:t>owenmilimu@gmail.com</w:t>
        </w:r>
      </w:hyperlink>
      <w:r w:rsidR="008E2C63" w:rsidRPr="007442C2">
        <w:rPr>
          <w:rFonts w:ascii="Times New Roman" w:hAnsi="Times New Roman" w:cs="Times New Roman"/>
          <w:color w:val="000000"/>
          <w:sz w:val="24"/>
          <w:szCs w:val="24"/>
        </w:rPr>
        <w:t xml:space="preserve">                          </w:t>
      </w:r>
      <w:r w:rsidR="00333A85" w:rsidRPr="007442C2">
        <w:rPr>
          <w:rFonts w:ascii="Times New Roman" w:hAnsi="Times New Roman" w:cs="Times New Roman"/>
          <w:color w:val="000000"/>
          <w:sz w:val="24"/>
          <w:szCs w:val="24"/>
        </w:rPr>
        <w:t xml:space="preserve">                          </w:t>
      </w:r>
    </w:p>
    <w:p w:rsidR="00A46735" w:rsidRPr="007442C2" w:rsidRDefault="00A46735" w:rsidP="00130062">
      <w:pPr>
        <w:autoSpaceDE w:val="0"/>
        <w:autoSpaceDN w:val="0"/>
        <w:adjustRightInd w:val="0"/>
        <w:spacing w:after="0" w:line="360" w:lineRule="auto"/>
        <w:jc w:val="both"/>
        <w:rPr>
          <w:rFonts w:ascii="Times New Roman" w:hAnsi="Times New Roman" w:cs="Times New Roman"/>
          <w:color w:val="000000"/>
          <w:sz w:val="24"/>
          <w:szCs w:val="24"/>
        </w:rPr>
      </w:pPr>
    </w:p>
    <w:p w:rsidR="00A46735" w:rsidRPr="007442C2" w:rsidRDefault="00A46735" w:rsidP="00130062">
      <w:pPr>
        <w:autoSpaceDE w:val="0"/>
        <w:autoSpaceDN w:val="0"/>
        <w:adjustRightInd w:val="0"/>
        <w:spacing w:after="0" w:line="360" w:lineRule="auto"/>
        <w:jc w:val="both"/>
        <w:rPr>
          <w:rFonts w:ascii="Times New Roman" w:hAnsi="Times New Roman" w:cs="Times New Roman"/>
          <w:color w:val="000000"/>
          <w:sz w:val="24"/>
          <w:szCs w:val="24"/>
        </w:rPr>
      </w:pPr>
      <w:r w:rsidRPr="007442C2">
        <w:rPr>
          <w:rFonts w:ascii="Times New Roman" w:hAnsi="Times New Roman" w:cs="Times New Roman"/>
          <w:color w:val="000000"/>
          <w:sz w:val="24"/>
          <w:szCs w:val="24"/>
        </w:rPr>
        <w:t xml:space="preserve">African Research Universities Alliance </w:t>
      </w:r>
      <w:r w:rsidR="00D85F22" w:rsidRPr="007442C2">
        <w:rPr>
          <w:rFonts w:ascii="Times New Roman" w:hAnsi="Times New Roman" w:cs="Times New Roman"/>
          <w:color w:val="000000"/>
          <w:sz w:val="24"/>
          <w:szCs w:val="24"/>
        </w:rPr>
        <w:t xml:space="preserve">(ARUA) </w:t>
      </w:r>
      <w:r w:rsidRPr="007442C2">
        <w:rPr>
          <w:rFonts w:ascii="Times New Roman" w:hAnsi="Times New Roman" w:cs="Times New Roman"/>
          <w:color w:val="000000"/>
          <w:sz w:val="24"/>
          <w:szCs w:val="24"/>
        </w:rPr>
        <w:t>Conference Paper 2021</w:t>
      </w:r>
    </w:p>
    <w:p w:rsidR="00A46735" w:rsidRPr="007442C2" w:rsidRDefault="00A46735" w:rsidP="00130062">
      <w:pPr>
        <w:autoSpaceDE w:val="0"/>
        <w:autoSpaceDN w:val="0"/>
        <w:adjustRightInd w:val="0"/>
        <w:spacing w:after="0" w:line="360" w:lineRule="auto"/>
        <w:jc w:val="both"/>
        <w:rPr>
          <w:rFonts w:ascii="Times New Roman" w:hAnsi="Times New Roman" w:cs="Times New Roman"/>
          <w:color w:val="000000"/>
          <w:sz w:val="24"/>
          <w:szCs w:val="24"/>
        </w:rPr>
      </w:pPr>
    </w:p>
    <w:p w:rsidR="004D1B84" w:rsidRPr="00EE4DC6" w:rsidRDefault="00A46735" w:rsidP="00130062">
      <w:pPr>
        <w:autoSpaceDE w:val="0"/>
        <w:autoSpaceDN w:val="0"/>
        <w:adjustRightInd w:val="0"/>
        <w:spacing w:after="0" w:line="360" w:lineRule="auto"/>
        <w:jc w:val="both"/>
        <w:rPr>
          <w:rFonts w:ascii="Times New Roman" w:hAnsi="Times New Roman" w:cs="Times New Roman"/>
          <w:b/>
          <w:sz w:val="24"/>
          <w:szCs w:val="24"/>
          <w:lang w:val="en-GB" w:eastAsia="en-GB"/>
        </w:rPr>
      </w:pPr>
      <w:r w:rsidRPr="00EE4DC6">
        <w:rPr>
          <w:rFonts w:ascii="Times New Roman" w:hAnsi="Times New Roman" w:cs="Times New Roman"/>
          <w:b/>
          <w:bCs/>
          <w:sz w:val="24"/>
          <w:szCs w:val="24"/>
        </w:rPr>
        <w:t xml:space="preserve">ARUA 2021 </w:t>
      </w:r>
      <w:r w:rsidR="000E73DC" w:rsidRPr="00EE4DC6">
        <w:rPr>
          <w:rFonts w:ascii="Times New Roman" w:hAnsi="Times New Roman" w:cs="Times New Roman"/>
          <w:b/>
          <w:bCs/>
          <w:sz w:val="24"/>
          <w:szCs w:val="24"/>
        </w:rPr>
        <w:t>3</w:t>
      </w:r>
      <w:r w:rsidR="000E73DC" w:rsidRPr="00EE4DC6">
        <w:rPr>
          <w:rFonts w:ascii="Times New Roman" w:hAnsi="Times New Roman" w:cs="Times New Roman"/>
          <w:b/>
          <w:bCs/>
          <w:sz w:val="24"/>
          <w:szCs w:val="24"/>
          <w:vertAlign w:val="superscript"/>
        </w:rPr>
        <w:t>rd</w:t>
      </w:r>
      <w:r w:rsidR="000E73DC" w:rsidRPr="00EE4DC6">
        <w:rPr>
          <w:rFonts w:ascii="Times New Roman" w:hAnsi="Times New Roman" w:cs="Times New Roman"/>
          <w:b/>
          <w:bCs/>
          <w:sz w:val="24"/>
          <w:szCs w:val="24"/>
        </w:rPr>
        <w:t xml:space="preserve"> </w:t>
      </w:r>
      <w:r w:rsidRPr="00EE4DC6">
        <w:rPr>
          <w:rFonts w:ascii="Times New Roman" w:hAnsi="Times New Roman" w:cs="Times New Roman"/>
          <w:b/>
          <w:bCs/>
          <w:sz w:val="24"/>
          <w:szCs w:val="24"/>
        </w:rPr>
        <w:t xml:space="preserve">Biennial International Conference </w:t>
      </w:r>
      <w:r w:rsidR="004E07DB" w:rsidRPr="00EE4DC6">
        <w:rPr>
          <w:rFonts w:ascii="Times New Roman" w:hAnsi="Times New Roman" w:cs="Times New Roman"/>
          <w:b/>
          <w:bCs/>
          <w:sz w:val="24"/>
          <w:szCs w:val="24"/>
        </w:rPr>
        <w:t>on “</w:t>
      </w:r>
      <w:r w:rsidRPr="00EE4DC6">
        <w:rPr>
          <w:rFonts w:ascii="Times New Roman" w:hAnsi="Times New Roman" w:cs="Times New Roman"/>
          <w:b/>
          <w:bCs/>
          <w:sz w:val="24"/>
          <w:szCs w:val="24"/>
        </w:rPr>
        <w:t>Global Pu</w:t>
      </w:r>
      <w:r w:rsidR="008F3C9B" w:rsidRPr="00EE4DC6">
        <w:rPr>
          <w:rFonts w:ascii="Times New Roman" w:hAnsi="Times New Roman" w:cs="Times New Roman"/>
          <w:b/>
          <w:bCs/>
          <w:sz w:val="24"/>
          <w:szCs w:val="24"/>
        </w:rPr>
        <w:t>blic Health Challenges: Facing t</w:t>
      </w:r>
      <w:r w:rsidRPr="00EE4DC6">
        <w:rPr>
          <w:rFonts w:ascii="Times New Roman" w:hAnsi="Times New Roman" w:cs="Times New Roman"/>
          <w:b/>
          <w:bCs/>
          <w:sz w:val="24"/>
          <w:szCs w:val="24"/>
        </w:rPr>
        <w:t>hem in Africa</w:t>
      </w:r>
      <w:r w:rsidR="004E07DB" w:rsidRPr="00EE4DC6">
        <w:rPr>
          <w:rFonts w:ascii="Times New Roman" w:hAnsi="Times New Roman" w:cs="Times New Roman"/>
          <w:b/>
          <w:bCs/>
          <w:sz w:val="24"/>
          <w:szCs w:val="24"/>
        </w:rPr>
        <w:t>”</w:t>
      </w:r>
      <w:r w:rsidRPr="00EE4DC6">
        <w:rPr>
          <w:rFonts w:ascii="Times New Roman" w:hAnsi="Times New Roman" w:cs="Times New Roman"/>
          <w:b/>
          <w:sz w:val="24"/>
          <w:szCs w:val="24"/>
          <w:lang w:val="en-GB" w:eastAsia="en-GB"/>
        </w:rPr>
        <w:t xml:space="preserve"> </w:t>
      </w:r>
    </w:p>
    <w:p w:rsidR="00A46735" w:rsidRPr="00EE4DC6" w:rsidRDefault="00A46735" w:rsidP="00130062">
      <w:pPr>
        <w:autoSpaceDE w:val="0"/>
        <w:autoSpaceDN w:val="0"/>
        <w:adjustRightInd w:val="0"/>
        <w:spacing w:after="0" w:line="360" w:lineRule="auto"/>
        <w:jc w:val="both"/>
        <w:rPr>
          <w:rFonts w:ascii="Times New Roman" w:hAnsi="Times New Roman" w:cs="Times New Roman"/>
          <w:b/>
          <w:sz w:val="24"/>
          <w:szCs w:val="24"/>
          <w:lang w:val="en-GB" w:eastAsia="en-GB"/>
        </w:rPr>
      </w:pPr>
      <w:r w:rsidRPr="00EE4DC6">
        <w:rPr>
          <w:rFonts w:ascii="Times New Roman" w:hAnsi="Times New Roman" w:cs="Times New Roman"/>
          <w:b/>
          <w:sz w:val="24"/>
          <w:szCs w:val="24"/>
          <w:lang w:val="en-GB" w:eastAsia="en-GB"/>
        </w:rPr>
        <w:t xml:space="preserve">  </w:t>
      </w:r>
    </w:p>
    <w:p w:rsidR="00F45083" w:rsidRPr="00EE4DC6" w:rsidRDefault="00A46735" w:rsidP="00130062">
      <w:pPr>
        <w:autoSpaceDE w:val="0"/>
        <w:autoSpaceDN w:val="0"/>
        <w:adjustRightInd w:val="0"/>
        <w:spacing w:after="0" w:line="360" w:lineRule="auto"/>
        <w:jc w:val="both"/>
        <w:rPr>
          <w:rFonts w:ascii="Times New Roman" w:hAnsi="Times New Roman" w:cs="Times New Roman"/>
          <w:sz w:val="24"/>
          <w:szCs w:val="24"/>
        </w:rPr>
      </w:pPr>
      <w:r w:rsidRPr="00EE4DC6">
        <w:rPr>
          <w:rFonts w:ascii="Times New Roman" w:hAnsi="Times New Roman" w:cs="Times New Roman"/>
          <w:b/>
          <w:sz w:val="24"/>
          <w:szCs w:val="24"/>
          <w:lang w:val="en-GB" w:eastAsia="en-GB"/>
        </w:rPr>
        <w:t>Conference held from</w:t>
      </w:r>
      <w:r w:rsidR="004D1B84" w:rsidRPr="00EE4DC6">
        <w:rPr>
          <w:rFonts w:ascii="Times New Roman" w:hAnsi="Times New Roman" w:cs="Times New Roman"/>
          <w:b/>
          <w:sz w:val="24"/>
          <w:szCs w:val="24"/>
          <w:lang w:val="en-GB" w:eastAsia="en-GB"/>
        </w:rPr>
        <w:t xml:space="preserve"> </w:t>
      </w:r>
      <w:r w:rsidRPr="00EE4DC6">
        <w:rPr>
          <w:rFonts w:ascii="Times New Roman" w:hAnsi="Times New Roman" w:cs="Times New Roman"/>
          <w:b/>
          <w:sz w:val="24"/>
          <w:szCs w:val="24"/>
          <w:lang w:val="en-GB" w:eastAsia="en-GB"/>
        </w:rPr>
        <w:t>17</w:t>
      </w:r>
      <w:r w:rsidRPr="00EE4DC6">
        <w:rPr>
          <w:rFonts w:ascii="Times New Roman" w:hAnsi="Times New Roman" w:cs="Times New Roman"/>
          <w:b/>
          <w:sz w:val="24"/>
          <w:szCs w:val="24"/>
          <w:vertAlign w:val="superscript"/>
          <w:lang w:val="en-GB" w:eastAsia="en-GB"/>
        </w:rPr>
        <w:t xml:space="preserve">th </w:t>
      </w:r>
      <w:r w:rsidRPr="00EE4DC6">
        <w:rPr>
          <w:rFonts w:ascii="Times New Roman" w:hAnsi="Times New Roman" w:cs="Times New Roman"/>
          <w:b/>
          <w:sz w:val="24"/>
          <w:szCs w:val="24"/>
          <w:lang w:val="en-GB" w:eastAsia="en-GB"/>
        </w:rPr>
        <w:t>-19</w:t>
      </w:r>
      <w:r w:rsidRPr="00EE4DC6">
        <w:rPr>
          <w:rFonts w:ascii="Times New Roman" w:hAnsi="Times New Roman" w:cs="Times New Roman"/>
          <w:b/>
          <w:sz w:val="24"/>
          <w:szCs w:val="24"/>
          <w:vertAlign w:val="superscript"/>
          <w:lang w:val="en-GB" w:eastAsia="en-GB"/>
        </w:rPr>
        <w:t>th</w:t>
      </w:r>
      <w:r w:rsidR="007442C2" w:rsidRPr="00EE4DC6">
        <w:rPr>
          <w:rFonts w:ascii="Times New Roman" w:hAnsi="Times New Roman" w:cs="Times New Roman"/>
          <w:b/>
          <w:sz w:val="24"/>
          <w:szCs w:val="24"/>
          <w:lang w:val="en-GB" w:eastAsia="en-GB"/>
        </w:rPr>
        <w:t xml:space="preserve"> </w:t>
      </w:r>
      <w:r w:rsidR="00EE4DC6">
        <w:rPr>
          <w:rFonts w:ascii="Times New Roman" w:hAnsi="Times New Roman" w:cs="Times New Roman"/>
          <w:b/>
          <w:sz w:val="24"/>
          <w:szCs w:val="24"/>
          <w:lang w:val="en-GB" w:eastAsia="en-GB"/>
        </w:rPr>
        <w:t xml:space="preserve">November </w:t>
      </w:r>
      <w:r w:rsidR="004D1B84" w:rsidRPr="00EE4DC6">
        <w:rPr>
          <w:rFonts w:ascii="Times New Roman" w:hAnsi="Times New Roman" w:cs="Times New Roman"/>
          <w:b/>
          <w:sz w:val="24"/>
          <w:szCs w:val="24"/>
          <w:lang w:val="en-GB" w:eastAsia="en-GB"/>
        </w:rPr>
        <w:t xml:space="preserve">2021 </w:t>
      </w:r>
      <w:r w:rsidRPr="00EE4DC6">
        <w:rPr>
          <w:rFonts w:ascii="Times New Roman" w:hAnsi="Times New Roman" w:cs="Times New Roman"/>
          <w:b/>
          <w:sz w:val="24"/>
          <w:szCs w:val="24"/>
          <w:lang w:val="en-GB" w:eastAsia="en-GB"/>
        </w:rPr>
        <w:t xml:space="preserve">at Future Africa </w:t>
      </w:r>
      <w:r w:rsidR="009C02CB" w:rsidRPr="00EE4DC6">
        <w:rPr>
          <w:rFonts w:ascii="Times New Roman" w:hAnsi="Times New Roman" w:cs="Times New Roman"/>
          <w:b/>
          <w:sz w:val="24"/>
          <w:szCs w:val="24"/>
          <w:lang w:val="en-GB" w:eastAsia="en-GB"/>
        </w:rPr>
        <w:t xml:space="preserve">Institute </w:t>
      </w:r>
      <w:r w:rsidR="00AA5D7B" w:rsidRPr="00EE4DC6">
        <w:rPr>
          <w:rFonts w:ascii="Times New Roman" w:hAnsi="Times New Roman" w:cs="Times New Roman"/>
          <w:b/>
          <w:sz w:val="24"/>
          <w:szCs w:val="24"/>
          <w:lang w:val="en-GB" w:eastAsia="en-GB"/>
        </w:rPr>
        <w:t xml:space="preserve">Campus in Pretoria, </w:t>
      </w:r>
      <w:r w:rsidR="00D85F22" w:rsidRPr="00EE4DC6">
        <w:rPr>
          <w:rFonts w:ascii="Times New Roman" w:hAnsi="Times New Roman" w:cs="Times New Roman"/>
          <w:b/>
          <w:sz w:val="24"/>
          <w:szCs w:val="24"/>
          <w:lang w:val="en-GB" w:eastAsia="en-GB"/>
        </w:rPr>
        <w:t>South Africa</w:t>
      </w:r>
      <w:r w:rsidR="00EE4DC6">
        <w:rPr>
          <w:rFonts w:ascii="Times New Roman" w:hAnsi="Times New Roman" w:cs="Times New Roman"/>
          <w:b/>
          <w:sz w:val="24"/>
          <w:szCs w:val="24"/>
          <w:lang w:val="en-GB" w:eastAsia="en-GB"/>
        </w:rPr>
        <w:t>.</w:t>
      </w: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F45083" w:rsidRDefault="00F45083" w:rsidP="00130062">
      <w:pPr>
        <w:autoSpaceDE w:val="0"/>
        <w:autoSpaceDN w:val="0"/>
        <w:adjustRightInd w:val="0"/>
        <w:spacing w:after="0" w:line="360" w:lineRule="auto"/>
        <w:jc w:val="both"/>
        <w:rPr>
          <w:rFonts w:ascii="Times New Roman" w:hAnsi="Times New Roman" w:cs="Times New Roman"/>
          <w:color w:val="000000"/>
          <w:sz w:val="24"/>
          <w:szCs w:val="24"/>
        </w:rPr>
      </w:pPr>
    </w:p>
    <w:p w:rsidR="00130062" w:rsidRPr="00130469" w:rsidRDefault="00130469" w:rsidP="00130062">
      <w:pPr>
        <w:autoSpaceDE w:val="0"/>
        <w:autoSpaceDN w:val="0"/>
        <w:adjustRightInd w:val="0"/>
        <w:spacing w:after="0" w:line="360" w:lineRule="auto"/>
        <w:jc w:val="both"/>
        <w:rPr>
          <w:rFonts w:ascii="Times New Roman" w:hAnsi="Times New Roman" w:cs="Times New Roman"/>
          <w:b/>
          <w:color w:val="000000"/>
          <w:sz w:val="24"/>
          <w:szCs w:val="24"/>
        </w:rPr>
      </w:pPr>
      <w:r w:rsidRPr="00130469">
        <w:rPr>
          <w:rFonts w:ascii="Times New Roman" w:hAnsi="Times New Roman" w:cs="Times New Roman"/>
          <w:b/>
          <w:color w:val="000000"/>
          <w:sz w:val="24"/>
          <w:szCs w:val="24"/>
        </w:rPr>
        <w:lastRenderedPageBreak/>
        <w:t>Abstract</w:t>
      </w:r>
    </w:p>
    <w:p w:rsidR="00CC6AB8" w:rsidRDefault="00CC6AB8" w:rsidP="001304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analyzed </w:t>
      </w:r>
      <w:r w:rsidRPr="00003CE6">
        <w:rPr>
          <w:rFonts w:ascii="Times New Roman" w:hAnsi="Times New Roman" w:cs="Times New Roman"/>
          <w:sz w:val="24"/>
          <w:szCs w:val="24"/>
        </w:rPr>
        <w:t xml:space="preserve">the </w:t>
      </w:r>
      <w:r>
        <w:rPr>
          <w:rFonts w:ascii="Times New Roman" w:hAnsi="Times New Roman" w:cs="Times New Roman"/>
          <w:sz w:val="24"/>
          <w:szCs w:val="24"/>
        </w:rPr>
        <w:t>degree of impact of COVID-19 on social welfare and health system capacity across some</w:t>
      </w:r>
      <w:r w:rsidR="008F64A4">
        <w:rPr>
          <w:rFonts w:ascii="Times New Roman" w:hAnsi="Times New Roman" w:cs="Times New Roman"/>
          <w:sz w:val="24"/>
          <w:szCs w:val="24"/>
        </w:rPr>
        <w:t xml:space="preserve"> selected EAC countries using </w:t>
      </w:r>
      <w:r>
        <w:rPr>
          <w:rFonts w:ascii="Times New Roman" w:hAnsi="Times New Roman" w:cs="Times New Roman"/>
          <w:sz w:val="24"/>
          <w:szCs w:val="24"/>
        </w:rPr>
        <w:t>monthly series data for the period</w:t>
      </w:r>
      <w:r w:rsidR="008F64A4">
        <w:rPr>
          <w:rFonts w:ascii="Times New Roman" w:hAnsi="Times New Roman" w:cs="Times New Roman"/>
          <w:sz w:val="24"/>
          <w:szCs w:val="24"/>
        </w:rPr>
        <w:t xml:space="preserve"> March 2020-</w:t>
      </w:r>
      <w:r w:rsidR="000B76FC">
        <w:rPr>
          <w:rFonts w:ascii="Times New Roman" w:hAnsi="Times New Roman" w:cs="Times New Roman"/>
          <w:sz w:val="24"/>
          <w:szCs w:val="24"/>
        </w:rPr>
        <w:t>May 2021. T</w:t>
      </w:r>
      <w:r>
        <w:rPr>
          <w:rFonts w:ascii="Times New Roman" w:hAnsi="Times New Roman" w:cs="Times New Roman"/>
          <w:sz w:val="24"/>
          <w:szCs w:val="24"/>
        </w:rPr>
        <w:t>he potential Intensive Care Unit (ICU) bed and ventilator surge capacity were e</w:t>
      </w:r>
      <w:r w:rsidR="008F64A4">
        <w:rPr>
          <w:rFonts w:ascii="Times New Roman" w:hAnsi="Times New Roman" w:cs="Times New Roman"/>
          <w:sz w:val="24"/>
          <w:szCs w:val="24"/>
        </w:rPr>
        <w:t xml:space="preserve">stimated based on the </w:t>
      </w:r>
      <w:r>
        <w:rPr>
          <w:rFonts w:ascii="Times New Roman" w:hAnsi="Times New Roman" w:cs="Times New Roman"/>
          <w:sz w:val="24"/>
          <w:szCs w:val="24"/>
        </w:rPr>
        <w:t>confirmed COVID-19 cases &amp; the actual number of I</w:t>
      </w:r>
      <w:r w:rsidR="000B76FC">
        <w:rPr>
          <w:rFonts w:ascii="Times New Roman" w:hAnsi="Times New Roman" w:cs="Times New Roman"/>
          <w:sz w:val="24"/>
          <w:szCs w:val="24"/>
        </w:rPr>
        <w:t>CU beds and oxygen ventilators</w:t>
      </w:r>
      <w:r w:rsidR="00396FB4">
        <w:rPr>
          <w:rFonts w:ascii="Times New Roman" w:hAnsi="Times New Roman" w:cs="Times New Roman"/>
          <w:sz w:val="24"/>
          <w:szCs w:val="24"/>
        </w:rPr>
        <w:t xml:space="preserve"> while </w:t>
      </w:r>
      <w:r>
        <w:rPr>
          <w:rFonts w:ascii="Times New Roman" w:hAnsi="Times New Roman" w:cs="Times New Roman"/>
          <w:sz w:val="24"/>
          <w:szCs w:val="24"/>
        </w:rPr>
        <w:t xml:space="preserve">the degree of variation of the pandemic’s impact on social welfare was analyzed using the Pooled Mean Group (PMG) estimator. The findings revealed the existence of </w:t>
      </w:r>
      <w:r>
        <w:rPr>
          <w:rFonts w:ascii="Times New Roman" w:hAnsi="Times New Roman" w:cs="Times New Roman"/>
          <w:bCs/>
          <w:sz w:val="24"/>
          <w:szCs w:val="24"/>
        </w:rPr>
        <w:t>significant gaps across hospitals in the EAC region in accommodating any potential surge in the caseload emanating from C</w:t>
      </w:r>
      <w:r w:rsidR="000F57E5">
        <w:rPr>
          <w:rFonts w:ascii="Times New Roman" w:hAnsi="Times New Roman" w:cs="Times New Roman"/>
          <w:bCs/>
          <w:sz w:val="24"/>
          <w:szCs w:val="24"/>
        </w:rPr>
        <w:t>OVID-19. This was evidenced by</w:t>
      </w:r>
      <w:r>
        <w:rPr>
          <w:rFonts w:ascii="Times New Roman" w:hAnsi="Times New Roman" w:cs="Times New Roman"/>
          <w:bCs/>
          <w:sz w:val="24"/>
          <w:szCs w:val="24"/>
        </w:rPr>
        <w:t xml:space="preserve"> a continuously rising number of confirmed COVID-19 cases against a backdrop of </w:t>
      </w:r>
      <w:r w:rsidR="007D3D41">
        <w:rPr>
          <w:rFonts w:ascii="Times New Roman" w:hAnsi="Times New Roman" w:cs="Times New Roman"/>
          <w:bCs/>
          <w:sz w:val="24"/>
          <w:szCs w:val="24"/>
        </w:rPr>
        <w:t xml:space="preserve">a </w:t>
      </w:r>
      <w:r>
        <w:rPr>
          <w:rFonts w:ascii="Times New Roman" w:hAnsi="Times New Roman" w:cs="Times New Roman"/>
          <w:bCs/>
          <w:sz w:val="24"/>
          <w:szCs w:val="24"/>
        </w:rPr>
        <w:t>limited number of ICU beds and ventilators n</w:t>
      </w:r>
      <w:r w:rsidR="000B76FC">
        <w:rPr>
          <w:rFonts w:ascii="Times New Roman" w:hAnsi="Times New Roman" w:cs="Times New Roman"/>
          <w:bCs/>
          <w:sz w:val="24"/>
          <w:szCs w:val="24"/>
        </w:rPr>
        <w:t>eeded to provide critical care.</w:t>
      </w:r>
      <w:r w:rsidR="00396FB4">
        <w:rPr>
          <w:rFonts w:ascii="Times New Roman" w:hAnsi="Times New Roman" w:cs="Times New Roman"/>
          <w:bCs/>
          <w:sz w:val="24"/>
          <w:szCs w:val="24"/>
        </w:rPr>
        <w:t xml:space="preserve"> The PMG results revealed that</w:t>
      </w:r>
      <w:r w:rsidR="000B76FC">
        <w:rPr>
          <w:rFonts w:ascii="Times New Roman" w:eastAsiaTheme="minorEastAsia" w:hAnsi="Times New Roman" w:cs="Times New Roman"/>
          <w:sz w:val="24"/>
          <w:szCs w:val="24"/>
        </w:rPr>
        <w:t xml:space="preserve"> COVID-19 significantly decreased </w:t>
      </w:r>
      <w:r w:rsidR="00396FB4">
        <w:rPr>
          <w:rFonts w:ascii="Times New Roman" w:eastAsiaTheme="minorEastAsia" w:hAnsi="Times New Roman" w:cs="Times New Roman"/>
          <w:sz w:val="24"/>
          <w:szCs w:val="24"/>
        </w:rPr>
        <w:t xml:space="preserve">the </w:t>
      </w:r>
      <w:r w:rsidR="000B76FC">
        <w:rPr>
          <w:rFonts w:ascii="Times New Roman" w:eastAsiaTheme="minorEastAsia" w:hAnsi="Times New Roman" w:cs="Times New Roman"/>
          <w:sz w:val="24"/>
          <w:szCs w:val="24"/>
        </w:rPr>
        <w:t>C</w:t>
      </w:r>
      <w:r w:rsidR="00396FB4">
        <w:rPr>
          <w:rFonts w:ascii="Times New Roman" w:eastAsiaTheme="minorEastAsia" w:hAnsi="Times New Roman" w:cs="Times New Roman"/>
          <w:sz w:val="24"/>
          <w:szCs w:val="24"/>
        </w:rPr>
        <w:t xml:space="preserve">onsumer </w:t>
      </w:r>
      <w:r w:rsidR="000B76FC">
        <w:rPr>
          <w:rFonts w:ascii="Times New Roman" w:eastAsiaTheme="minorEastAsia" w:hAnsi="Times New Roman" w:cs="Times New Roman"/>
          <w:sz w:val="24"/>
          <w:szCs w:val="24"/>
        </w:rPr>
        <w:t>P</w:t>
      </w:r>
      <w:r w:rsidR="00396FB4">
        <w:rPr>
          <w:rFonts w:ascii="Times New Roman" w:eastAsiaTheme="minorEastAsia" w:hAnsi="Times New Roman" w:cs="Times New Roman"/>
          <w:sz w:val="24"/>
          <w:szCs w:val="24"/>
        </w:rPr>
        <w:t xml:space="preserve">rice </w:t>
      </w:r>
      <w:r w:rsidR="000B76FC">
        <w:rPr>
          <w:rFonts w:ascii="Times New Roman" w:eastAsiaTheme="minorEastAsia" w:hAnsi="Times New Roman" w:cs="Times New Roman"/>
          <w:sz w:val="24"/>
          <w:szCs w:val="24"/>
        </w:rPr>
        <w:t>I</w:t>
      </w:r>
      <w:r w:rsidR="00396FB4">
        <w:rPr>
          <w:rFonts w:ascii="Times New Roman" w:eastAsiaTheme="minorEastAsia" w:hAnsi="Times New Roman" w:cs="Times New Roman"/>
          <w:sz w:val="24"/>
          <w:szCs w:val="24"/>
        </w:rPr>
        <w:t>ndex (CPI)</w:t>
      </w:r>
      <w:r w:rsidR="005922A2">
        <w:rPr>
          <w:rFonts w:ascii="Times New Roman" w:eastAsiaTheme="minorEastAsia" w:hAnsi="Times New Roman" w:cs="Times New Roman"/>
          <w:sz w:val="24"/>
          <w:szCs w:val="24"/>
        </w:rPr>
        <w:t xml:space="preserve"> in the long </w:t>
      </w:r>
      <w:r w:rsidR="000B76FC">
        <w:rPr>
          <w:rFonts w:ascii="Times New Roman" w:eastAsiaTheme="minorEastAsia" w:hAnsi="Times New Roman" w:cs="Times New Roman"/>
          <w:sz w:val="24"/>
          <w:szCs w:val="24"/>
        </w:rPr>
        <w:t xml:space="preserve">run. </w:t>
      </w:r>
      <w:r w:rsidR="00333A85">
        <w:rPr>
          <w:rFonts w:ascii="Times New Roman" w:eastAsiaTheme="minorEastAsia" w:hAnsi="Times New Roman" w:cs="Times New Roman"/>
          <w:sz w:val="24"/>
          <w:szCs w:val="24"/>
        </w:rPr>
        <w:t>In the short run, t</w:t>
      </w:r>
      <w:r w:rsidR="000B76FC">
        <w:rPr>
          <w:rFonts w:ascii="Times New Roman" w:eastAsiaTheme="minorEastAsia" w:hAnsi="Times New Roman" w:cs="Times New Roman"/>
          <w:sz w:val="24"/>
          <w:szCs w:val="24"/>
        </w:rPr>
        <w:t xml:space="preserve">he impact was negative and significant for Kenya but insignificant for Rwanda, South Sudan, and Uganda. </w:t>
      </w:r>
      <w:r w:rsidR="00396FB4">
        <w:rPr>
          <w:rFonts w:ascii="Times New Roman" w:hAnsi="Times New Roman" w:cs="Times New Roman"/>
          <w:sz w:val="24"/>
          <w:szCs w:val="24"/>
        </w:rPr>
        <w:t>Conversely</w:t>
      </w:r>
      <w:r w:rsidR="000B76FC">
        <w:rPr>
          <w:rFonts w:ascii="Times New Roman" w:hAnsi="Times New Roman" w:cs="Times New Roman"/>
          <w:sz w:val="24"/>
          <w:szCs w:val="24"/>
        </w:rPr>
        <w:t xml:space="preserve">, </w:t>
      </w:r>
      <w:r w:rsidR="00396FB4">
        <w:rPr>
          <w:rFonts w:ascii="Times New Roman" w:hAnsi="Times New Roman" w:cs="Times New Roman"/>
          <w:sz w:val="24"/>
          <w:szCs w:val="24"/>
        </w:rPr>
        <w:t xml:space="preserve">COVID-19 </w:t>
      </w:r>
      <w:r w:rsidR="000B76FC" w:rsidRPr="00B80A76">
        <w:rPr>
          <w:rFonts w:ascii="Times New Roman" w:hAnsi="Times New Roman" w:cs="Times New Roman"/>
          <w:sz w:val="24"/>
          <w:szCs w:val="24"/>
        </w:rPr>
        <w:t>significantly</w:t>
      </w:r>
      <w:r w:rsidR="000B76FC">
        <w:rPr>
          <w:rFonts w:ascii="Times New Roman" w:hAnsi="Times New Roman" w:cs="Times New Roman"/>
          <w:b/>
          <w:sz w:val="24"/>
          <w:szCs w:val="24"/>
        </w:rPr>
        <w:t xml:space="preserve"> </w:t>
      </w:r>
      <w:r w:rsidR="000B76FC" w:rsidRPr="00B80A76">
        <w:rPr>
          <w:rFonts w:ascii="Times New Roman" w:hAnsi="Times New Roman" w:cs="Times New Roman"/>
          <w:sz w:val="24"/>
          <w:szCs w:val="24"/>
        </w:rPr>
        <w:t>increase</w:t>
      </w:r>
      <w:r w:rsidR="00396FB4">
        <w:rPr>
          <w:rFonts w:ascii="Times New Roman" w:hAnsi="Times New Roman" w:cs="Times New Roman"/>
          <w:sz w:val="24"/>
          <w:szCs w:val="24"/>
        </w:rPr>
        <w:t>d</w:t>
      </w:r>
      <w:r w:rsidR="000B76FC" w:rsidRPr="00B80A76">
        <w:rPr>
          <w:rFonts w:ascii="Times New Roman" w:hAnsi="Times New Roman" w:cs="Times New Roman"/>
          <w:sz w:val="24"/>
          <w:szCs w:val="24"/>
        </w:rPr>
        <w:t xml:space="preserve"> oil prices in the </w:t>
      </w:r>
      <w:r w:rsidR="000B76FC">
        <w:rPr>
          <w:rFonts w:ascii="Times New Roman" w:hAnsi="Times New Roman" w:cs="Times New Roman"/>
          <w:sz w:val="24"/>
          <w:szCs w:val="24"/>
        </w:rPr>
        <w:t xml:space="preserve">long run. In the </w:t>
      </w:r>
      <w:r w:rsidR="000B76FC" w:rsidRPr="00B80A76">
        <w:rPr>
          <w:rFonts w:ascii="Times New Roman" w:hAnsi="Times New Roman" w:cs="Times New Roman"/>
          <w:sz w:val="24"/>
          <w:szCs w:val="24"/>
        </w:rPr>
        <w:t>short run</w:t>
      </w:r>
      <w:r w:rsidR="000B76FC">
        <w:rPr>
          <w:rFonts w:ascii="Times New Roman" w:hAnsi="Times New Roman" w:cs="Times New Roman"/>
          <w:sz w:val="24"/>
          <w:szCs w:val="24"/>
        </w:rPr>
        <w:t xml:space="preserve">, the impact was positive and significant for South Sudan but negative and insignificant for Uganda. </w:t>
      </w:r>
      <w:r w:rsidR="00396FB4">
        <w:rPr>
          <w:rFonts w:ascii="Times New Roman" w:hAnsi="Times New Roman" w:cs="Times New Roman"/>
          <w:sz w:val="24"/>
          <w:szCs w:val="24"/>
        </w:rPr>
        <w:t>This study, thus</w:t>
      </w:r>
      <w:r>
        <w:rPr>
          <w:rFonts w:ascii="Times New Roman" w:hAnsi="Times New Roman" w:cs="Times New Roman"/>
          <w:sz w:val="24"/>
          <w:szCs w:val="24"/>
        </w:rPr>
        <w:t xml:space="preserve">, </w:t>
      </w:r>
      <w:r>
        <w:rPr>
          <w:rFonts w:ascii="Times New Roman" w:hAnsi="Times New Roman" w:cs="Times New Roman"/>
          <w:bCs/>
          <w:sz w:val="24"/>
          <w:szCs w:val="24"/>
        </w:rPr>
        <w:t>recommended adequate investment in the health sector targeted at</w:t>
      </w:r>
      <w:r w:rsidR="00F56E49">
        <w:rPr>
          <w:rFonts w:ascii="Times New Roman" w:hAnsi="Times New Roman" w:cs="Times New Roman"/>
          <w:bCs/>
          <w:sz w:val="24"/>
          <w:szCs w:val="24"/>
        </w:rPr>
        <w:t xml:space="preserve"> a</w:t>
      </w:r>
      <w:r>
        <w:rPr>
          <w:rFonts w:ascii="Times New Roman" w:hAnsi="Times New Roman" w:cs="Times New Roman"/>
          <w:bCs/>
          <w:sz w:val="24"/>
          <w:szCs w:val="24"/>
        </w:rPr>
        <w:t xml:space="preserve"> substantial increase in the number of ICU</w:t>
      </w:r>
      <w:r w:rsidR="000B76FC">
        <w:rPr>
          <w:rFonts w:ascii="Times New Roman" w:hAnsi="Times New Roman" w:cs="Times New Roman"/>
          <w:bCs/>
          <w:sz w:val="24"/>
          <w:szCs w:val="24"/>
        </w:rPr>
        <w:t xml:space="preserve"> beds and ventilators. Further, </w:t>
      </w:r>
      <w:r w:rsidR="00396FB4">
        <w:rPr>
          <w:rFonts w:ascii="Times New Roman" w:hAnsi="Times New Roman" w:cs="Times New Roman"/>
          <w:sz w:val="24"/>
          <w:szCs w:val="24"/>
        </w:rPr>
        <w:t>governments within the region need</w:t>
      </w:r>
      <w:r w:rsidR="000B76FC">
        <w:rPr>
          <w:rFonts w:ascii="Times New Roman" w:hAnsi="Times New Roman" w:cs="Times New Roman"/>
          <w:sz w:val="24"/>
          <w:szCs w:val="24"/>
        </w:rPr>
        <w:t xml:space="preserve"> to employ a coordinated approach in addressin</w:t>
      </w:r>
      <w:r w:rsidR="00396FB4">
        <w:rPr>
          <w:rFonts w:ascii="Times New Roman" w:hAnsi="Times New Roman" w:cs="Times New Roman"/>
          <w:sz w:val="24"/>
          <w:szCs w:val="24"/>
        </w:rPr>
        <w:t xml:space="preserve">g welfare effects </w:t>
      </w:r>
      <w:r w:rsidR="000B76FC">
        <w:rPr>
          <w:rFonts w:ascii="Times New Roman" w:hAnsi="Times New Roman" w:cs="Times New Roman"/>
          <w:sz w:val="24"/>
          <w:szCs w:val="24"/>
        </w:rPr>
        <w:t>stem</w:t>
      </w:r>
      <w:r w:rsidR="00396FB4">
        <w:rPr>
          <w:rFonts w:ascii="Times New Roman" w:hAnsi="Times New Roman" w:cs="Times New Roman"/>
          <w:sz w:val="24"/>
          <w:szCs w:val="24"/>
        </w:rPr>
        <w:t>ming</w:t>
      </w:r>
      <w:r w:rsidR="000B76FC">
        <w:rPr>
          <w:rFonts w:ascii="Times New Roman" w:hAnsi="Times New Roman" w:cs="Times New Roman"/>
          <w:sz w:val="24"/>
          <w:szCs w:val="24"/>
        </w:rPr>
        <w:t xml:space="preserve"> from </w:t>
      </w:r>
      <w:r w:rsidR="00396FB4">
        <w:rPr>
          <w:rFonts w:ascii="Times New Roman" w:hAnsi="Times New Roman" w:cs="Times New Roman"/>
          <w:sz w:val="24"/>
          <w:szCs w:val="24"/>
        </w:rPr>
        <w:t>increased oil prices</w:t>
      </w:r>
      <w:r w:rsidR="000B76FC">
        <w:rPr>
          <w:rFonts w:ascii="Times New Roman" w:hAnsi="Times New Roman" w:cs="Times New Roman"/>
          <w:sz w:val="24"/>
          <w:szCs w:val="24"/>
        </w:rPr>
        <w:t xml:space="preserve">. There is </w:t>
      </w:r>
      <w:r w:rsidR="00F56E49">
        <w:rPr>
          <w:rFonts w:ascii="Times New Roman" w:hAnsi="Times New Roman" w:cs="Times New Roman"/>
          <w:sz w:val="24"/>
          <w:szCs w:val="24"/>
        </w:rPr>
        <w:t xml:space="preserve">a </w:t>
      </w:r>
      <w:r w:rsidR="000B76FC">
        <w:rPr>
          <w:rFonts w:ascii="Times New Roman" w:hAnsi="Times New Roman" w:cs="Times New Roman"/>
          <w:sz w:val="24"/>
          <w:szCs w:val="24"/>
        </w:rPr>
        <w:t>need to promote regional market integration &amp; cooperation within the EAC region regarding oil. A robust &amp; vibrant EAC oil market will enable countries within the region to harness optimal benefits from their oil reserves as well as withstand any global price shock dynamics that emanate from a pandemic of this nature.</w:t>
      </w:r>
    </w:p>
    <w:p w:rsidR="00CC6AB8" w:rsidRPr="00130062" w:rsidRDefault="00CC6AB8" w:rsidP="00130469">
      <w:pPr>
        <w:autoSpaceDE w:val="0"/>
        <w:autoSpaceDN w:val="0"/>
        <w:adjustRightInd w:val="0"/>
        <w:spacing w:line="360" w:lineRule="auto"/>
        <w:jc w:val="both"/>
        <w:rPr>
          <w:rFonts w:ascii="Times New Roman" w:hAnsi="Times New Roman" w:cs="Times New Roman"/>
          <w:color w:val="000000"/>
          <w:sz w:val="24"/>
          <w:szCs w:val="24"/>
        </w:rPr>
      </w:pPr>
      <w:r w:rsidRPr="00130469">
        <w:rPr>
          <w:rFonts w:ascii="Times New Roman" w:hAnsi="Times New Roman" w:cs="Times New Roman"/>
          <w:b/>
          <w:iCs/>
          <w:color w:val="000000"/>
          <w:sz w:val="24"/>
          <w:szCs w:val="24"/>
        </w:rPr>
        <w:t>JEL Classification</w:t>
      </w:r>
      <w:r w:rsidRPr="00130062">
        <w:rPr>
          <w:rFonts w:ascii="Times New Roman" w:hAnsi="Times New Roman" w:cs="Times New Roman"/>
          <w:color w:val="000000"/>
          <w:sz w:val="24"/>
          <w:szCs w:val="24"/>
        </w:rPr>
        <w:t xml:space="preserve">: I14, I31, H12 </w:t>
      </w:r>
    </w:p>
    <w:p w:rsidR="00EF3DE2" w:rsidRDefault="00CC6AB8" w:rsidP="00EF3DE2">
      <w:pPr>
        <w:spacing w:line="360" w:lineRule="auto"/>
        <w:jc w:val="both"/>
        <w:rPr>
          <w:sz w:val="24"/>
          <w:szCs w:val="24"/>
        </w:rPr>
      </w:pPr>
      <w:r w:rsidRPr="00130062">
        <w:rPr>
          <w:rFonts w:ascii="Times New Roman" w:hAnsi="Times New Roman" w:cs="Times New Roman"/>
          <w:b/>
          <w:bCs/>
          <w:color w:val="000000"/>
          <w:sz w:val="24"/>
          <w:szCs w:val="24"/>
        </w:rPr>
        <w:t>Keywords</w:t>
      </w:r>
      <w:r w:rsidR="00130469">
        <w:rPr>
          <w:rFonts w:ascii="Times New Roman" w:hAnsi="Times New Roman" w:cs="Times New Roman"/>
          <w:color w:val="000000"/>
          <w:sz w:val="24"/>
          <w:szCs w:val="24"/>
        </w:rPr>
        <w:t>: COVID-19, Health system capacity, S</w:t>
      </w:r>
      <w:r w:rsidRPr="00130062">
        <w:rPr>
          <w:rFonts w:ascii="Times New Roman" w:hAnsi="Times New Roman" w:cs="Times New Roman"/>
          <w:color w:val="000000"/>
          <w:sz w:val="24"/>
          <w:szCs w:val="24"/>
        </w:rPr>
        <w:t>o</w:t>
      </w:r>
      <w:r>
        <w:rPr>
          <w:rFonts w:ascii="Times New Roman" w:hAnsi="Times New Roman" w:cs="Times New Roman"/>
          <w:color w:val="000000"/>
          <w:sz w:val="24"/>
          <w:szCs w:val="24"/>
        </w:rPr>
        <w:t>cial welfare, PMG estimator</w:t>
      </w:r>
      <w:r w:rsidRPr="00130062">
        <w:rPr>
          <w:rFonts w:ascii="Times New Roman" w:hAnsi="Times New Roman" w:cs="Times New Roman"/>
          <w:color w:val="000000"/>
          <w:sz w:val="24"/>
          <w:szCs w:val="24"/>
        </w:rPr>
        <w:t>, EAC</w:t>
      </w:r>
      <w:r>
        <w:rPr>
          <w:rFonts w:ascii="Times New Roman" w:hAnsi="Times New Roman" w:cs="Times New Roman"/>
          <w:color w:val="000000"/>
          <w:sz w:val="24"/>
          <w:szCs w:val="24"/>
        </w:rPr>
        <w:t xml:space="preserve"> region.</w:t>
      </w:r>
    </w:p>
    <w:p w:rsidR="005112ED" w:rsidRDefault="005112ED" w:rsidP="009A0456">
      <w:pPr>
        <w:spacing w:after="0" w:line="360" w:lineRule="auto"/>
        <w:jc w:val="both"/>
        <w:rPr>
          <w:rFonts w:ascii="Times New Roman" w:hAnsi="Times New Roman" w:cs="Times New Roman"/>
          <w:b/>
          <w:sz w:val="24"/>
          <w:szCs w:val="24"/>
        </w:rPr>
      </w:pPr>
    </w:p>
    <w:p w:rsidR="005112ED" w:rsidRDefault="005112ED" w:rsidP="009A0456">
      <w:pPr>
        <w:spacing w:after="0" w:line="360" w:lineRule="auto"/>
        <w:jc w:val="both"/>
        <w:rPr>
          <w:rFonts w:ascii="Times New Roman" w:hAnsi="Times New Roman" w:cs="Times New Roman"/>
          <w:b/>
          <w:sz w:val="24"/>
          <w:szCs w:val="24"/>
        </w:rPr>
      </w:pPr>
    </w:p>
    <w:p w:rsidR="005112ED" w:rsidRDefault="005112ED" w:rsidP="009A0456">
      <w:pPr>
        <w:spacing w:after="0" w:line="360" w:lineRule="auto"/>
        <w:jc w:val="both"/>
        <w:rPr>
          <w:rFonts w:ascii="Times New Roman" w:hAnsi="Times New Roman" w:cs="Times New Roman"/>
          <w:b/>
          <w:sz w:val="24"/>
          <w:szCs w:val="24"/>
        </w:rPr>
      </w:pPr>
    </w:p>
    <w:p w:rsidR="005112ED" w:rsidRDefault="005112ED" w:rsidP="009A0456">
      <w:pPr>
        <w:spacing w:after="0" w:line="360" w:lineRule="auto"/>
        <w:jc w:val="both"/>
        <w:rPr>
          <w:rFonts w:ascii="Times New Roman" w:hAnsi="Times New Roman" w:cs="Times New Roman"/>
          <w:b/>
          <w:sz w:val="24"/>
          <w:szCs w:val="24"/>
        </w:rPr>
      </w:pPr>
    </w:p>
    <w:p w:rsidR="005112ED" w:rsidRDefault="005112ED" w:rsidP="009A0456">
      <w:pPr>
        <w:spacing w:after="0" w:line="360" w:lineRule="auto"/>
        <w:jc w:val="both"/>
        <w:rPr>
          <w:rFonts w:ascii="Times New Roman" w:hAnsi="Times New Roman" w:cs="Times New Roman"/>
          <w:b/>
          <w:sz w:val="24"/>
          <w:szCs w:val="24"/>
        </w:rPr>
      </w:pPr>
    </w:p>
    <w:p w:rsidR="005112ED" w:rsidRDefault="005112ED" w:rsidP="009A0456">
      <w:pPr>
        <w:spacing w:after="0" w:line="360" w:lineRule="auto"/>
        <w:jc w:val="both"/>
        <w:rPr>
          <w:rFonts w:ascii="Times New Roman" w:hAnsi="Times New Roman" w:cs="Times New Roman"/>
          <w:b/>
          <w:sz w:val="24"/>
          <w:szCs w:val="24"/>
        </w:rPr>
      </w:pPr>
    </w:p>
    <w:p w:rsidR="00551C47" w:rsidRPr="00EF3DE2" w:rsidRDefault="00551C47" w:rsidP="00893C9D">
      <w:pPr>
        <w:spacing w:line="360" w:lineRule="auto"/>
        <w:jc w:val="both"/>
        <w:rPr>
          <w:sz w:val="24"/>
          <w:szCs w:val="24"/>
        </w:rPr>
      </w:pPr>
      <w:r w:rsidRPr="00551C47">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00A3679B">
        <w:rPr>
          <w:rFonts w:ascii="Times New Roman" w:hAnsi="Times New Roman" w:cs="Times New Roman"/>
          <w:b/>
          <w:sz w:val="24"/>
          <w:szCs w:val="24"/>
        </w:rPr>
        <w:t>Introduction</w:t>
      </w:r>
    </w:p>
    <w:p w:rsidR="00821A59" w:rsidRDefault="00E034AA" w:rsidP="00821A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Background </w:t>
      </w:r>
    </w:p>
    <w:p w:rsidR="008473A1" w:rsidRPr="00821A59" w:rsidRDefault="00821A59" w:rsidP="00821A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1C47" w:rsidRPr="00551C47">
        <w:rPr>
          <w:rFonts w:ascii="Times New Roman" w:hAnsi="Times New Roman" w:cs="Times New Roman"/>
          <w:color w:val="000000" w:themeColor="text1"/>
          <w:sz w:val="24"/>
          <w:szCs w:val="24"/>
        </w:rPr>
        <w:t>The COVID-19</w:t>
      </w:r>
      <w:r w:rsidR="00551C47">
        <w:rPr>
          <w:rFonts w:ascii="Times New Roman" w:hAnsi="Times New Roman" w:cs="Times New Roman"/>
          <w:color w:val="000000" w:themeColor="text1"/>
          <w:sz w:val="24"/>
          <w:szCs w:val="24"/>
        </w:rPr>
        <w:t xml:space="preserve"> pandemic has yielded an unprecedented impact on socio-economic welfare and the health system capacity of economies globally.</w:t>
      </w:r>
      <w:r w:rsidR="00551C47">
        <w:rPr>
          <w:rFonts w:ascii="Times New Roman" w:hAnsi="Times New Roman" w:cs="Times New Roman"/>
          <w:sz w:val="24"/>
          <w:szCs w:val="24"/>
        </w:rPr>
        <w:t xml:space="preserve"> The pandemic </w:t>
      </w:r>
      <w:r w:rsidR="00551C47" w:rsidRPr="002E1E34">
        <w:rPr>
          <w:rFonts w:ascii="Times New Roman" w:hAnsi="Times New Roman" w:cs="Times New Roman"/>
          <w:sz w:val="24"/>
          <w:szCs w:val="24"/>
        </w:rPr>
        <w:t>ha</w:t>
      </w:r>
      <w:r w:rsidR="00551C47">
        <w:rPr>
          <w:rFonts w:ascii="Times New Roman" w:hAnsi="Times New Roman" w:cs="Times New Roman"/>
          <w:sz w:val="24"/>
          <w:szCs w:val="24"/>
        </w:rPr>
        <w:t xml:space="preserve">s spread rapidly around the world since December </w:t>
      </w:r>
      <w:r w:rsidR="00551C47" w:rsidRPr="002E1E34">
        <w:rPr>
          <w:rFonts w:ascii="Times New Roman" w:hAnsi="Times New Roman" w:cs="Times New Roman"/>
          <w:sz w:val="24"/>
          <w:szCs w:val="24"/>
        </w:rPr>
        <w:t>2019</w:t>
      </w:r>
      <w:r w:rsidR="00551C47">
        <w:rPr>
          <w:rFonts w:ascii="Times New Roman" w:hAnsi="Times New Roman" w:cs="Times New Roman"/>
          <w:sz w:val="24"/>
          <w:szCs w:val="24"/>
        </w:rPr>
        <w:t xml:space="preserve"> when it was first report</w:t>
      </w:r>
      <w:r w:rsidR="00AC6016">
        <w:rPr>
          <w:rFonts w:ascii="Times New Roman" w:hAnsi="Times New Roman" w:cs="Times New Roman"/>
          <w:sz w:val="24"/>
          <w:szCs w:val="24"/>
        </w:rPr>
        <w:t xml:space="preserve">ed in Wuhan, China. It </w:t>
      </w:r>
      <w:r w:rsidR="00551C47">
        <w:rPr>
          <w:rFonts w:ascii="Times New Roman" w:hAnsi="Times New Roman" w:cs="Times New Roman"/>
          <w:sz w:val="24"/>
          <w:szCs w:val="24"/>
        </w:rPr>
        <w:t xml:space="preserve">has directly affected food prices as well as disrupted the normal flow of household incomes, thus, leading to increased food and nutritional insecurity around the world </w:t>
      </w:r>
      <w:r w:rsidR="00551C47" w:rsidRPr="002E1E34">
        <w:rPr>
          <w:rFonts w:ascii="Times New Roman" w:hAnsi="Times New Roman" w:cs="Times New Roman"/>
          <w:sz w:val="24"/>
          <w:szCs w:val="24"/>
        </w:rPr>
        <w:t>(AGRILINKS, 2020).</w:t>
      </w:r>
    </w:p>
    <w:p w:rsidR="00D31F19" w:rsidRDefault="008473A1" w:rsidP="000600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1C47">
        <w:rPr>
          <w:rFonts w:ascii="Times New Roman" w:hAnsi="Times New Roman" w:cs="Times New Roman"/>
          <w:sz w:val="24"/>
          <w:szCs w:val="24"/>
        </w:rPr>
        <w:t xml:space="preserve">Disrupted global food chains (stemming from both domestic and international trade restrictions) coupled with massive job layoffs attempted at addressing many firms’ </w:t>
      </w:r>
      <w:r w:rsidR="00E24E18">
        <w:rPr>
          <w:rFonts w:ascii="Times New Roman" w:hAnsi="Times New Roman" w:cs="Times New Roman"/>
          <w:sz w:val="24"/>
          <w:szCs w:val="24"/>
        </w:rPr>
        <w:t>revenue losses implies that the socio-economic welfare of people across the world</w:t>
      </w:r>
      <w:r w:rsidR="00FD6354">
        <w:rPr>
          <w:rFonts w:ascii="Times New Roman" w:hAnsi="Times New Roman" w:cs="Times New Roman"/>
          <w:sz w:val="24"/>
          <w:szCs w:val="24"/>
        </w:rPr>
        <w:t xml:space="preserve"> has been negatively impacted. T</w:t>
      </w:r>
      <w:r w:rsidR="00934C73">
        <w:rPr>
          <w:rFonts w:ascii="Times New Roman" w:hAnsi="Times New Roman" w:cs="Times New Roman"/>
          <w:sz w:val="24"/>
          <w:szCs w:val="24"/>
        </w:rPr>
        <w:t>he most recent poverty and</w:t>
      </w:r>
      <w:r w:rsidR="00551C47">
        <w:rPr>
          <w:rFonts w:ascii="Times New Roman" w:hAnsi="Times New Roman" w:cs="Times New Roman"/>
          <w:sz w:val="24"/>
          <w:szCs w:val="24"/>
        </w:rPr>
        <w:t xml:space="preserve"> shared prosperity report by World Bank (2020) approximate that the pandemic could plunge </w:t>
      </w:r>
      <w:r w:rsidR="00551C47" w:rsidRPr="002E1E34">
        <w:rPr>
          <w:rFonts w:ascii="Times New Roman" w:hAnsi="Times New Roman" w:cs="Times New Roman"/>
          <w:sz w:val="24"/>
          <w:szCs w:val="24"/>
        </w:rPr>
        <w:t>100 million people into</w:t>
      </w:r>
      <w:r w:rsidR="008756FE">
        <w:rPr>
          <w:rFonts w:ascii="Times New Roman" w:hAnsi="Times New Roman" w:cs="Times New Roman"/>
          <w:sz w:val="24"/>
          <w:szCs w:val="24"/>
        </w:rPr>
        <w:t xml:space="preserve"> extreme poverty in</w:t>
      </w:r>
      <w:r w:rsidR="0027262A">
        <w:rPr>
          <w:rFonts w:ascii="Times New Roman" w:hAnsi="Times New Roman" w:cs="Times New Roman"/>
          <w:sz w:val="24"/>
          <w:szCs w:val="24"/>
        </w:rPr>
        <w:t xml:space="preserve"> </w:t>
      </w:r>
      <w:r w:rsidR="00551C47">
        <w:rPr>
          <w:rFonts w:ascii="Times New Roman" w:hAnsi="Times New Roman" w:cs="Times New Roman"/>
          <w:sz w:val="24"/>
          <w:szCs w:val="24"/>
        </w:rPr>
        <w:t>2020 year alone,</w:t>
      </w:r>
      <w:r w:rsidR="00551C47" w:rsidRPr="002E1E34">
        <w:rPr>
          <w:rFonts w:ascii="Times New Roman" w:hAnsi="Times New Roman" w:cs="Times New Roman"/>
          <w:sz w:val="24"/>
          <w:szCs w:val="24"/>
        </w:rPr>
        <w:t xml:space="preserve"> lead</w:t>
      </w:r>
      <w:r w:rsidR="00551C47">
        <w:rPr>
          <w:rFonts w:ascii="Times New Roman" w:hAnsi="Times New Roman" w:cs="Times New Roman"/>
          <w:sz w:val="24"/>
          <w:szCs w:val="24"/>
        </w:rPr>
        <w:t xml:space="preserve">ing to </w:t>
      </w:r>
      <w:r w:rsidR="00551C47" w:rsidRPr="002E1E34">
        <w:rPr>
          <w:rFonts w:ascii="Times New Roman" w:hAnsi="Times New Roman" w:cs="Times New Roman"/>
          <w:sz w:val="24"/>
          <w:szCs w:val="24"/>
        </w:rPr>
        <w:t>increase</w:t>
      </w:r>
      <w:r w:rsidR="00551C47">
        <w:rPr>
          <w:rFonts w:ascii="Times New Roman" w:hAnsi="Times New Roman" w:cs="Times New Roman"/>
          <w:sz w:val="24"/>
          <w:szCs w:val="24"/>
        </w:rPr>
        <w:t xml:space="preserve">d </w:t>
      </w:r>
      <w:r w:rsidR="00551C47" w:rsidRPr="002E1E34">
        <w:rPr>
          <w:rFonts w:ascii="Times New Roman" w:hAnsi="Times New Roman" w:cs="Times New Roman"/>
          <w:sz w:val="24"/>
          <w:szCs w:val="24"/>
        </w:rPr>
        <w:t>global poverty for the first time si</w:t>
      </w:r>
      <w:r w:rsidR="00551C47">
        <w:rPr>
          <w:rFonts w:ascii="Times New Roman" w:hAnsi="Times New Roman" w:cs="Times New Roman"/>
          <w:sz w:val="24"/>
          <w:szCs w:val="24"/>
        </w:rPr>
        <w:t>nce 1998.</w:t>
      </w:r>
      <w:r w:rsidR="00EA7A08">
        <w:rPr>
          <w:rFonts w:ascii="Times New Roman" w:hAnsi="Times New Roman" w:cs="Times New Roman"/>
          <w:sz w:val="24"/>
          <w:szCs w:val="24"/>
        </w:rPr>
        <w:t xml:space="preserve"> Baldwin and Tomiura (2020) further predict </w:t>
      </w:r>
      <w:r w:rsidR="00F1161A">
        <w:rPr>
          <w:rFonts w:ascii="Times New Roman" w:hAnsi="Times New Roman" w:cs="Times New Roman"/>
          <w:sz w:val="24"/>
          <w:szCs w:val="24"/>
        </w:rPr>
        <w:t>that the pan</w:t>
      </w:r>
      <w:r w:rsidR="00934C73">
        <w:rPr>
          <w:rFonts w:ascii="Times New Roman" w:hAnsi="Times New Roman" w:cs="Times New Roman"/>
          <w:sz w:val="24"/>
          <w:szCs w:val="24"/>
        </w:rPr>
        <w:t>demic could pose severe health and</w:t>
      </w:r>
      <w:r w:rsidR="00F1161A">
        <w:rPr>
          <w:rFonts w:ascii="Times New Roman" w:hAnsi="Times New Roman" w:cs="Times New Roman"/>
          <w:sz w:val="24"/>
          <w:szCs w:val="24"/>
        </w:rPr>
        <w:t xml:space="preserve"> economic crisis comparable to the catastrophi</w:t>
      </w:r>
      <w:r w:rsidR="00EA7A08">
        <w:rPr>
          <w:rFonts w:ascii="Times New Roman" w:hAnsi="Times New Roman" w:cs="Times New Roman"/>
          <w:sz w:val="24"/>
          <w:szCs w:val="24"/>
        </w:rPr>
        <w:t>c effects brought about by the Second World W</w:t>
      </w:r>
      <w:r w:rsidR="00F1161A">
        <w:rPr>
          <w:rFonts w:ascii="Times New Roman" w:hAnsi="Times New Roman" w:cs="Times New Roman"/>
          <w:sz w:val="24"/>
          <w:szCs w:val="24"/>
        </w:rPr>
        <w:t>ar</w:t>
      </w:r>
      <w:r w:rsidR="00EA7A08">
        <w:rPr>
          <w:rFonts w:ascii="Times New Roman" w:hAnsi="Times New Roman" w:cs="Times New Roman"/>
          <w:sz w:val="24"/>
          <w:szCs w:val="24"/>
        </w:rPr>
        <w:t>.</w:t>
      </w:r>
    </w:p>
    <w:p w:rsidR="00582BD2" w:rsidRDefault="00D31F19" w:rsidP="005B5F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07F">
        <w:rPr>
          <w:rFonts w:ascii="Times New Roman" w:hAnsi="Times New Roman" w:cs="Times New Roman"/>
          <w:sz w:val="24"/>
          <w:szCs w:val="24"/>
        </w:rPr>
        <w:t>Health shocks are found to significantly increase public health expenditure (Amutabi, 2021).</w:t>
      </w:r>
      <w:r w:rsidR="00BE3427">
        <w:rPr>
          <w:rFonts w:ascii="Times New Roman" w:hAnsi="Times New Roman" w:cs="Times New Roman"/>
          <w:sz w:val="24"/>
          <w:szCs w:val="24"/>
        </w:rPr>
        <w:t xml:space="preserve"> Given that the health financing system of the majority of the African countries is generally too weak to cushion its households from the effects of health shocks (Leive and Xu, 2008), there is no doubt that significant gaps exist in the capacity of hospitals within the East Africa Community (EAC) region to accommodate any potential surge in the caseload arising from the COVID-19 pandemic (Barasa </w:t>
      </w:r>
      <w:r w:rsidR="00BE3427" w:rsidRPr="00A30457">
        <w:rPr>
          <w:rFonts w:ascii="Times New Roman" w:hAnsi="Times New Roman" w:cs="Times New Roman"/>
          <w:i/>
          <w:sz w:val="24"/>
          <w:szCs w:val="24"/>
        </w:rPr>
        <w:t>et al.,</w:t>
      </w:r>
      <w:r w:rsidR="00A30457">
        <w:rPr>
          <w:rFonts w:ascii="Times New Roman" w:hAnsi="Times New Roman" w:cs="Times New Roman"/>
          <w:sz w:val="24"/>
          <w:szCs w:val="24"/>
        </w:rPr>
        <w:t xml:space="preserve"> </w:t>
      </w:r>
      <w:r w:rsidR="00BE3427">
        <w:rPr>
          <w:rFonts w:ascii="Times New Roman" w:hAnsi="Times New Roman" w:cs="Times New Roman"/>
          <w:sz w:val="24"/>
          <w:szCs w:val="24"/>
        </w:rPr>
        <w:t>2020).</w:t>
      </w:r>
      <w:r w:rsidR="00A30457">
        <w:rPr>
          <w:rFonts w:ascii="Times New Roman" w:hAnsi="Times New Roman" w:cs="Times New Roman"/>
          <w:sz w:val="24"/>
          <w:szCs w:val="24"/>
        </w:rPr>
        <w:t xml:space="preserve"> </w:t>
      </w:r>
      <w:r w:rsidR="000D779D">
        <w:rPr>
          <w:rFonts w:ascii="Times New Roman" w:hAnsi="Times New Roman" w:cs="Times New Roman"/>
          <w:sz w:val="24"/>
          <w:szCs w:val="24"/>
        </w:rPr>
        <w:t>The situation is further exacerbated by the mutating nature of the disease (through the generation of new variants) which makes its eventual impact on the EAC economies unknown (McKibbin and Fernando, 2020).</w:t>
      </w:r>
    </w:p>
    <w:p w:rsidR="00CC5B8D" w:rsidRDefault="00820945" w:rsidP="00551C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7320">
        <w:rPr>
          <w:rFonts w:ascii="Times New Roman" w:hAnsi="Times New Roman" w:cs="Times New Roman"/>
          <w:sz w:val="24"/>
          <w:szCs w:val="24"/>
        </w:rPr>
        <w:t>The first confirmed case of the COVID-19 disease was reported in the EAC region in March 2020. Since then, the numbers have been skyrocketing with Kenya reporting the hi</w:t>
      </w:r>
      <w:r w:rsidR="00140DED">
        <w:rPr>
          <w:rFonts w:ascii="Times New Roman" w:hAnsi="Times New Roman" w:cs="Times New Roman"/>
          <w:sz w:val="24"/>
          <w:szCs w:val="24"/>
        </w:rPr>
        <w:t>ghest number in the region</w:t>
      </w:r>
      <w:r w:rsidR="001F63CB">
        <w:rPr>
          <w:rFonts w:ascii="Times New Roman" w:hAnsi="Times New Roman" w:cs="Times New Roman"/>
          <w:sz w:val="24"/>
          <w:szCs w:val="24"/>
        </w:rPr>
        <w:t xml:space="preserve"> </w:t>
      </w:r>
      <w:r w:rsidR="00A47320">
        <w:rPr>
          <w:rFonts w:ascii="Times New Roman" w:hAnsi="Times New Roman" w:cs="Times New Roman"/>
          <w:sz w:val="24"/>
          <w:szCs w:val="24"/>
        </w:rPr>
        <w:t>over the March</w:t>
      </w:r>
      <w:r w:rsidR="002F0D22">
        <w:rPr>
          <w:rFonts w:ascii="Times New Roman" w:hAnsi="Times New Roman" w:cs="Times New Roman"/>
          <w:sz w:val="24"/>
          <w:szCs w:val="24"/>
        </w:rPr>
        <w:t xml:space="preserve"> 2020-June</w:t>
      </w:r>
      <w:r w:rsidR="00A47320">
        <w:rPr>
          <w:rFonts w:ascii="Times New Roman" w:hAnsi="Times New Roman" w:cs="Times New Roman"/>
          <w:sz w:val="24"/>
          <w:szCs w:val="24"/>
        </w:rPr>
        <w:t xml:space="preserve"> 2021 </w:t>
      </w:r>
      <w:r w:rsidR="001F63CB">
        <w:rPr>
          <w:rFonts w:ascii="Times New Roman" w:hAnsi="Times New Roman" w:cs="Times New Roman"/>
          <w:sz w:val="24"/>
          <w:szCs w:val="24"/>
        </w:rPr>
        <w:t xml:space="preserve">period </w:t>
      </w:r>
      <w:r w:rsidR="00A47320">
        <w:rPr>
          <w:rFonts w:ascii="Times New Roman" w:hAnsi="Times New Roman" w:cs="Times New Roman"/>
          <w:sz w:val="24"/>
          <w:szCs w:val="24"/>
        </w:rPr>
        <w:t xml:space="preserve">(see </w:t>
      </w:r>
      <w:r w:rsidR="007D71E6">
        <w:rPr>
          <w:rFonts w:ascii="Times New Roman" w:hAnsi="Times New Roman" w:cs="Times New Roman"/>
          <w:sz w:val="24"/>
          <w:szCs w:val="24"/>
        </w:rPr>
        <w:t>f</w:t>
      </w:r>
      <w:r w:rsidR="00A47320">
        <w:rPr>
          <w:rFonts w:ascii="Times New Roman" w:hAnsi="Times New Roman" w:cs="Times New Roman"/>
          <w:sz w:val="24"/>
          <w:szCs w:val="24"/>
        </w:rPr>
        <w:t>igure 1).</w:t>
      </w:r>
      <w:r w:rsidR="00C76637">
        <w:rPr>
          <w:rFonts w:ascii="Times New Roman" w:hAnsi="Times New Roman" w:cs="Times New Roman"/>
          <w:sz w:val="24"/>
          <w:szCs w:val="24"/>
        </w:rPr>
        <w:t xml:space="preserve"> The figure also reveals a trend of uncertainty in the spread of the pandemic stemming from the development of several waves and the emergence of new strains of the virus over the pandemic period.</w:t>
      </w:r>
    </w:p>
    <w:p w:rsidR="0062741D" w:rsidRDefault="0062741D" w:rsidP="00551C47">
      <w:pPr>
        <w:spacing w:after="0" w:line="360" w:lineRule="auto"/>
        <w:jc w:val="both"/>
        <w:rPr>
          <w:rFonts w:ascii="Times New Roman" w:hAnsi="Times New Roman" w:cs="Times New Roman"/>
          <w:sz w:val="24"/>
          <w:szCs w:val="24"/>
        </w:rPr>
      </w:pPr>
    </w:p>
    <w:p w:rsidR="005F14F9" w:rsidRDefault="00151275" w:rsidP="00E069E7">
      <w:pPr>
        <w:spacing w:after="0" w:line="36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lastRenderedPageBreak/>
        <w:t>Figure 1.</w:t>
      </w:r>
      <w:proofErr w:type="gramEnd"/>
      <w:r>
        <w:rPr>
          <w:rFonts w:ascii="Times New Roman" w:hAnsi="Times New Roman" w:cs="Times New Roman"/>
          <w:b/>
          <w:color w:val="000000" w:themeColor="text1"/>
          <w:sz w:val="24"/>
          <w:szCs w:val="24"/>
        </w:rPr>
        <w:t xml:space="preserve"> C</w:t>
      </w:r>
      <w:r w:rsidR="00E069E7">
        <w:rPr>
          <w:rFonts w:ascii="Times New Roman" w:hAnsi="Times New Roman" w:cs="Times New Roman"/>
          <w:b/>
          <w:color w:val="000000" w:themeColor="text1"/>
          <w:sz w:val="24"/>
          <w:szCs w:val="24"/>
        </w:rPr>
        <w:t>onfirme</w:t>
      </w:r>
      <w:r w:rsidR="00A3679B">
        <w:rPr>
          <w:rFonts w:ascii="Times New Roman" w:hAnsi="Times New Roman" w:cs="Times New Roman"/>
          <w:b/>
          <w:color w:val="000000" w:themeColor="text1"/>
          <w:sz w:val="24"/>
          <w:szCs w:val="24"/>
        </w:rPr>
        <w:t xml:space="preserve">d COVID-19 </w:t>
      </w:r>
      <w:r w:rsidR="00992DB4">
        <w:rPr>
          <w:rFonts w:ascii="Times New Roman" w:hAnsi="Times New Roman" w:cs="Times New Roman"/>
          <w:b/>
          <w:color w:val="000000" w:themeColor="text1"/>
          <w:sz w:val="24"/>
          <w:szCs w:val="24"/>
        </w:rPr>
        <w:t>c</w:t>
      </w:r>
      <w:r w:rsidR="00E069E7">
        <w:rPr>
          <w:rFonts w:ascii="Times New Roman" w:hAnsi="Times New Roman" w:cs="Times New Roman"/>
          <w:b/>
          <w:color w:val="000000" w:themeColor="text1"/>
          <w:sz w:val="24"/>
          <w:szCs w:val="24"/>
        </w:rPr>
        <w:t xml:space="preserve">ases </w:t>
      </w:r>
      <w:r w:rsidR="00A3679B">
        <w:rPr>
          <w:rFonts w:ascii="Times New Roman" w:hAnsi="Times New Roman" w:cs="Times New Roman"/>
          <w:b/>
          <w:color w:val="000000" w:themeColor="text1"/>
          <w:sz w:val="24"/>
          <w:szCs w:val="24"/>
        </w:rPr>
        <w:t xml:space="preserve">in the EAC </w:t>
      </w:r>
      <w:r w:rsidR="00992DB4">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rPr>
        <w:t xml:space="preserve">egion </w:t>
      </w:r>
      <w:r w:rsidR="00E069E7" w:rsidRPr="00E069E7">
        <w:rPr>
          <w:rFonts w:ascii="Times New Roman" w:hAnsi="Times New Roman" w:cs="Times New Roman"/>
          <w:b/>
          <w:color w:val="000000" w:themeColor="text1"/>
          <w:sz w:val="24"/>
          <w:szCs w:val="24"/>
        </w:rPr>
        <w:t>(March 2020 - June 2021)</w:t>
      </w:r>
    </w:p>
    <w:p w:rsidR="005F14F9" w:rsidRDefault="008C373D" w:rsidP="00E069E7">
      <w:pPr>
        <w:spacing w:after="0" w:line="360" w:lineRule="auto"/>
        <w:jc w:val="both"/>
        <w:rPr>
          <w:rFonts w:ascii="Times New Roman" w:hAnsi="Times New Roman" w:cs="Times New Roman"/>
          <w:b/>
          <w:color w:val="000000" w:themeColor="text1"/>
          <w:sz w:val="24"/>
          <w:szCs w:val="24"/>
        </w:rPr>
      </w:pPr>
      <w:r>
        <w:rPr>
          <w:noProof/>
        </w:rPr>
        <w:drawing>
          <wp:inline distT="0" distB="0" distL="0" distR="0" wp14:anchorId="37741066" wp14:editId="4C5861DF">
            <wp:extent cx="5648325" cy="3571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14F9" w:rsidRDefault="005F14F9" w:rsidP="005F14F9">
      <w:pPr>
        <w:spacing w:after="0" w:line="360" w:lineRule="auto"/>
        <w:jc w:val="both"/>
        <w:rPr>
          <w:rFonts w:ascii="Times New Roman" w:hAnsi="Times New Roman" w:cs="Times New Roman"/>
          <w:color w:val="000000" w:themeColor="text1"/>
          <w:sz w:val="24"/>
          <w:szCs w:val="24"/>
        </w:rPr>
      </w:pPr>
      <w:r w:rsidRPr="008D37CB">
        <w:rPr>
          <w:rFonts w:ascii="Times New Roman" w:hAnsi="Times New Roman" w:cs="Times New Roman"/>
          <w:b/>
          <w:color w:val="000000" w:themeColor="text1"/>
          <w:sz w:val="24"/>
          <w:szCs w:val="24"/>
        </w:rPr>
        <w:t>Source</w:t>
      </w:r>
      <w:r w:rsidRPr="008D37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JHU CSSE COVID-19 Data (2020-2021)</w:t>
      </w:r>
    </w:p>
    <w:p w:rsidR="008C373D" w:rsidRDefault="008C373D" w:rsidP="005F14F9">
      <w:pPr>
        <w:spacing w:after="0" w:line="360" w:lineRule="auto"/>
        <w:jc w:val="both"/>
        <w:rPr>
          <w:rFonts w:ascii="Times New Roman" w:hAnsi="Times New Roman" w:cs="Times New Roman"/>
          <w:color w:val="000000" w:themeColor="text1"/>
          <w:sz w:val="24"/>
          <w:szCs w:val="24"/>
        </w:rPr>
      </w:pPr>
    </w:p>
    <w:p w:rsidR="00792F89" w:rsidRDefault="00893C9D" w:rsidP="003C52F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F0841">
        <w:rPr>
          <w:rFonts w:ascii="Times New Roman" w:hAnsi="Times New Roman" w:cs="Times New Roman"/>
          <w:color w:val="000000" w:themeColor="text1"/>
          <w:sz w:val="24"/>
          <w:szCs w:val="24"/>
        </w:rPr>
        <w:t>In response to the pandemic, governments globally institut</w:t>
      </w:r>
      <w:r w:rsidR="0003542C">
        <w:rPr>
          <w:rFonts w:ascii="Times New Roman" w:hAnsi="Times New Roman" w:cs="Times New Roman"/>
          <w:color w:val="000000" w:themeColor="text1"/>
          <w:sz w:val="24"/>
          <w:szCs w:val="24"/>
        </w:rPr>
        <w:t xml:space="preserve">ed and implemented various </w:t>
      </w:r>
      <w:r w:rsidR="00DF0841">
        <w:rPr>
          <w:rFonts w:ascii="Times New Roman" w:hAnsi="Times New Roman" w:cs="Times New Roman"/>
          <w:color w:val="000000" w:themeColor="text1"/>
          <w:sz w:val="24"/>
          <w:szCs w:val="24"/>
        </w:rPr>
        <w:t>fiscal and monet</w:t>
      </w:r>
      <w:r w:rsidR="005D6A90">
        <w:rPr>
          <w:rFonts w:ascii="Times New Roman" w:hAnsi="Times New Roman" w:cs="Times New Roman"/>
          <w:color w:val="000000" w:themeColor="text1"/>
          <w:sz w:val="24"/>
          <w:szCs w:val="24"/>
        </w:rPr>
        <w:t xml:space="preserve">ary measures to help mitigate </w:t>
      </w:r>
      <w:r w:rsidR="0003542C">
        <w:rPr>
          <w:rFonts w:ascii="Times New Roman" w:hAnsi="Times New Roman" w:cs="Times New Roman"/>
          <w:color w:val="000000" w:themeColor="text1"/>
          <w:sz w:val="24"/>
          <w:szCs w:val="24"/>
        </w:rPr>
        <w:t>the effects of the pandemic</w:t>
      </w:r>
      <w:r w:rsidR="00DF0841">
        <w:rPr>
          <w:rFonts w:ascii="Times New Roman" w:hAnsi="Times New Roman" w:cs="Times New Roman"/>
          <w:color w:val="000000" w:themeColor="text1"/>
          <w:sz w:val="24"/>
          <w:szCs w:val="24"/>
        </w:rPr>
        <w:t>. While some policies were welfare-oriented, some aimed at easing the health system capacity burden across the EAC countries.</w:t>
      </w:r>
    </w:p>
    <w:p w:rsidR="00792F89" w:rsidRDefault="00792F89" w:rsidP="003C52F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6CC1">
        <w:rPr>
          <w:rFonts w:ascii="Times New Roman" w:hAnsi="Times New Roman" w:cs="Times New Roman"/>
          <w:sz w:val="24"/>
          <w:szCs w:val="24"/>
        </w:rPr>
        <w:t>In this light, this study, therefore, sought to e</w:t>
      </w:r>
      <w:r w:rsidR="003934F4">
        <w:rPr>
          <w:rFonts w:ascii="Times New Roman" w:hAnsi="Times New Roman" w:cs="Times New Roman"/>
          <w:sz w:val="24"/>
          <w:szCs w:val="24"/>
        </w:rPr>
        <w:t xml:space="preserve">stablish the impact of the </w:t>
      </w:r>
      <w:r w:rsidR="00E66CC1">
        <w:rPr>
          <w:rFonts w:ascii="Times New Roman" w:hAnsi="Times New Roman" w:cs="Times New Roman"/>
          <w:sz w:val="24"/>
          <w:szCs w:val="24"/>
        </w:rPr>
        <w:t>pandemic on</w:t>
      </w:r>
      <w:r w:rsidR="00934C73">
        <w:rPr>
          <w:rFonts w:ascii="Times New Roman" w:hAnsi="Times New Roman" w:cs="Times New Roman"/>
          <w:sz w:val="24"/>
          <w:szCs w:val="24"/>
        </w:rPr>
        <w:t xml:space="preserve"> social welfare and</w:t>
      </w:r>
      <w:r w:rsidR="007336D1">
        <w:rPr>
          <w:rFonts w:ascii="Times New Roman" w:hAnsi="Times New Roman" w:cs="Times New Roman"/>
          <w:sz w:val="24"/>
          <w:szCs w:val="24"/>
        </w:rPr>
        <w:t xml:space="preserve"> </w:t>
      </w:r>
      <w:r w:rsidR="00982C95">
        <w:rPr>
          <w:rFonts w:ascii="Times New Roman" w:hAnsi="Times New Roman" w:cs="Times New Roman"/>
          <w:sz w:val="24"/>
          <w:szCs w:val="24"/>
        </w:rPr>
        <w:t>health system capacity of East African Economies for the period March 2020-May 2021. We specify this period since the first case of the COVID-19 disease was reported in March 2020 in the EAC region.</w:t>
      </w:r>
      <w:r w:rsidR="00E66CC1">
        <w:rPr>
          <w:rFonts w:ascii="Times New Roman" w:hAnsi="Times New Roman" w:cs="Times New Roman"/>
          <w:sz w:val="24"/>
          <w:szCs w:val="24"/>
        </w:rPr>
        <w:t xml:space="preserve"> </w:t>
      </w:r>
      <w:r w:rsidR="00960761">
        <w:rPr>
          <w:rFonts w:ascii="Times New Roman" w:hAnsi="Times New Roman" w:cs="Times New Roman"/>
          <w:sz w:val="24"/>
          <w:szCs w:val="24"/>
        </w:rPr>
        <w:t>The contribution to literature is three-fold.</w:t>
      </w:r>
      <w:r w:rsidR="00982C95">
        <w:rPr>
          <w:rFonts w:ascii="Times New Roman" w:hAnsi="Times New Roman" w:cs="Times New Roman"/>
          <w:sz w:val="24"/>
          <w:szCs w:val="24"/>
        </w:rPr>
        <w:t xml:space="preserve"> First, we analyze the effect of the pandemic on social welfare across EAC economies by estimating a panel ARDL mod</w:t>
      </w:r>
      <w:r w:rsidR="00960761">
        <w:rPr>
          <w:rFonts w:ascii="Times New Roman" w:hAnsi="Times New Roman" w:cs="Times New Roman"/>
          <w:sz w:val="24"/>
          <w:szCs w:val="24"/>
        </w:rPr>
        <w:t>el using the PMG</w:t>
      </w:r>
      <w:r w:rsidR="00982C95">
        <w:rPr>
          <w:rFonts w:ascii="Times New Roman" w:hAnsi="Times New Roman" w:cs="Times New Roman"/>
          <w:sz w:val="24"/>
          <w:szCs w:val="24"/>
        </w:rPr>
        <w:t xml:space="preserve"> estimator. This approach will enable us </w:t>
      </w:r>
      <w:r w:rsidR="00DC1F08">
        <w:rPr>
          <w:rFonts w:ascii="Times New Roman" w:hAnsi="Times New Roman" w:cs="Times New Roman"/>
          <w:sz w:val="24"/>
          <w:szCs w:val="24"/>
        </w:rPr>
        <w:t xml:space="preserve">to </w:t>
      </w:r>
      <w:r w:rsidR="00982C95">
        <w:rPr>
          <w:rFonts w:ascii="Times New Roman" w:hAnsi="Times New Roman" w:cs="Times New Roman"/>
          <w:sz w:val="24"/>
          <w:szCs w:val="24"/>
        </w:rPr>
        <w:t xml:space="preserve">draw comparisons on the degree of impact of the pandemic on social welfare across the selected EAC countries. </w:t>
      </w:r>
      <w:r w:rsidR="00DC1F08">
        <w:rPr>
          <w:rFonts w:ascii="Times New Roman" w:hAnsi="Times New Roman" w:cs="Times New Roman"/>
          <w:sz w:val="24"/>
          <w:szCs w:val="24"/>
        </w:rPr>
        <w:t>The m</w:t>
      </w:r>
      <w:r w:rsidR="00982C95">
        <w:rPr>
          <w:rFonts w:ascii="Times New Roman" w:hAnsi="Times New Roman" w:cs="Times New Roman"/>
          <w:sz w:val="24"/>
          <w:szCs w:val="24"/>
        </w:rPr>
        <w:t>ajority of the conducted studies have</w:t>
      </w:r>
      <w:r w:rsidR="00E0040F">
        <w:rPr>
          <w:rFonts w:ascii="Times New Roman" w:hAnsi="Times New Roman" w:cs="Times New Roman"/>
          <w:sz w:val="24"/>
          <w:szCs w:val="24"/>
        </w:rPr>
        <w:t xml:space="preserve"> rather</w:t>
      </w:r>
      <w:r w:rsidR="00E034AA">
        <w:rPr>
          <w:rFonts w:ascii="Times New Roman" w:hAnsi="Times New Roman" w:cs="Times New Roman"/>
          <w:sz w:val="24"/>
          <w:szCs w:val="24"/>
        </w:rPr>
        <w:t xml:space="preserve"> focused on descriptive study analysis. The few that attempted at </w:t>
      </w:r>
      <w:r w:rsidR="007866D6">
        <w:rPr>
          <w:rFonts w:ascii="Times New Roman" w:hAnsi="Times New Roman" w:cs="Times New Roman"/>
          <w:sz w:val="24"/>
          <w:szCs w:val="24"/>
        </w:rPr>
        <w:t xml:space="preserve">the </w:t>
      </w:r>
      <w:r w:rsidR="00E034AA">
        <w:rPr>
          <w:rFonts w:ascii="Times New Roman" w:hAnsi="Times New Roman" w:cs="Times New Roman"/>
          <w:sz w:val="24"/>
          <w:szCs w:val="24"/>
        </w:rPr>
        <w:t>estimating model(s) have rather focused on country-specific needs. Secondly, we provide a</w:t>
      </w:r>
      <w:r w:rsidR="006821D6">
        <w:rPr>
          <w:rFonts w:ascii="Times New Roman" w:hAnsi="Times New Roman" w:cs="Times New Roman"/>
          <w:sz w:val="24"/>
          <w:szCs w:val="24"/>
        </w:rPr>
        <w:t xml:space="preserve">n estimated </w:t>
      </w:r>
      <w:r w:rsidR="00E034AA">
        <w:rPr>
          <w:rFonts w:ascii="Times New Roman" w:hAnsi="Times New Roman" w:cs="Times New Roman"/>
          <w:sz w:val="24"/>
          <w:szCs w:val="24"/>
        </w:rPr>
        <w:t xml:space="preserve">comparative overview of the hospitals’ surge capacity across the EAC economies. </w:t>
      </w:r>
      <w:r w:rsidR="00E034AA">
        <w:rPr>
          <w:rFonts w:ascii="Times New Roman" w:hAnsi="Times New Roman" w:cs="Times New Roman"/>
          <w:sz w:val="24"/>
          <w:szCs w:val="24"/>
        </w:rPr>
        <w:lastRenderedPageBreak/>
        <w:t xml:space="preserve">And, thirdly, </w:t>
      </w:r>
      <w:r w:rsidR="000F7329">
        <w:rPr>
          <w:rFonts w:ascii="Times New Roman" w:hAnsi="Times New Roman" w:cs="Times New Roman"/>
          <w:sz w:val="24"/>
          <w:szCs w:val="24"/>
        </w:rPr>
        <w:t xml:space="preserve">we evaluate two different </w:t>
      </w:r>
      <w:r w:rsidR="00E034AA">
        <w:rPr>
          <w:rFonts w:ascii="Times New Roman" w:hAnsi="Times New Roman" w:cs="Times New Roman"/>
          <w:sz w:val="24"/>
          <w:szCs w:val="24"/>
        </w:rPr>
        <w:t xml:space="preserve">indicators of </w:t>
      </w:r>
      <w:r w:rsidR="000F7329">
        <w:rPr>
          <w:rFonts w:ascii="Times New Roman" w:hAnsi="Times New Roman" w:cs="Times New Roman"/>
          <w:sz w:val="24"/>
          <w:szCs w:val="24"/>
        </w:rPr>
        <w:t xml:space="preserve">social welfare namely </w:t>
      </w:r>
      <w:r w:rsidR="00E034AA">
        <w:rPr>
          <w:rFonts w:ascii="Times New Roman" w:hAnsi="Times New Roman" w:cs="Times New Roman"/>
          <w:sz w:val="24"/>
          <w:szCs w:val="24"/>
        </w:rPr>
        <w:t>inflation</w:t>
      </w:r>
      <w:r w:rsidR="000F7329">
        <w:rPr>
          <w:rFonts w:ascii="Times New Roman" w:hAnsi="Times New Roman" w:cs="Times New Roman"/>
          <w:sz w:val="24"/>
          <w:szCs w:val="24"/>
        </w:rPr>
        <w:t xml:space="preserve"> (proxied by CPI) and oil prices across the selected countries. </w:t>
      </w:r>
      <w:r w:rsidR="00E034AA">
        <w:rPr>
          <w:rFonts w:ascii="Times New Roman" w:hAnsi="Times New Roman" w:cs="Times New Roman"/>
          <w:sz w:val="24"/>
          <w:szCs w:val="24"/>
        </w:rPr>
        <w:t xml:space="preserve">This is unlike previous studies that tend to focus on only one given aspect of social welfare. </w:t>
      </w:r>
    </w:p>
    <w:p w:rsidR="00E66CC1" w:rsidRPr="00792F89" w:rsidRDefault="00792F89" w:rsidP="00893C9D">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004905">
        <w:rPr>
          <w:rFonts w:ascii="Times New Roman" w:hAnsi="Times New Roman" w:cs="Times New Roman"/>
          <w:sz w:val="24"/>
          <w:szCs w:val="24"/>
        </w:rPr>
        <w:t xml:space="preserve">While </w:t>
      </w:r>
      <w:r w:rsidR="00661A9D">
        <w:rPr>
          <w:rFonts w:ascii="Times New Roman" w:hAnsi="Times New Roman" w:cs="Times New Roman"/>
          <w:sz w:val="24"/>
          <w:szCs w:val="24"/>
        </w:rPr>
        <w:t xml:space="preserve">different </w:t>
      </w:r>
      <w:r w:rsidR="00004905">
        <w:rPr>
          <w:rFonts w:ascii="Times New Roman" w:hAnsi="Times New Roman" w:cs="Times New Roman"/>
          <w:sz w:val="24"/>
          <w:szCs w:val="24"/>
        </w:rPr>
        <w:t xml:space="preserve">measures have been instituted by respective governments globally to help combat the pandemic, the </w:t>
      </w:r>
      <w:r w:rsidR="00E034AA">
        <w:rPr>
          <w:rFonts w:ascii="Times New Roman" w:hAnsi="Times New Roman" w:cs="Times New Roman"/>
          <w:sz w:val="24"/>
          <w:szCs w:val="24"/>
        </w:rPr>
        <w:t xml:space="preserve">study findings will draw insights on how governments across EAC region should </w:t>
      </w:r>
      <w:r w:rsidR="00004905">
        <w:rPr>
          <w:rFonts w:ascii="Times New Roman" w:hAnsi="Times New Roman" w:cs="Times New Roman"/>
          <w:sz w:val="24"/>
          <w:szCs w:val="24"/>
        </w:rPr>
        <w:t xml:space="preserve">re-orient their policy responses towards dealing with the pandemic </w:t>
      </w:r>
      <w:r w:rsidR="000610B2">
        <w:rPr>
          <w:rFonts w:ascii="Times New Roman" w:hAnsi="Times New Roman" w:cs="Times New Roman"/>
          <w:sz w:val="24"/>
          <w:szCs w:val="24"/>
        </w:rPr>
        <w:t xml:space="preserve">in the long </w:t>
      </w:r>
      <w:r w:rsidR="00004905">
        <w:rPr>
          <w:rFonts w:ascii="Times New Roman" w:hAnsi="Times New Roman" w:cs="Times New Roman"/>
          <w:sz w:val="24"/>
          <w:szCs w:val="24"/>
        </w:rPr>
        <w:t>run.</w:t>
      </w:r>
    </w:p>
    <w:p w:rsidR="000610B2" w:rsidRDefault="00E034AA" w:rsidP="00893C9D">
      <w:pPr>
        <w:spacing w:line="360" w:lineRule="auto"/>
        <w:jc w:val="both"/>
        <w:rPr>
          <w:rFonts w:ascii="Times New Roman" w:hAnsi="Times New Roman" w:cs="Times New Roman"/>
          <w:b/>
          <w:color w:val="000000" w:themeColor="text1"/>
          <w:sz w:val="24"/>
          <w:szCs w:val="24"/>
        </w:rPr>
      </w:pPr>
      <w:r w:rsidRPr="00FD0706">
        <w:rPr>
          <w:rFonts w:ascii="Times New Roman" w:hAnsi="Times New Roman" w:cs="Times New Roman"/>
          <w:b/>
          <w:color w:val="000000" w:themeColor="text1"/>
          <w:sz w:val="24"/>
          <w:szCs w:val="24"/>
        </w:rPr>
        <w:t>1.2</w:t>
      </w:r>
      <w:r w:rsidR="00AE5578">
        <w:rPr>
          <w:rFonts w:ascii="Times New Roman" w:hAnsi="Times New Roman" w:cs="Times New Roman"/>
          <w:b/>
          <w:color w:val="000000" w:themeColor="text1"/>
          <w:sz w:val="24"/>
          <w:szCs w:val="24"/>
        </w:rPr>
        <w:t xml:space="preserve"> Social welfare i</w:t>
      </w:r>
      <w:r w:rsidR="00FD0706" w:rsidRPr="00FD0706">
        <w:rPr>
          <w:rFonts w:ascii="Times New Roman" w:hAnsi="Times New Roman" w:cs="Times New Roman"/>
          <w:b/>
          <w:color w:val="000000" w:themeColor="text1"/>
          <w:sz w:val="24"/>
          <w:szCs w:val="24"/>
        </w:rPr>
        <w:t>ndicators</w:t>
      </w:r>
    </w:p>
    <w:p w:rsidR="00A37B79" w:rsidRDefault="000C29E2" w:rsidP="00893C9D">
      <w:pPr>
        <w:autoSpaceDE w:val="0"/>
        <w:autoSpaceDN w:val="0"/>
        <w:adjustRightInd w:val="0"/>
        <w:spacing w:line="360" w:lineRule="auto"/>
        <w:jc w:val="both"/>
        <w:rPr>
          <w:rFonts w:ascii="Times New Roman" w:hAnsi="Times New Roman" w:cs="Times New Roman"/>
          <w:sz w:val="24"/>
          <w:szCs w:val="24"/>
        </w:rPr>
      </w:pPr>
      <w:r w:rsidRPr="00682744">
        <w:rPr>
          <w:rFonts w:ascii="Times New Roman" w:hAnsi="Times New Roman" w:cs="Times New Roman"/>
          <w:sz w:val="24"/>
          <w:szCs w:val="24"/>
        </w:rPr>
        <w:t xml:space="preserve">Hurnik </w:t>
      </w:r>
      <w:r w:rsidRPr="003C52F4">
        <w:rPr>
          <w:rFonts w:ascii="Times New Roman" w:hAnsi="Times New Roman" w:cs="Times New Roman"/>
          <w:i/>
          <w:sz w:val="24"/>
          <w:szCs w:val="24"/>
        </w:rPr>
        <w:t>et al</w:t>
      </w:r>
      <w:r w:rsidR="00934C73" w:rsidRPr="003C52F4">
        <w:rPr>
          <w:rFonts w:ascii="Times New Roman" w:hAnsi="Times New Roman" w:cs="Times New Roman"/>
          <w:i/>
          <w:sz w:val="24"/>
          <w:szCs w:val="24"/>
        </w:rPr>
        <w:t>.</w:t>
      </w:r>
      <w:r w:rsidR="00934C73">
        <w:rPr>
          <w:rFonts w:ascii="Times New Roman" w:hAnsi="Times New Roman" w:cs="Times New Roman"/>
          <w:sz w:val="24"/>
          <w:szCs w:val="24"/>
        </w:rPr>
        <w:t xml:space="preserve"> </w:t>
      </w:r>
      <w:r>
        <w:rPr>
          <w:rFonts w:ascii="Times New Roman" w:hAnsi="Times New Roman" w:cs="Times New Roman"/>
          <w:sz w:val="24"/>
          <w:szCs w:val="24"/>
        </w:rPr>
        <w:t>(</w:t>
      </w:r>
      <w:r w:rsidRPr="00682744">
        <w:rPr>
          <w:rFonts w:ascii="Times New Roman" w:hAnsi="Times New Roman" w:cs="Times New Roman"/>
          <w:sz w:val="24"/>
          <w:szCs w:val="24"/>
        </w:rPr>
        <w:t>2020)</w:t>
      </w:r>
      <w:r>
        <w:rPr>
          <w:rFonts w:ascii="Times New Roman" w:hAnsi="Times New Roman" w:cs="Times New Roman"/>
          <w:sz w:val="24"/>
          <w:szCs w:val="24"/>
        </w:rPr>
        <w:t xml:space="preserve"> observed that measuring the impacts of the COVID-19 pandemic on food security and prices, in general, could be quite challenging since its full effects are still yet to be completely visualized. However, as pointed out by </w:t>
      </w:r>
      <w:r w:rsidRPr="00682744">
        <w:rPr>
          <w:rFonts w:ascii="Times New Roman" w:hAnsi="Times New Roman" w:cs="Times New Roman"/>
          <w:sz w:val="24"/>
          <w:szCs w:val="24"/>
        </w:rPr>
        <w:t xml:space="preserve">Rahman </w:t>
      </w:r>
      <w:r w:rsidRPr="003C52F4">
        <w:rPr>
          <w:rFonts w:ascii="Times New Roman" w:hAnsi="Times New Roman" w:cs="Times New Roman"/>
          <w:i/>
          <w:sz w:val="24"/>
          <w:szCs w:val="24"/>
        </w:rPr>
        <w:t>et al</w:t>
      </w:r>
      <w:r w:rsidR="00934C73" w:rsidRPr="003C52F4">
        <w:rPr>
          <w:rFonts w:ascii="Times New Roman" w:hAnsi="Times New Roman" w:cs="Times New Roman"/>
          <w:i/>
          <w:sz w:val="24"/>
          <w:szCs w:val="24"/>
        </w:rPr>
        <w:t>.</w:t>
      </w:r>
      <w:r w:rsidR="00934C73">
        <w:rPr>
          <w:rFonts w:ascii="Times New Roman" w:hAnsi="Times New Roman" w:cs="Times New Roman"/>
          <w:sz w:val="24"/>
          <w:szCs w:val="24"/>
        </w:rPr>
        <w:t xml:space="preserve"> </w:t>
      </w:r>
      <w:r w:rsidR="005821EA">
        <w:rPr>
          <w:rFonts w:ascii="Times New Roman" w:hAnsi="Times New Roman" w:cs="Times New Roman"/>
          <w:sz w:val="24"/>
          <w:szCs w:val="24"/>
        </w:rPr>
        <w:t xml:space="preserve">(2020), the </w:t>
      </w:r>
      <w:r w:rsidR="00712382">
        <w:rPr>
          <w:rFonts w:ascii="Times New Roman" w:hAnsi="Times New Roman" w:cs="Times New Roman"/>
          <w:sz w:val="24"/>
          <w:szCs w:val="24"/>
        </w:rPr>
        <w:t>pandemic has already affected</w:t>
      </w:r>
      <w:r w:rsidRPr="00682744">
        <w:rPr>
          <w:rFonts w:ascii="Times New Roman" w:hAnsi="Times New Roman" w:cs="Times New Roman"/>
          <w:sz w:val="24"/>
          <w:szCs w:val="24"/>
        </w:rPr>
        <w:t xml:space="preserve"> food systems</w:t>
      </w:r>
      <w:r>
        <w:rPr>
          <w:rFonts w:ascii="Times New Roman" w:hAnsi="Times New Roman" w:cs="Times New Roman"/>
          <w:sz w:val="24"/>
          <w:szCs w:val="24"/>
        </w:rPr>
        <w:t xml:space="preserve"> directly by impacting food supply and demand &amp; indirectly through decreasing the purchasing power as well as the</w:t>
      </w:r>
      <w:r w:rsidR="00712382">
        <w:rPr>
          <w:rFonts w:ascii="Times New Roman" w:hAnsi="Times New Roman" w:cs="Times New Roman"/>
          <w:sz w:val="24"/>
          <w:szCs w:val="24"/>
        </w:rPr>
        <w:t xml:space="preserve"> </w:t>
      </w:r>
      <w:r w:rsidRPr="00682744">
        <w:rPr>
          <w:rFonts w:ascii="Times New Roman" w:hAnsi="Times New Roman" w:cs="Times New Roman"/>
          <w:sz w:val="24"/>
          <w:szCs w:val="24"/>
        </w:rPr>
        <w:t>produc</w:t>
      </w:r>
      <w:r w:rsidR="00712382">
        <w:rPr>
          <w:rFonts w:ascii="Times New Roman" w:hAnsi="Times New Roman" w:cs="Times New Roman"/>
          <w:sz w:val="24"/>
          <w:szCs w:val="24"/>
        </w:rPr>
        <w:t>tion &amp; distribution</w:t>
      </w:r>
      <w:r>
        <w:rPr>
          <w:rFonts w:ascii="Times New Roman" w:hAnsi="Times New Roman" w:cs="Times New Roman"/>
          <w:sz w:val="24"/>
          <w:szCs w:val="24"/>
        </w:rPr>
        <w:t xml:space="preserve"> </w:t>
      </w:r>
      <w:r w:rsidR="00712382">
        <w:rPr>
          <w:rFonts w:ascii="Times New Roman" w:hAnsi="Times New Roman" w:cs="Times New Roman"/>
          <w:sz w:val="24"/>
          <w:szCs w:val="24"/>
        </w:rPr>
        <w:t>capacity of food</w:t>
      </w:r>
      <w:r w:rsidRPr="00682744">
        <w:rPr>
          <w:rFonts w:ascii="Times New Roman" w:hAnsi="Times New Roman" w:cs="Times New Roman"/>
          <w:sz w:val="24"/>
          <w:szCs w:val="24"/>
        </w:rPr>
        <w:t>.</w:t>
      </w:r>
      <w:r>
        <w:rPr>
          <w:rFonts w:ascii="Times New Roman" w:hAnsi="Times New Roman" w:cs="Times New Roman"/>
          <w:sz w:val="24"/>
          <w:szCs w:val="24"/>
        </w:rPr>
        <w:t xml:space="preserve"> This could ultimately have far-reaching consequences on food prices and by extension on </w:t>
      </w:r>
      <w:r w:rsidR="00712382">
        <w:rPr>
          <w:rFonts w:ascii="Times New Roman" w:hAnsi="Times New Roman" w:cs="Times New Roman"/>
          <w:sz w:val="24"/>
          <w:szCs w:val="24"/>
        </w:rPr>
        <w:t xml:space="preserve">food security &amp; </w:t>
      </w:r>
      <w:r>
        <w:rPr>
          <w:rFonts w:ascii="Times New Roman" w:hAnsi="Times New Roman" w:cs="Times New Roman"/>
          <w:sz w:val="24"/>
          <w:szCs w:val="24"/>
        </w:rPr>
        <w:t xml:space="preserve">nutrition, especially for the already vulnerable segment of the African population </w:t>
      </w:r>
      <w:r w:rsidRPr="00682744">
        <w:rPr>
          <w:rFonts w:ascii="Times New Roman" w:hAnsi="Times New Roman" w:cs="Times New Roman"/>
          <w:sz w:val="24"/>
          <w:szCs w:val="24"/>
        </w:rPr>
        <w:t>(W</w:t>
      </w:r>
      <w:r>
        <w:rPr>
          <w:rFonts w:ascii="Times New Roman" w:hAnsi="Times New Roman" w:cs="Times New Roman"/>
          <w:sz w:val="24"/>
          <w:szCs w:val="24"/>
        </w:rPr>
        <w:t xml:space="preserve">orld </w:t>
      </w:r>
      <w:r w:rsidRPr="00682744">
        <w:rPr>
          <w:rFonts w:ascii="Times New Roman" w:hAnsi="Times New Roman" w:cs="Times New Roman"/>
          <w:sz w:val="24"/>
          <w:szCs w:val="24"/>
        </w:rPr>
        <w:t>B</w:t>
      </w:r>
      <w:r>
        <w:rPr>
          <w:rFonts w:ascii="Times New Roman" w:hAnsi="Times New Roman" w:cs="Times New Roman"/>
          <w:sz w:val="24"/>
          <w:szCs w:val="24"/>
        </w:rPr>
        <w:t>ank, 2020</w:t>
      </w:r>
      <w:r w:rsidRPr="00682744">
        <w:rPr>
          <w:rFonts w:ascii="Times New Roman" w:hAnsi="Times New Roman" w:cs="Times New Roman"/>
          <w:sz w:val="24"/>
          <w:szCs w:val="24"/>
        </w:rPr>
        <w:t>).</w:t>
      </w:r>
    </w:p>
    <w:p w:rsidR="00A37B79" w:rsidRDefault="00A37B79" w:rsidP="00893C9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9E2" w:rsidRPr="00A43CCD">
        <w:rPr>
          <w:rFonts w:ascii="Times New Roman" w:hAnsi="Times New Roman" w:cs="Times New Roman"/>
          <w:sz w:val="24"/>
          <w:szCs w:val="24"/>
        </w:rPr>
        <w:t xml:space="preserve">Ebrahimy </w:t>
      </w:r>
      <w:r w:rsidR="00934C73" w:rsidRPr="003C52F4">
        <w:rPr>
          <w:rFonts w:ascii="Times New Roman" w:hAnsi="Times New Roman" w:cs="Times New Roman"/>
          <w:i/>
          <w:sz w:val="24"/>
          <w:szCs w:val="24"/>
        </w:rPr>
        <w:t>et al.</w:t>
      </w:r>
      <w:r w:rsidR="00934C73">
        <w:rPr>
          <w:rFonts w:ascii="Times New Roman" w:hAnsi="Times New Roman" w:cs="Times New Roman"/>
          <w:sz w:val="24"/>
          <w:szCs w:val="24"/>
        </w:rPr>
        <w:t xml:space="preserve"> </w:t>
      </w:r>
      <w:r w:rsidR="000C29E2" w:rsidRPr="00A43CCD">
        <w:rPr>
          <w:rFonts w:ascii="Times New Roman" w:hAnsi="Times New Roman" w:cs="Times New Roman"/>
          <w:sz w:val="24"/>
          <w:szCs w:val="24"/>
        </w:rPr>
        <w:t xml:space="preserve">(2020) globally analyzed the drivers and dynamics of inflation during the </w:t>
      </w:r>
      <w:r w:rsidR="000C29E2" w:rsidRPr="00344AC3">
        <w:rPr>
          <w:rFonts w:ascii="Times New Roman" w:hAnsi="Times New Roman" w:cs="Times New Roman"/>
          <w:sz w:val="24"/>
          <w:szCs w:val="24"/>
        </w:rPr>
        <w:t xml:space="preserve">coronavirus </w:t>
      </w:r>
      <w:r w:rsidR="000C29E2" w:rsidRPr="00A43CCD">
        <w:rPr>
          <w:rFonts w:ascii="Times New Roman" w:hAnsi="Times New Roman" w:cs="Times New Roman"/>
          <w:sz w:val="24"/>
          <w:szCs w:val="24"/>
        </w:rPr>
        <w:t xml:space="preserve">pandemic by </w:t>
      </w:r>
      <w:r w:rsidR="000C29E2">
        <w:rPr>
          <w:rFonts w:ascii="Times New Roman" w:hAnsi="Times New Roman" w:cs="Times New Roman"/>
          <w:sz w:val="24"/>
          <w:szCs w:val="24"/>
        </w:rPr>
        <w:t>differentiating</w:t>
      </w:r>
      <w:r w:rsidR="000C29E2" w:rsidRPr="00A43CCD">
        <w:rPr>
          <w:rFonts w:ascii="Times New Roman" w:hAnsi="Times New Roman" w:cs="Times New Roman"/>
          <w:sz w:val="24"/>
          <w:szCs w:val="24"/>
        </w:rPr>
        <w:t xml:space="preserve"> between the lockdown </w:t>
      </w:r>
      <w:r w:rsidR="000C29E2">
        <w:rPr>
          <w:rFonts w:ascii="Times New Roman" w:hAnsi="Times New Roman" w:cs="Times New Roman"/>
          <w:sz w:val="24"/>
          <w:szCs w:val="24"/>
        </w:rPr>
        <w:t>period</w:t>
      </w:r>
      <w:r w:rsidR="000C29E2" w:rsidRPr="00A43CCD">
        <w:rPr>
          <w:rFonts w:ascii="Times New Roman" w:hAnsi="Times New Roman" w:cs="Times New Roman"/>
          <w:sz w:val="24"/>
          <w:szCs w:val="24"/>
        </w:rPr>
        <w:t xml:space="preserve"> which was </w:t>
      </w:r>
      <w:r w:rsidR="000C29E2">
        <w:rPr>
          <w:rFonts w:ascii="Times New Roman" w:hAnsi="Times New Roman" w:cs="Times New Roman"/>
          <w:sz w:val="24"/>
          <w:szCs w:val="24"/>
        </w:rPr>
        <w:t xml:space="preserve">noted </w:t>
      </w:r>
      <w:r w:rsidR="000C29E2" w:rsidRPr="00D02CD0">
        <w:rPr>
          <w:rFonts w:ascii="Times New Roman" w:hAnsi="Times New Roman" w:cs="Times New Roman"/>
          <w:sz w:val="24"/>
          <w:szCs w:val="24"/>
        </w:rPr>
        <w:t>f</w:t>
      </w:r>
      <w:r w:rsidR="000C29E2">
        <w:rPr>
          <w:rFonts w:ascii="Times New Roman" w:hAnsi="Times New Roman" w:cs="Times New Roman"/>
          <w:sz w:val="24"/>
          <w:szCs w:val="24"/>
        </w:rPr>
        <w:t>or</w:t>
      </w:r>
      <w:r w:rsidR="000C29E2" w:rsidRPr="00A43CCD">
        <w:rPr>
          <w:rFonts w:ascii="Times New Roman" w:hAnsi="Times New Roman" w:cs="Times New Roman"/>
          <w:sz w:val="24"/>
          <w:szCs w:val="24"/>
        </w:rPr>
        <w:t xml:space="preserve"> mobility restrictions</w:t>
      </w:r>
      <w:r w:rsidR="000C29E2">
        <w:rPr>
          <w:rFonts w:ascii="Times New Roman" w:hAnsi="Times New Roman" w:cs="Times New Roman"/>
          <w:sz w:val="24"/>
          <w:szCs w:val="24"/>
        </w:rPr>
        <w:t>,</w:t>
      </w:r>
      <w:r w:rsidR="000C29E2" w:rsidRPr="00A43CCD">
        <w:rPr>
          <w:rFonts w:ascii="Times New Roman" w:hAnsi="Times New Roman" w:cs="Times New Roman"/>
          <w:sz w:val="24"/>
          <w:szCs w:val="24"/>
        </w:rPr>
        <w:t xml:space="preserve"> and the reopening phase period when mobility restrictions were lifted. </w:t>
      </w:r>
      <w:r w:rsidR="000C29E2">
        <w:rPr>
          <w:rFonts w:ascii="Times New Roman" w:hAnsi="Times New Roman" w:cs="Times New Roman"/>
          <w:sz w:val="24"/>
          <w:szCs w:val="24"/>
        </w:rPr>
        <w:t>The immediate proof</w:t>
      </w:r>
      <w:r w:rsidR="000C29E2" w:rsidRPr="00A930FA">
        <w:rPr>
          <w:rFonts w:ascii="Times New Roman" w:hAnsi="Times New Roman" w:cs="Times New Roman"/>
          <w:sz w:val="24"/>
          <w:szCs w:val="24"/>
        </w:rPr>
        <w:t>s</w:t>
      </w:r>
      <w:r w:rsidR="000C29E2" w:rsidRPr="00A43CCD">
        <w:rPr>
          <w:rFonts w:ascii="Times New Roman" w:hAnsi="Times New Roman" w:cs="Times New Roman"/>
          <w:sz w:val="24"/>
          <w:szCs w:val="24"/>
        </w:rPr>
        <w:t xml:space="preserve"> from emerging</w:t>
      </w:r>
      <w:r w:rsidR="000C29E2">
        <w:rPr>
          <w:rFonts w:ascii="Times New Roman" w:hAnsi="Times New Roman" w:cs="Times New Roman"/>
          <w:sz w:val="24"/>
          <w:szCs w:val="24"/>
        </w:rPr>
        <w:t xml:space="preserve"> markets</w:t>
      </w:r>
      <w:r w:rsidR="000C29E2" w:rsidRPr="00A930FA">
        <w:t xml:space="preserve"> </w:t>
      </w:r>
      <w:r w:rsidR="000C29E2" w:rsidRPr="00A930FA">
        <w:rPr>
          <w:rFonts w:ascii="Times New Roman" w:hAnsi="Times New Roman" w:cs="Times New Roman"/>
          <w:sz w:val="24"/>
          <w:szCs w:val="24"/>
        </w:rPr>
        <w:t>and</w:t>
      </w:r>
      <w:r w:rsidR="000C29E2" w:rsidRPr="001D6700">
        <w:t xml:space="preserve"> </w:t>
      </w:r>
      <w:r w:rsidR="000C29E2" w:rsidRPr="001D6700">
        <w:rPr>
          <w:rFonts w:ascii="Times New Roman" w:hAnsi="Times New Roman" w:cs="Times New Roman"/>
          <w:sz w:val="24"/>
          <w:szCs w:val="24"/>
        </w:rPr>
        <w:t>developed economies</w:t>
      </w:r>
      <w:r w:rsidR="000C29E2">
        <w:rPr>
          <w:rFonts w:ascii="Times New Roman" w:hAnsi="Times New Roman" w:cs="Times New Roman"/>
          <w:sz w:val="24"/>
          <w:szCs w:val="24"/>
        </w:rPr>
        <w:t xml:space="preserve"> </w:t>
      </w:r>
      <w:r w:rsidR="000C29E2" w:rsidRPr="00A43CCD">
        <w:rPr>
          <w:rFonts w:ascii="Times New Roman" w:hAnsi="Times New Roman" w:cs="Times New Roman"/>
          <w:sz w:val="24"/>
          <w:szCs w:val="24"/>
        </w:rPr>
        <w:t xml:space="preserve">pointed to </w:t>
      </w:r>
      <w:r w:rsidR="000C29E2">
        <w:rPr>
          <w:rFonts w:ascii="Times New Roman" w:hAnsi="Times New Roman" w:cs="Times New Roman"/>
          <w:sz w:val="24"/>
          <w:szCs w:val="24"/>
        </w:rPr>
        <w:t xml:space="preserve">the </w:t>
      </w:r>
      <w:r w:rsidR="000C29E2" w:rsidRPr="00A43CCD">
        <w:rPr>
          <w:rFonts w:ascii="Times New Roman" w:hAnsi="Times New Roman" w:cs="Times New Roman"/>
          <w:sz w:val="24"/>
          <w:szCs w:val="24"/>
        </w:rPr>
        <w:t xml:space="preserve">increased </w:t>
      </w:r>
      <w:r w:rsidR="000C29E2">
        <w:rPr>
          <w:rFonts w:ascii="Times New Roman" w:hAnsi="Times New Roman" w:cs="Times New Roman"/>
          <w:sz w:val="24"/>
          <w:szCs w:val="24"/>
        </w:rPr>
        <w:t>price o</w:t>
      </w:r>
      <w:r w:rsidR="000C29E2" w:rsidRPr="00A43CCD">
        <w:rPr>
          <w:rFonts w:ascii="Times New Roman" w:hAnsi="Times New Roman" w:cs="Times New Roman"/>
          <w:sz w:val="24"/>
          <w:szCs w:val="24"/>
        </w:rPr>
        <w:t>f</w:t>
      </w:r>
      <w:r w:rsidR="000C29E2">
        <w:rPr>
          <w:rFonts w:ascii="Times New Roman" w:hAnsi="Times New Roman" w:cs="Times New Roman"/>
          <w:sz w:val="24"/>
          <w:szCs w:val="24"/>
        </w:rPr>
        <w:t xml:space="preserve"> </w:t>
      </w:r>
      <w:r w:rsidR="000C29E2" w:rsidRPr="00A43CCD">
        <w:rPr>
          <w:rFonts w:ascii="Times New Roman" w:hAnsi="Times New Roman" w:cs="Times New Roman"/>
          <w:sz w:val="24"/>
          <w:szCs w:val="24"/>
        </w:rPr>
        <w:t>food</w:t>
      </w:r>
      <w:r w:rsidR="000C29E2">
        <w:rPr>
          <w:rFonts w:ascii="Times New Roman" w:hAnsi="Times New Roman" w:cs="Times New Roman"/>
          <w:sz w:val="24"/>
          <w:szCs w:val="24"/>
        </w:rPr>
        <w:t xml:space="preserve">. For the developing economies, </w:t>
      </w:r>
      <w:r w:rsidR="000C29E2" w:rsidRPr="00A43CCD">
        <w:rPr>
          <w:rFonts w:ascii="Times New Roman" w:hAnsi="Times New Roman" w:cs="Times New Roman"/>
          <w:sz w:val="24"/>
          <w:szCs w:val="24"/>
        </w:rPr>
        <w:t xml:space="preserve">the demand for pandemic-related </w:t>
      </w:r>
      <w:r w:rsidR="000C29E2">
        <w:rPr>
          <w:rFonts w:ascii="Times New Roman" w:hAnsi="Times New Roman" w:cs="Times New Roman"/>
          <w:sz w:val="24"/>
          <w:szCs w:val="24"/>
        </w:rPr>
        <w:t>goods</w:t>
      </w:r>
      <w:r w:rsidR="007866D6">
        <w:rPr>
          <w:rFonts w:ascii="Times New Roman" w:hAnsi="Times New Roman" w:cs="Times New Roman"/>
          <w:sz w:val="24"/>
          <w:szCs w:val="24"/>
        </w:rPr>
        <w:t xml:space="preserve"> such as </w:t>
      </w:r>
      <w:r w:rsidR="00AF5B92">
        <w:rPr>
          <w:rFonts w:ascii="Times New Roman" w:hAnsi="Times New Roman" w:cs="Times New Roman"/>
          <w:sz w:val="24"/>
          <w:szCs w:val="24"/>
        </w:rPr>
        <w:t xml:space="preserve">Personal </w:t>
      </w:r>
      <w:r w:rsidR="000C29E2">
        <w:rPr>
          <w:rFonts w:ascii="Times New Roman" w:hAnsi="Times New Roman" w:cs="Times New Roman"/>
          <w:sz w:val="24"/>
          <w:szCs w:val="24"/>
        </w:rPr>
        <w:t>P</w:t>
      </w:r>
      <w:r w:rsidR="00AF5B92">
        <w:rPr>
          <w:rFonts w:ascii="Times New Roman" w:hAnsi="Times New Roman" w:cs="Times New Roman"/>
          <w:sz w:val="24"/>
          <w:szCs w:val="24"/>
        </w:rPr>
        <w:t xml:space="preserve">rotection </w:t>
      </w:r>
      <w:r w:rsidR="000C29E2">
        <w:rPr>
          <w:rFonts w:ascii="Times New Roman" w:hAnsi="Times New Roman" w:cs="Times New Roman"/>
          <w:sz w:val="24"/>
          <w:szCs w:val="24"/>
        </w:rPr>
        <w:t>E</w:t>
      </w:r>
      <w:r w:rsidR="00AF5B92">
        <w:rPr>
          <w:rFonts w:ascii="Times New Roman" w:hAnsi="Times New Roman" w:cs="Times New Roman"/>
          <w:sz w:val="24"/>
          <w:szCs w:val="24"/>
        </w:rPr>
        <w:t>quipment (PPEs)</w:t>
      </w:r>
      <w:r w:rsidR="00934C73">
        <w:rPr>
          <w:rFonts w:ascii="Times New Roman" w:hAnsi="Times New Roman" w:cs="Times New Roman"/>
          <w:sz w:val="24"/>
          <w:szCs w:val="24"/>
        </w:rPr>
        <w:t xml:space="preserve">, face masks, testing </w:t>
      </w:r>
      <w:proofErr w:type="gramStart"/>
      <w:r w:rsidR="00934C73">
        <w:rPr>
          <w:rFonts w:ascii="Times New Roman" w:hAnsi="Times New Roman" w:cs="Times New Roman"/>
          <w:sz w:val="24"/>
          <w:szCs w:val="24"/>
        </w:rPr>
        <w:t>reagents,</w:t>
      </w:r>
      <w:proofErr w:type="gramEnd"/>
      <w:r w:rsidR="000C29E2">
        <w:rPr>
          <w:rFonts w:ascii="Times New Roman" w:hAnsi="Times New Roman" w:cs="Times New Roman"/>
          <w:sz w:val="24"/>
          <w:szCs w:val="24"/>
        </w:rPr>
        <w:t xml:space="preserve"> and oxygen ventilato</w:t>
      </w:r>
      <w:r w:rsidR="00AF5B92">
        <w:rPr>
          <w:rFonts w:ascii="Times New Roman" w:hAnsi="Times New Roman" w:cs="Times New Roman"/>
          <w:sz w:val="24"/>
          <w:szCs w:val="24"/>
        </w:rPr>
        <w:t>rs</w:t>
      </w:r>
      <w:r w:rsidR="000C29E2">
        <w:rPr>
          <w:rFonts w:ascii="Times New Roman" w:hAnsi="Times New Roman" w:cs="Times New Roman"/>
          <w:sz w:val="24"/>
          <w:szCs w:val="24"/>
        </w:rPr>
        <w:t xml:space="preserve"> was noticeable. H</w:t>
      </w:r>
      <w:r w:rsidR="000C29E2" w:rsidRPr="00A43CCD">
        <w:rPr>
          <w:rFonts w:ascii="Times New Roman" w:hAnsi="Times New Roman" w:cs="Times New Roman"/>
          <w:sz w:val="24"/>
          <w:szCs w:val="24"/>
        </w:rPr>
        <w:t xml:space="preserve">owever, no </w:t>
      </w:r>
      <w:r w:rsidR="000C29E2">
        <w:rPr>
          <w:rFonts w:ascii="Times New Roman" w:hAnsi="Times New Roman" w:cs="Times New Roman"/>
          <w:sz w:val="24"/>
          <w:szCs w:val="24"/>
        </w:rPr>
        <w:t>proof</w:t>
      </w:r>
      <w:r w:rsidR="000C29E2" w:rsidRPr="00A43CCD">
        <w:rPr>
          <w:rFonts w:ascii="Times New Roman" w:hAnsi="Times New Roman" w:cs="Times New Roman"/>
          <w:sz w:val="24"/>
          <w:szCs w:val="24"/>
        </w:rPr>
        <w:t xml:space="preserve"> of inflation could be visualized when </w:t>
      </w:r>
      <w:r w:rsidR="000C29E2">
        <w:rPr>
          <w:rFonts w:ascii="Times New Roman" w:hAnsi="Times New Roman" w:cs="Times New Roman"/>
          <w:sz w:val="24"/>
          <w:szCs w:val="24"/>
        </w:rPr>
        <w:t>with</w:t>
      </w:r>
      <w:r w:rsidR="000C29E2" w:rsidRPr="00A43CCD">
        <w:rPr>
          <w:rFonts w:ascii="Times New Roman" w:hAnsi="Times New Roman" w:cs="Times New Roman"/>
          <w:sz w:val="24"/>
          <w:szCs w:val="24"/>
        </w:rPr>
        <w:t xml:space="preserve"> broader indexes. Albeit </w:t>
      </w:r>
      <w:r w:rsidR="000C29E2">
        <w:rPr>
          <w:rFonts w:ascii="Times New Roman" w:hAnsi="Times New Roman" w:cs="Times New Roman"/>
          <w:sz w:val="24"/>
          <w:szCs w:val="24"/>
        </w:rPr>
        <w:t>the time i</w:t>
      </w:r>
      <w:r w:rsidR="000C29E2" w:rsidRPr="004D22CD">
        <w:rPr>
          <w:rFonts w:ascii="Times New Roman" w:hAnsi="Times New Roman" w:cs="Times New Roman"/>
          <w:sz w:val="24"/>
          <w:szCs w:val="24"/>
        </w:rPr>
        <w:t>s</w:t>
      </w:r>
      <w:r w:rsidR="000C29E2">
        <w:rPr>
          <w:rFonts w:ascii="Times New Roman" w:hAnsi="Times New Roman" w:cs="Times New Roman"/>
          <w:sz w:val="24"/>
          <w:szCs w:val="24"/>
        </w:rPr>
        <w:t xml:space="preserve"> short</w:t>
      </w:r>
      <w:r w:rsidR="000C29E2" w:rsidRPr="00A43CCD">
        <w:rPr>
          <w:rFonts w:ascii="Times New Roman" w:hAnsi="Times New Roman" w:cs="Times New Roman"/>
          <w:sz w:val="24"/>
          <w:szCs w:val="24"/>
        </w:rPr>
        <w:t xml:space="preserve"> to assess the inflation</w:t>
      </w:r>
      <w:r w:rsidR="000C29E2">
        <w:rPr>
          <w:rFonts w:ascii="Times New Roman" w:hAnsi="Times New Roman" w:cs="Times New Roman"/>
          <w:sz w:val="24"/>
          <w:szCs w:val="24"/>
        </w:rPr>
        <w:t xml:space="preserve"> trends</w:t>
      </w:r>
      <w:r w:rsidR="000C29E2" w:rsidRPr="00A43CCD">
        <w:rPr>
          <w:rFonts w:ascii="Times New Roman" w:hAnsi="Times New Roman" w:cs="Times New Roman"/>
          <w:sz w:val="24"/>
          <w:szCs w:val="24"/>
        </w:rPr>
        <w:t xml:space="preserve"> following the economy reopening, inflation expectation measures do not reveal </w:t>
      </w:r>
      <w:r w:rsidR="000C29E2">
        <w:rPr>
          <w:rFonts w:ascii="Times New Roman" w:hAnsi="Times New Roman" w:cs="Times New Roman"/>
          <w:sz w:val="24"/>
          <w:szCs w:val="24"/>
        </w:rPr>
        <w:t xml:space="preserve">a palpable trend of </w:t>
      </w:r>
      <w:r w:rsidR="000C29E2" w:rsidRPr="00A43CCD">
        <w:rPr>
          <w:rFonts w:ascii="Times New Roman" w:hAnsi="Times New Roman" w:cs="Times New Roman"/>
          <w:sz w:val="24"/>
          <w:szCs w:val="24"/>
        </w:rPr>
        <w:t xml:space="preserve">upward inflationary moves. </w:t>
      </w:r>
    </w:p>
    <w:p w:rsidR="00893C9D" w:rsidRDefault="00A37B79" w:rsidP="00A37B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2382">
        <w:rPr>
          <w:rFonts w:ascii="Times New Roman" w:hAnsi="Times New Roman" w:cs="Times New Roman"/>
          <w:sz w:val="24"/>
          <w:szCs w:val="24"/>
        </w:rPr>
        <w:t xml:space="preserve">Notwithstanding </w:t>
      </w:r>
      <w:r w:rsidR="00235832">
        <w:rPr>
          <w:rFonts w:ascii="Times New Roman" w:hAnsi="Times New Roman" w:cs="Times New Roman"/>
          <w:sz w:val="24"/>
          <w:szCs w:val="24"/>
        </w:rPr>
        <w:t xml:space="preserve">that </w:t>
      </w:r>
      <w:r w:rsidR="00D610ED">
        <w:rPr>
          <w:rFonts w:ascii="Times New Roman" w:hAnsi="Times New Roman" w:cs="Times New Roman"/>
          <w:sz w:val="24"/>
          <w:szCs w:val="24"/>
        </w:rPr>
        <w:t xml:space="preserve">the effects </w:t>
      </w:r>
      <w:r w:rsidR="0043165F">
        <w:rPr>
          <w:rFonts w:ascii="Times New Roman" w:hAnsi="Times New Roman" w:cs="Times New Roman"/>
          <w:sz w:val="24"/>
          <w:szCs w:val="24"/>
        </w:rPr>
        <w:t xml:space="preserve">of the pandemic on inflation cannot </w:t>
      </w:r>
      <w:r w:rsidR="00235832">
        <w:rPr>
          <w:rFonts w:ascii="Times New Roman" w:hAnsi="Times New Roman" w:cs="Times New Roman"/>
          <w:sz w:val="24"/>
          <w:szCs w:val="24"/>
        </w:rPr>
        <w:t xml:space="preserve">be </w:t>
      </w:r>
      <w:r w:rsidR="00D610ED">
        <w:rPr>
          <w:rFonts w:ascii="Times New Roman" w:hAnsi="Times New Roman" w:cs="Times New Roman"/>
          <w:sz w:val="24"/>
          <w:szCs w:val="24"/>
        </w:rPr>
        <w:t xml:space="preserve">visualized as noted by Ebrahimy </w:t>
      </w:r>
      <w:r w:rsidR="00934C73" w:rsidRPr="003C52F4">
        <w:rPr>
          <w:rFonts w:ascii="Times New Roman" w:hAnsi="Times New Roman" w:cs="Times New Roman"/>
          <w:i/>
          <w:sz w:val="24"/>
          <w:szCs w:val="24"/>
        </w:rPr>
        <w:t>et al.</w:t>
      </w:r>
      <w:r w:rsidR="00934C73">
        <w:rPr>
          <w:rFonts w:ascii="Times New Roman" w:hAnsi="Times New Roman" w:cs="Times New Roman"/>
          <w:sz w:val="24"/>
          <w:szCs w:val="24"/>
        </w:rPr>
        <w:t xml:space="preserve"> </w:t>
      </w:r>
      <w:r w:rsidR="00D863FD">
        <w:rPr>
          <w:rFonts w:ascii="Times New Roman" w:hAnsi="Times New Roman" w:cs="Times New Roman"/>
          <w:sz w:val="24"/>
          <w:szCs w:val="24"/>
        </w:rPr>
        <w:t xml:space="preserve">(2020), </w:t>
      </w:r>
      <w:r w:rsidR="00D610ED">
        <w:rPr>
          <w:rFonts w:ascii="Times New Roman" w:hAnsi="Times New Roman" w:cs="Times New Roman"/>
          <w:sz w:val="24"/>
          <w:szCs w:val="24"/>
        </w:rPr>
        <w:t xml:space="preserve">food and non-food prices have </w:t>
      </w:r>
      <w:r w:rsidR="00D863FD">
        <w:rPr>
          <w:rFonts w:ascii="Times New Roman" w:hAnsi="Times New Roman" w:cs="Times New Roman"/>
          <w:sz w:val="24"/>
          <w:szCs w:val="24"/>
        </w:rPr>
        <w:t xml:space="preserve">indeed </w:t>
      </w:r>
      <w:r w:rsidR="00D610ED">
        <w:rPr>
          <w:rFonts w:ascii="Times New Roman" w:hAnsi="Times New Roman" w:cs="Times New Roman"/>
          <w:sz w:val="24"/>
          <w:szCs w:val="24"/>
        </w:rPr>
        <w:t>recorded inflationary patterns at various points in time across the EAC countries over the study period. A clear demonstration of this is the general upward trend in global oil price</w:t>
      </w:r>
      <w:r w:rsidR="00095588">
        <w:rPr>
          <w:rFonts w:ascii="Times New Roman" w:hAnsi="Times New Roman" w:cs="Times New Roman"/>
          <w:sz w:val="24"/>
          <w:szCs w:val="24"/>
        </w:rPr>
        <w:t xml:space="preserve">s. With oil being considered </w:t>
      </w:r>
      <w:r w:rsidR="00D610ED">
        <w:rPr>
          <w:rFonts w:ascii="Times New Roman" w:hAnsi="Times New Roman" w:cs="Times New Roman"/>
          <w:sz w:val="24"/>
          <w:szCs w:val="24"/>
        </w:rPr>
        <w:t xml:space="preserve">a necessity and </w:t>
      </w:r>
      <w:r w:rsidR="00095588">
        <w:rPr>
          <w:rFonts w:ascii="Times New Roman" w:hAnsi="Times New Roman" w:cs="Times New Roman"/>
          <w:sz w:val="24"/>
          <w:szCs w:val="24"/>
        </w:rPr>
        <w:t xml:space="preserve">a </w:t>
      </w:r>
      <w:r w:rsidR="00D610ED">
        <w:rPr>
          <w:rFonts w:ascii="Times New Roman" w:hAnsi="Times New Roman" w:cs="Times New Roman"/>
          <w:sz w:val="24"/>
          <w:szCs w:val="24"/>
        </w:rPr>
        <w:t>major driver of economies worldwide, sight cannot be taken off this precious commodity.</w:t>
      </w:r>
      <w:r w:rsidR="00145A63">
        <w:rPr>
          <w:rFonts w:ascii="Times New Roman" w:hAnsi="Times New Roman" w:cs="Times New Roman"/>
          <w:sz w:val="24"/>
          <w:szCs w:val="24"/>
        </w:rPr>
        <w:t xml:space="preserve"> </w:t>
      </w:r>
      <w:r w:rsidR="00145A63">
        <w:rPr>
          <w:rFonts w:ascii="Times New Roman" w:hAnsi="Times New Roman" w:cs="Times New Roman"/>
          <w:sz w:val="24"/>
          <w:szCs w:val="24"/>
        </w:rPr>
        <w:lastRenderedPageBreak/>
        <w:t>Increased oil prices suggest increased domestic prices of most commodities across the EAC countries; somet</w:t>
      </w:r>
      <w:r w:rsidR="00095588">
        <w:rPr>
          <w:rFonts w:ascii="Times New Roman" w:hAnsi="Times New Roman" w:cs="Times New Roman"/>
          <w:sz w:val="24"/>
          <w:szCs w:val="24"/>
        </w:rPr>
        <w:t xml:space="preserve">hing that negatively impacts </w:t>
      </w:r>
      <w:r w:rsidR="00145A63">
        <w:rPr>
          <w:rFonts w:ascii="Times New Roman" w:hAnsi="Times New Roman" w:cs="Times New Roman"/>
          <w:sz w:val="24"/>
          <w:szCs w:val="24"/>
        </w:rPr>
        <w:t>the social welfare of the citizens (</w:t>
      </w:r>
      <w:r w:rsidR="00BC31F7">
        <w:rPr>
          <w:rFonts w:ascii="Times New Roman" w:hAnsi="Times New Roman" w:cs="Times New Roman"/>
          <w:sz w:val="24"/>
          <w:szCs w:val="24"/>
        </w:rPr>
        <w:t>see figure 2</w:t>
      </w:r>
      <w:r w:rsidR="00145A63">
        <w:rPr>
          <w:rFonts w:ascii="Times New Roman" w:hAnsi="Times New Roman" w:cs="Times New Roman"/>
          <w:sz w:val="24"/>
          <w:szCs w:val="24"/>
        </w:rPr>
        <w:t>).</w:t>
      </w:r>
    </w:p>
    <w:p w:rsidR="00D610ED" w:rsidRDefault="00145A63" w:rsidP="00A37B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5A1A" w:rsidRPr="00536E02" w:rsidRDefault="00BC31F7" w:rsidP="00302537">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Figure 2</w:t>
      </w:r>
      <w:r w:rsidR="007C4026">
        <w:rPr>
          <w:rFonts w:ascii="Times New Roman" w:hAnsi="Times New Roman" w:cs="Times New Roman"/>
          <w:b/>
          <w:sz w:val="24"/>
          <w:szCs w:val="24"/>
        </w:rPr>
        <w:t>.</w:t>
      </w:r>
      <w:proofErr w:type="gramEnd"/>
      <w:r w:rsidR="007C4026">
        <w:rPr>
          <w:rFonts w:ascii="Times New Roman" w:hAnsi="Times New Roman" w:cs="Times New Roman"/>
          <w:b/>
          <w:sz w:val="24"/>
          <w:szCs w:val="24"/>
        </w:rPr>
        <w:t xml:space="preserve"> OPEC crude oil prices in US $ per b</w:t>
      </w:r>
      <w:r w:rsidR="00A55A1A" w:rsidRPr="00536E02">
        <w:rPr>
          <w:rFonts w:ascii="Times New Roman" w:hAnsi="Times New Roman" w:cs="Times New Roman"/>
          <w:b/>
          <w:sz w:val="24"/>
          <w:szCs w:val="24"/>
        </w:rPr>
        <w:t>arrel</w:t>
      </w:r>
    </w:p>
    <w:p w:rsidR="0088658E" w:rsidRPr="00CF1FD7" w:rsidRDefault="0088658E" w:rsidP="003025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A1A">
        <w:rPr>
          <w:noProof/>
        </w:rPr>
        <w:drawing>
          <wp:inline distT="0" distB="0" distL="0" distR="0" wp14:anchorId="2F869716" wp14:editId="2D453654">
            <wp:extent cx="5843752" cy="3279228"/>
            <wp:effectExtent l="0" t="0" r="508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t xml:space="preserve">     </w:t>
      </w:r>
    </w:p>
    <w:p w:rsidR="007F3F29" w:rsidRPr="007F3F29" w:rsidRDefault="00AB1302" w:rsidP="00302537">
      <w:pPr>
        <w:spacing w:after="0" w:line="360" w:lineRule="auto"/>
        <w:jc w:val="both"/>
        <w:rPr>
          <w:rFonts w:ascii="Times New Roman" w:hAnsi="Times New Roman" w:cs="Times New Roman"/>
          <w:color w:val="000000" w:themeColor="text1"/>
          <w:sz w:val="24"/>
          <w:szCs w:val="24"/>
        </w:rPr>
      </w:pPr>
      <w:r w:rsidRPr="00AB1302">
        <w:rPr>
          <w:rFonts w:ascii="Times New Roman" w:hAnsi="Times New Roman" w:cs="Times New Roman"/>
          <w:b/>
          <w:color w:val="000000" w:themeColor="text1"/>
          <w:sz w:val="24"/>
          <w:szCs w:val="24"/>
        </w:rPr>
        <w:t>Source</w:t>
      </w:r>
      <w:r>
        <w:rPr>
          <w:rFonts w:ascii="Times New Roman" w:hAnsi="Times New Roman" w:cs="Times New Roman"/>
          <w:b/>
          <w:color w:val="000000" w:themeColor="text1"/>
          <w:sz w:val="24"/>
          <w:szCs w:val="24"/>
        </w:rPr>
        <w:t xml:space="preserve">: </w:t>
      </w:r>
      <w:r w:rsidRPr="00AB1302">
        <w:rPr>
          <w:rFonts w:ascii="Times New Roman" w:hAnsi="Times New Roman" w:cs="Times New Roman"/>
          <w:color w:val="000000" w:themeColor="text1"/>
          <w:sz w:val="24"/>
          <w:szCs w:val="24"/>
        </w:rPr>
        <w:t>Organization of the Petroleum Exporting Countries (OPEC, 2021)</w:t>
      </w:r>
    </w:p>
    <w:p w:rsidR="00934C73" w:rsidRDefault="007F3F29" w:rsidP="00E6782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F022C" w:rsidRDefault="00893C9D" w:rsidP="00E678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7F3F29">
        <w:rPr>
          <w:rFonts w:ascii="Times New Roman" w:hAnsi="Times New Roman" w:cs="Times New Roman"/>
          <w:color w:val="000000" w:themeColor="text1"/>
          <w:sz w:val="24"/>
          <w:szCs w:val="24"/>
        </w:rPr>
        <w:t>Moreover, s</w:t>
      </w:r>
      <w:r w:rsidR="00060601" w:rsidRPr="00060601">
        <w:rPr>
          <w:rFonts w:ascii="Times New Roman" w:hAnsi="Times New Roman" w:cs="Times New Roman"/>
          <w:color w:val="000000" w:themeColor="text1"/>
          <w:sz w:val="24"/>
          <w:szCs w:val="24"/>
        </w:rPr>
        <w:t xml:space="preserve">ince the outbreak of the pandemic in December 2019, trade flows have been disrupted due to </w:t>
      </w:r>
      <w:r w:rsidR="00E67821">
        <w:rPr>
          <w:rFonts w:ascii="Times New Roman" w:hAnsi="Times New Roman" w:cs="Times New Roman"/>
          <w:color w:val="000000" w:themeColor="text1"/>
          <w:sz w:val="24"/>
          <w:szCs w:val="24"/>
        </w:rPr>
        <w:t xml:space="preserve">the panic created in the </w:t>
      </w:r>
      <w:r w:rsidR="00060601" w:rsidRPr="00060601">
        <w:rPr>
          <w:rFonts w:ascii="Times New Roman" w:hAnsi="Times New Roman" w:cs="Times New Roman"/>
          <w:color w:val="000000" w:themeColor="text1"/>
          <w:sz w:val="24"/>
          <w:szCs w:val="24"/>
        </w:rPr>
        <w:t>business environment</w:t>
      </w:r>
      <w:r w:rsidR="00E67821">
        <w:rPr>
          <w:rFonts w:ascii="Times New Roman" w:hAnsi="Times New Roman" w:cs="Times New Roman"/>
          <w:color w:val="000000" w:themeColor="text1"/>
          <w:sz w:val="24"/>
          <w:szCs w:val="24"/>
        </w:rPr>
        <w:t xml:space="preserve"> globally</w:t>
      </w:r>
      <w:r w:rsidR="00060601" w:rsidRPr="00E67821">
        <w:rPr>
          <w:rFonts w:ascii="Times New Roman" w:hAnsi="Times New Roman" w:cs="Times New Roman"/>
          <w:color w:val="000000" w:themeColor="text1"/>
          <w:sz w:val="24"/>
          <w:szCs w:val="24"/>
        </w:rPr>
        <w:t>.</w:t>
      </w:r>
      <w:r w:rsidR="00E67821" w:rsidRPr="00E67821">
        <w:rPr>
          <w:rFonts w:ascii="Times New Roman" w:hAnsi="Times New Roman" w:cs="Times New Roman"/>
          <w:sz w:val="24"/>
          <w:szCs w:val="24"/>
        </w:rPr>
        <w:t xml:space="preserve"> </w:t>
      </w:r>
      <w:r w:rsidR="00712382">
        <w:rPr>
          <w:rFonts w:ascii="Times New Roman" w:hAnsi="Times New Roman" w:cs="Times New Roman"/>
          <w:sz w:val="24"/>
          <w:szCs w:val="24"/>
        </w:rPr>
        <w:t xml:space="preserve">To </w:t>
      </w:r>
      <w:r w:rsidR="00E67821" w:rsidRPr="00E67821">
        <w:rPr>
          <w:rFonts w:ascii="Times New Roman" w:hAnsi="Times New Roman" w:cs="Times New Roman"/>
          <w:sz w:val="24"/>
          <w:szCs w:val="24"/>
        </w:rPr>
        <w:t>contai</w:t>
      </w:r>
      <w:r w:rsidR="00712382">
        <w:rPr>
          <w:rFonts w:ascii="Times New Roman" w:hAnsi="Times New Roman" w:cs="Times New Roman"/>
          <w:sz w:val="24"/>
          <w:szCs w:val="24"/>
        </w:rPr>
        <w:t xml:space="preserve">n </w:t>
      </w:r>
      <w:r w:rsidR="00E67821" w:rsidRPr="00E67821">
        <w:rPr>
          <w:rFonts w:ascii="Times New Roman" w:hAnsi="Times New Roman" w:cs="Times New Roman"/>
          <w:sz w:val="24"/>
          <w:szCs w:val="24"/>
        </w:rPr>
        <w:t>the spread of the disease,</w:t>
      </w:r>
      <w:r w:rsidR="00E67821">
        <w:rPr>
          <w:rFonts w:ascii="SFRM1200" w:hAnsi="SFRM1200" w:cs="SFRM1200"/>
          <w:sz w:val="24"/>
          <w:szCs w:val="24"/>
        </w:rPr>
        <w:t xml:space="preserve"> </w:t>
      </w:r>
      <w:r w:rsidR="00E67821">
        <w:rPr>
          <w:rFonts w:ascii="Times New Roman" w:hAnsi="Times New Roman" w:cs="Times New Roman"/>
          <w:sz w:val="24"/>
          <w:szCs w:val="24"/>
        </w:rPr>
        <w:t>g</w:t>
      </w:r>
      <w:r w:rsidR="00E67821" w:rsidRPr="00E67821">
        <w:rPr>
          <w:rFonts w:ascii="Times New Roman" w:hAnsi="Times New Roman" w:cs="Times New Roman"/>
          <w:sz w:val="24"/>
          <w:szCs w:val="24"/>
        </w:rPr>
        <w:t>overnments</w:t>
      </w:r>
      <w:r w:rsidR="00E67821">
        <w:rPr>
          <w:rFonts w:ascii="Times New Roman" w:hAnsi="Times New Roman" w:cs="Times New Roman"/>
          <w:sz w:val="24"/>
          <w:szCs w:val="24"/>
        </w:rPr>
        <w:t xml:space="preserve"> globally in</w:t>
      </w:r>
      <w:r w:rsidR="00C72B4C">
        <w:rPr>
          <w:rFonts w:ascii="Times New Roman" w:hAnsi="Times New Roman" w:cs="Times New Roman"/>
          <w:sz w:val="24"/>
          <w:szCs w:val="24"/>
        </w:rPr>
        <w:t>troduced lockdown measures that</w:t>
      </w:r>
      <w:r w:rsidR="00E67821">
        <w:rPr>
          <w:rFonts w:ascii="Times New Roman" w:hAnsi="Times New Roman" w:cs="Times New Roman"/>
          <w:sz w:val="24"/>
          <w:szCs w:val="24"/>
        </w:rPr>
        <w:t xml:space="preserve"> restr</w:t>
      </w:r>
      <w:r w:rsidR="00934C73">
        <w:rPr>
          <w:rFonts w:ascii="Times New Roman" w:hAnsi="Times New Roman" w:cs="Times New Roman"/>
          <w:sz w:val="24"/>
          <w:szCs w:val="24"/>
        </w:rPr>
        <w:t>icted the mobility of people and</w:t>
      </w:r>
      <w:r w:rsidR="00E67821">
        <w:rPr>
          <w:rFonts w:ascii="Times New Roman" w:hAnsi="Times New Roman" w:cs="Times New Roman"/>
          <w:sz w:val="24"/>
          <w:szCs w:val="24"/>
        </w:rPr>
        <w:t xml:space="preserve"> commodities. These measures impeded trade flows domestically &amp; int</w:t>
      </w:r>
      <w:r w:rsidR="008C3BA1">
        <w:rPr>
          <w:rFonts w:ascii="Times New Roman" w:hAnsi="Times New Roman" w:cs="Times New Roman"/>
          <w:sz w:val="24"/>
          <w:szCs w:val="24"/>
        </w:rPr>
        <w:t>ernationally by disrupting the demand &amp;</w:t>
      </w:r>
      <w:r w:rsidR="00E67821">
        <w:rPr>
          <w:rFonts w:ascii="Times New Roman" w:hAnsi="Times New Roman" w:cs="Times New Roman"/>
          <w:sz w:val="24"/>
          <w:szCs w:val="24"/>
        </w:rPr>
        <w:t xml:space="preserve"> supply chains of commodities. Baldwin and Tomiura (</w:t>
      </w:r>
      <w:r w:rsidR="00E67821" w:rsidRPr="00E67821">
        <w:rPr>
          <w:rFonts w:ascii="Times New Roman" w:hAnsi="Times New Roman" w:cs="Times New Roman"/>
          <w:sz w:val="24"/>
          <w:szCs w:val="24"/>
        </w:rPr>
        <w:t>2020)</w:t>
      </w:r>
      <w:r w:rsidR="00E67821">
        <w:rPr>
          <w:rFonts w:ascii="Times New Roman" w:hAnsi="Times New Roman" w:cs="Times New Roman"/>
          <w:sz w:val="24"/>
          <w:szCs w:val="24"/>
        </w:rPr>
        <w:t xml:space="preserve"> observed that these disruptions </w:t>
      </w:r>
      <w:r w:rsidR="002231D8">
        <w:rPr>
          <w:rFonts w:ascii="Times New Roman" w:hAnsi="Times New Roman" w:cs="Times New Roman"/>
          <w:sz w:val="24"/>
          <w:szCs w:val="24"/>
        </w:rPr>
        <w:t xml:space="preserve">yielded </w:t>
      </w:r>
      <w:r w:rsidR="00E67821">
        <w:rPr>
          <w:rFonts w:ascii="Times New Roman" w:hAnsi="Times New Roman" w:cs="Times New Roman"/>
          <w:sz w:val="24"/>
          <w:szCs w:val="24"/>
        </w:rPr>
        <w:t>negative shock</w:t>
      </w:r>
      <w:r w:rsidR="002231D8">
        <w:rPr>
          <w:rFonts w:ascii="Times New Roman" w:hAnsi="Times New Roman" w:cs="Times New Roman"/>
          <w:sz w:val="24"/>
          <w:szCs w:val="24"/>
        </w:rPr>
        <w:t xml:space="preserve">s </w:t>
      </w:r>
      <w:r w:rsidR="00C72B4C">
        <w:rPr>
          <w:rFonts w:ascii="Times New Roman" w:hAnsi="Times New Roman" w:cs="Times New Roman"/>
          <w:sz w:val="24"/>
          <w:szCs w:val="24"/>
        </w:rPr>
        <w:t xml:space="preserve">that </w:t>
      </w:r>
      <w:r w:rsidR="002231D8">
        <w:rPr>
          <w:rFonts w:ascii="Times New Roman" w:hAnsi="Times New Roman" w:cs="Times New Roman"/>
          <w:sz w:val="24"/>
          <w:szCs w:val="24"/>
        </w:rPr>
        <w:t>culminated with uncertainty</w:t>
      </w:r>
      <w:r w:rsidR="00E67821" w:rsidRPr="00E67821">
        <w:rPr>
          <w:rFonts w:ascii="Times New Roman" w:hAnsi="Times New Roman" w:cs="Times New Roman"/>
          <w:sz w:val="24"/>
          <w:szCs w:val="24"/>
        </w:rPr>
        <w:t xml:space="preserve">. </w:t>
      </w:r>
      <w:r w:rsidR="002231D8">
        <w:rPr>
          <w:rFonts w:ascii="Times New Roman" w:hAnsi="Times New Roman" w:cs="Times New Roman"/>
          <w:sz w:val="24"/>
          <w:szCs w:val="24"/>
        </w:rPr>
        <w:t xml:space="preserve">Further, Banga </w:t>
      </w:r>
      <w:r w:rsidR="00934C73" w:rsidRPr="003C52F4">
        <w:rPr>
          <w:rFonts w:ascii="Times New Roman" w:hAnsi="Times New Roman" w:cs="Times New Roman"/>
          <w:i/>
          <w:sz w:val="24"/>
          <w:szCs w:val="24"/>
        </w:rPr>
        <w:t>et al.</w:t>
      </w:r>
      <w:r w:rsidR="00934C73">
        <w:rPr>
          <w:rFonts w:ascii="Times New Roman" w:hAnsi="Times New Roman" w:cs="Times New Roman"/>
          <w:sz w:val="24"/>
          <w:szCs w:val="24"/>
        </w:rPr>
        <w:t xml:space="preserve"> </w:t>
      </w:r>
      <w:r w:rsidR="002231D8">
        <w:rPr>
          <w:rFonts w:ascii="Times New Roman" w:hAnsi="Times New Roman" w:cs="Times New Roman"/>
          <w:sz w:val="24"/>
          <w:szCs w:val="24"/>
        </w:rPr>
        <w:t>(2020) noted that the closure of countries</w:t>
      </w:r>
      <w:r w:rsidR="00C72B4C">
        <w:rPr>
          <w:rFonts w:ascii="Times New Roman" w:hAnsi="Times New Roman" w:cs="Times New Roman"/>
          <w:sz w:val="24"/>
          <w:szCs w:val="24"/>
        </w:rPr>
        <w:t>’</w:t>
      </w:r>
      <w:r w:rsidR="002231D8">
        <w:rPr>
          <w:rFonts w:ascii="Times New Roman" w:hAnsi="Times New Roman" w:cs="Times New Roman"/>
          <w:sz w:val="24"/>
          <w:szCs w:val="24"/>
        </w:rPr>
        <w:t xml:space="preserve"> </w:t>
      </w:r>
      <w:r w:rsidR="00E67821">
        <w:rPr>
          <w:rFonts w:ascii="Times New Roman" w:hAnsi="Times New Roman" w:cs="Times New Roman"/>
          <w:sz w:val="24"/>
          <w:szCs w:val="24"/>
        </w:rPr>
        <w:t>border</w:t>
      </w:r>
      <w:r w:rsidR="00934C73">
        <w:rPr>
          <w:rFonts w:ascii="Times New Roman" w:hAnsi="Times New Roman" w:cs="Times New Roman"/>
          <w:sz w:val="24"/>
          <w:szCs w:val="24"/>
        </w:rPr>
        <w:t>s and</w:t>
      </w:r>
      <w:r w:rsidR="002231D8">
        <w:rPr>
          <w:rFonts w:ascii="Times New Roman" w:hAnsi="Times New Roman" w:cs="Times New Roman"/>
          <w:sz w:val="24"/>
          <w:szCs w:val="24"/>
        </w:rPr>
        <w:t xml:space="preserve"> </w:t>
      </w:r>
      <w:r w:rsidR="00E67821" w:rsidRPr="00E67821">
        <w:rPr>
          <w:rFonts w:ascii="Times New Roman" w:hAnsi="Times New Roman" w:cs="Times New Roman"/>
          <w:sz w:val="24"/>
          <w:szCs w:val="24"/>
        </w:rPr>
        <w:t>interna</w:t>
      </w:r>
      <w:r w:rsidR="002231D8">
        <w:rPr>
          <w:rFonts w:ascii="Times New Roman" w:hAnsi="Times New Roman" w:cs="Times New Roman"/>
          <w:sz w:val="24"/>
          <w:szCs w:val="24"/>
        </w:rPr>
        <w:t xml:space="preserve">tional travel restrictions </w:t>
      </w:r>
      <w:r w:rsidR="002231D8" w:rsidRPr="00E67821">
        <w:rPr>
          <w:rFonts w:ascii="Times New Roman" w:hAnsi="Times New Roman" w:cs="Times New Roman"/>
          <w:sz w:val="24"/>
          <w:szCs w:val="24"/>
        </w:rPr>
        <w:t>mired</w:t>
      </w:r>
      <w:r w:rsidR="002231D8">
        <w:rPr>
          <w:rFonts w:ascii="Times New Roman" w:hAnsi="Times New Roman" w:cs="Times New Roman"/>
          <w:sz w:val="24"/>
          <w:szCs w:val="24"/>
        </w:rPr>
        <w:t xml:space="preserve"> </w:t>
      </w:r>
      <w:r w:rsidR="00E67821" w:rsidRPr="00E67821">
        <w:rPr>
          <w:rFonts w:ascii="Times New Roman" w:hAnsi="Times New Roman" w:cs="Times New Roman"/>
          <w:sz w:val="24"/>
          <w:szCs w:val="24"/>
        </w:rPr>
        <w:t xml:space="preserve">trade </w:t>
      </w:r>
      <w:r w:rsidR="00E67821">
        <w:rPr>
          <w:rFonts w:ascii="Times New Roman" w:hAnsi="Times New Roman" w:cs="Times New Roman"/>
          <w:sz w:val="24"/>
          <w:szCs w:val="24"/>
        </w:rPr>
        <w:t xml:space="preserve">flows </w:t>
      </w:r>
      <w:r w:rsidR="002231D8">
        <w:rPr>
          <w:rFonts w:ascii="Times New Roman" w:hAnsi="Times New Roman" w:cs="Times New Roman"/>
          <w:sz w:val="24"/>
          <w:szCs w:val="24"/>
        </w:rPr>
        <w:t xml:space="preserve">globally through delayed cross-border clearance which subsequently lead to increased </w:t>
      </w:r>
      <w:r w:rsidR="00E67821">
        <w:rPr>
          <w:rFonts w:ascii="Times New Roman" w:hAnsi="Times New Roman" w:cs="Times New Roman"/>
          <w:sz w:val="24"/>
          <w:szCs w:val="24"/>
        </w:rPr>
        <w:t>trade costs</w:t>
      </w:r>
      <w:r w:rsidR="002231D8">
        <w:rPr>
          <w:rFonts w:ascii="Times New Roman" w:hAnsi="Times New Roman" w:cs="Times New Roman"/>
          <w:sz w:val="24"/>
          <w:szCs w:val="24"/>
        </w:rPr>
        <w:t>.</w:t>
      </w:r>
      <w:r w:rsidR="00E67821">
        <w:rPr>
          <w:rFonts w:ascii="Times New Roman" w:hAnsi="Times New Roman" w:cs="Times New Roman"/>
          <w:sz w:val="24"/>
          <w:szCs w:val="24"/>
        </w:rPr>
        <w:t xml:space="preserve"> </w:t>
      </w:r>
    </w:p>
    <w:p w:rsidR="00BC17D1" w:rsidRPr="007425D9" w:rsidRDefault="007F022C" w:rsidP="0045072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1044">
        <w:rPr>
          <w:rFonts w:ascii="Times New Roman" w:hAnsi="Times New Roman" w:cs="Times New Roman"/>
          <w:sz w:val="24"/>
          <w:szCs w:val="24"/>
        </w:rPr>
        <w:t xml:space="preserve">According to Molde and Mveyange (2020), the lockdown measures yielded demand-side shocks on medical items with </w:t>
      </w:r>
      <w:r w:rsidR="00E30773">
        <w:rPr>
          <w:rFonts w:ascii="Times New Roman" w:hAnsi="Times New Roman" w:cs="Times New Roman"/>
          <w:sz w:val="24"/>
          <w:szCs w:val="24"/>
        </w:rPr>
        <w:t xml:space="preserve">the </w:t>
      </w:r>
      <w:r w:rsidR="007F1044">
        <w:rPr>
          <w:rFonts w:ascii="Times New Roman" w:hAnsi="Times New Roman" w:cs="Times New Roman"/>
          <w:sz w:val="24"/>
          <w:szCs w:val="24"/>
        </w:rPr>
        <w:t>majority of the countries worldwide scrambling for those valuable commodities in a</w:t>
      </w:r>
      <w:r w:rsidR="008C3BA1">
        <w:rPr>
          <w:rFonts w:ascii="Times New Roman" w:hAnsi="Times New Roman" w:cs="Times New Roman"/>
          <w:sz w:val="24"/>
          <w:szCs w:val="24"/>
        </w:rPr>
        <w:t xml:space="preserve"> </w:t>
      </w:r>
      <w:r w:rsidR="009D7038">
        <w:rPr>
          <w:rFonts w:ascii="Times New Roman" w:hAnsi="Times New Roman" w:cs="Times New Roman"/>
          <w:sz w:val="24"/>
          <w:szCs w:val="24"/>
        </w:rPr>
        <w:t>frantic</w:t>
      </w:r>
      <w:r w:rsidR="008C3BA1">
        <w:rPr>
          <w:rFonts w:ascii="Times New Roman" w:hAnsi="Times New Roman" w:cs="Times New Roman"/>
          <w:sz w:val="24"/>
          <w:szCs w:val="24"/>
        </w:rPr>
        <w:t xml:space="preserve"> attempt </w:t>
      </w:r>
      <w:r w:rsidR="007F1044">
        <w:rPr>
          <w:rFonts w:ascii="Times New Roman" w:hAnsi="Times New Roman" w:cs="Times New Roman"/>
          <w:sz w:val="24"/>
          <w:szCs w:val="24"/>
        </w:rPr>
        <w:t xml:space="preserve">to contain the spread of the disease. This demand </w:t>
      </w:r>
      <w:r w:rsidR="007F1044">
        <w:rPr>
          <w:rFonts w:ascii="Times New Roman" w:hAnsi="Times New Roman" w:cs="Times New Roman"/>
          <w:sz w:val="24"/>
          <w:szCs w:val="24"/>
        </w:rPr>
        <w:lastRenderedPageBreak/>
        <w:t>shock increased the price of those commodities with the welfare effect squarely falling on the importing countries.</w:t>
      </w:r>
      <w:r w:rsidR="00F33191">
        <w:rPr>
          <w:rFonts w:ascii="Times New Roman" w:hAnsi="Times New Roman" w:cs="Times New Roman"/>
          <w:sz w:val="24"/>
          <w:szCs w:val="24"/>
        </w:rPr>
        <w:t xml:space="preserve"> </w:t>
      </w:r>
      <w:r w:rsidR="00AD7679">
        <w:rPr>
          <w:rFonts w:ascii="Times New Roman" w:hAnsi="Times New Roman" w:cs="Times New Roman"/>
          <w:sz w:val="24"/>
          <w:szCs w:val="24"/>
        </w:rPr>
        <w:t>Excessive importation does not only increase a country’s trade deficit but also hinders the growth of dome</w:t>
      </w:r>
      <w:r w:rsidR="00E30773">
        <w:rPr>
          <w:rFonts w:ascii="Times New Roman" w:hAnsi="Times New Roman" w:cs="Times New Roman"/>
          <w:sz w:val="24"/>
          <w:szCs w:val="24"/>
        </w:rPr>
        <w:t xml:space="preserve">stic infant industries. The </w:t>
      </w:r>
      <w:r w:rsidR="00AD7679">
        <w:rPr>
          <w:rFonts w:ascii="Times New Roman" w:hAnsi="Times New Roman" w:cs="Times New Roman"/>
          <w:sz w:val="24"/>
          <w:szCs w:val="24"/>
        </w:rPr>
        <w:t xml:space="preserve">result is </w:t>
      </w:r>
      <w:r w:rsidR="00E30773">
        <w:rPr>
          <w:rFonts w:ascii="Times New Roman" w:hAnsi="Times New Roman" w:cs="Times New Roman"/>
          <w:sz w:val="24"/>
          <w:szCs w:val="24"/>
        </w:rPr>
        <w:t xml:space="preserve">the </w:t>
      </w:r>
      <w:r w:rsidR="00AD7679">
        <w:rPr>
          <w:rFonts w:ascii="Times New Roman" w:hAnsi="Times New Roman" w:cs="Times New Roman"/>
          <w:sz w:val="24"/>
          <w:szCs w:val="24"/>
        </w:rPr>
        <w:t xml:space="preserve">closure of important manufacturing and service-providing industries coupled with substantial job losses due to dwindled </w:t>
      </w:r>
      <w:r w:rsidR="007425D9">
        <w:rPr>
          <w:rFonts w:ascii="Times New Roman" w:hAnsi="Times New Roman" w:cs="Times New Roman"/>
          <w:sz w:val="24"/>
          <w:szCs w:val="24"/>
        </w:rPr>
        <w:t>economic activity (Kassa, 2020).</w:t>
      </w:r>
      <w:r w:rsidR="00294433">
        <w:rPr>
          <w:rFonts w:ascii="Times New Roman" w:hAnsi="Times New Roman" w:cs="Times New Roman"/>
          <w:sz w:val="24"/>
          <w:szCs w:val="24"/>
        </w:rPr>
        <w:t xml:space="preserve"> </w:t>
      </w:r>
      <w:r w:rsidR="005623C6" w:rsidRPr="005623C6">
        <w:rPr>
          <w:rFonts w:ascii="Times New Roman" w:hAnsi="Times New Roman" w:cs="Times New Roman"/>
          <w:color w:val="000000" w:themeColor="text1"/>
          <w:sz w:val="24"/>
          <w:szCs w:val="24"/>
        </w:rPr>
        <w:t xml:space="preserve">The uncertainty of the business environment </w:t>
      </w:r>
      <w:r w:rsidR="00DD54DD" w:rsidRPr="005623C6">
        <w:rPr>
          <w:rFonts w:ascii="Times New Roman" w:hAnsi="Times New Roman" w:cs="Times New Roman"/>
          <w:color w:val="000000" w:themeColor="text1"/>
          <w:sz w:val="24"/>
          <w:szCs w:val="24"/>
        </w:rPr>
        <w:t>instigated</w:t>
      </w:r>
      <w:r w:rsidR="00DD54DD">
        <w:rPr>
          <w:rFonts w:ascii="Times New Roman" w:hAnsi="Times New Roman" w:cs="Times New Roman"/>
          <w:color w:val="000000" w:themeColor="text1"/>
          <w:sz w:val="24"/>
          <w:szCs w:val="24"/>
        </w:rPr>
        <w:t xml:space="preserve"> by the effects of the </w:t>
      </w:r>
      <w:r w:rsidR="00294433">
        <w:rPr>
          <w:rFonts w:ascii="Times New Roman" w:hAnsi="Times New Roman" w:cs="Times New Roman"/>
          <w:color w:val="000000" w:themeColor="text1"/>
          <w:sz w:val="24"/>
          <w:szCs w:val="24"/>
        </w:rPr>
        <w:t>pandemic resulted in</w:t>
      </w:r>
      <w:r w:rsidR="005623C6" w:rsidRPr="005623C6">
        <w:rPr>
          <w:rFonts w:ascii="Times New Roman" w:hAnsi="Times New Roman" w:cs="Times New Roman"/>
          <w:color w:val="000000" w:themeColor="text1"/>
          <w:sz w:val="24"/>
          <w:szCs w:val="24"/>
        </w:rPr>
        <w:t xml:space="preserve"> massive job losses culminated with increased poverty at household levels across all the EAC countries.</w:t>
      </w:r>
      <w:r w:rsidR="005623C6">
        <w:rPr>
          <w:rFonts w:ascii="Times New Roman" w:hAnsi="Times New Roman" w:cs="Times New Roman"/>
          <w:color w:val="000000" w:themeColor="text1"/>
          <w:sz w:val="24"/>
          <w:szCs w:val="24"/>
        </w:rPr>
        <w:t xml:space="preserve"> Further, these economies reported contracted economic growth rates since the inception of the pandemic. The </w:t>
      </w:r>
      <w:r w:rsidR="00294433">
        <w:rPr>
          <w:rFonts w:ascii="Times New Roman" w:hAnsi="Times New Roman" w:cs="Times New Roman"/>
          <w:color w:val="000000" w:themeColor="text1"/>
          <w:sz w:val="24"/>
          <w:szCs w:val="24"/>
        </w:rPr>
        <w:t xml:space="preserve">tourism and hotel industry was </w:t>
      </w:r>
      <w:r w:rsidR="005623C6">
        <w:rPr>
          <w:rFonts w:ascii="Times New Roman" w:hAnsi="Times New Roman" w:cs="Times New Roman"/>
          <w:color w:val="000000" w:themeColor="text1"/>
          <w:sz w:val="24"/>
          <w:szCs w:val="24"/>
        </w:rPr>
        <w:t xml:space="preserve">largely affected due to restricted domestic and international travel coupled with other country-specific internal lockdown measures &amp; social-distancing operational requirements.  </w:t>
      </w:r>
    </w:p>
    <w:p w:rsidR="000043F9" w:rsidRDefault="00470CFD" w:rsidP="0045072A">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r w:rsidR="00433E09">
        <w:rPr>
          <w:rFonts w:ascii="Times New Roman" w:hAnsi="Times New Roman" w:cs="Times New Roman"/>
          <w:b/>
          <w:color w:val="000000" w:themeColor="text1"/>
          <w:sz w:val="24"/>
          <w:szCs w:val="24"/>
        </w:rPr>
        <w:t xml:space="preserve"> H</w:t>
      </w:r>
      <w:r w:rsidR="007C4026">
        <w:rPr>
          <w:rFonts w:ascii="Times New Roman" w:hAnsi="Times New Roman" w:cs="Times New Roman"/>
          <w:b/>
          <w:color w:val="000000" w:themeColor="text1"/>
          <w:sz w:val="24"/>
          <w:szCs w:val="24"/>
        </w:rPr>
        <w:t>ealth system c</w:t>
      </w:r>
      <w:r w:rsidR="000043F9">
        <w:rPr>
          <w:rFonts w:ascii="Times New Roman" w:hAnsi="Times New Roman" w:cs="Times New Roman"/>
          <w:b/>
          <w:color w:val="000000" w:themeColor="text1"/>
          <w:sz w:val="24"/>
          <w:szCs w:val="24"/>
        </w:rPr>
        <w:t>apacity</w:t>
      </w:r>
    </w:p>
    <w:p w:rsidR="0045072A" w:rsidRDefault="0045072A" w:rsidP="007C40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4133" w:rsidRPr="007D4133">
        <w:rPr>
          <w:rFonts w:ascii="Times New Roman" w:hAnsi="Times New Roman" w:cs="Times New Roman"/>
          <w:color w:val="000000" w:themeColor="text1"/>
          <w:sz w:val="24"/>
          <w:szCs w:val="24"/>
        </w:rPr>
        <w:t>The capacity of health systems globally has been tested and continues to be tested</w:t>
      </w:r>
      <w:r w:rsidR="007D4133">
        <w:rPr>
          <w:rFonts w:ascii="Times New Roman" w:hAnsi="Times New Roman" w:cs="Times New Roman"/>
          <w:color w:val="000000" w:themeColor="text1"/>
          <w:sz w:val="24"/>
          <w:szCs w:val="24"/>
        </w:rPr>
        <w:t xml:space="preserve"> by the surge in the number of COVID-19 patients demanding critical care.</w:t>
      </w:r>
      <w:r w:rsidR="00294433">
        <w:rPr>
          <w:rFonts w:ascii="Times New Roman" w:hAnsi="Times New Roman" w:cs="Times New Roman"/>
          <w:color w:val="000000" w:themeColor="text1"/>
          <w:sz w:val="24"/>
          <w:szCs w:val="24"/>
        </w:rPr>
        <w:t xml:space="preserve"> The situation is even much</w:t>
      </w:r>
      <w:r w:rsidR="007D4133">
        <w:rPr>
          <w:rFonts w:ascii="Times New Roman" w:hAnsi="Times New Roman" w:cs="Times New Roman"/>
          <w:color w:val="000000" w:themeColor="text1"/>
          <w:sz w:val="24"/>
          <w:szCs w:val="24"/>
        </w:rPr>
        <w:t xml:space="preserve"> dire</w:t>
      </w:r>
      <w:r w:rsidR="00294433">
        <w:rPr>
          <w:rFonts w:ascii="Times New Roman" w:hAnsi="Times New Roman" w:cs="Times New Roman"/>
          <w:color w:val="000000" w:themeColor="text1"/>
          <w:sz w:val="24"/>
          <w:szCs w:val="24"/>
        </w:rPr>
        <w:t>r</w:t>
      </w:r>
      <w:r w:rsidR="007D4133">
        <w:rPr>
          <w:rFonts w:ascii="Times New Roman" w:hAnsi="Times New Roman" w:cs="Times New Roman"/>
          <w:color w:val="000000" w:themeColor="text1"/>
          <w:sz w:val="24"/>
          <w:szCs w:val="24"/>
        </w:rPr>
        <w:t xml:space="preserve"> for the developing economies and more particularly those in the EAC region. This study seeks </w:t>
      </w:r>
      <w:r w:rsidR="00C207AB">
        <w:rPr>
          <w:rFonts w:ascii="Times New Roman" w:hAnsi="Times New Roman" w:cs="Times New Roman"/>
          <w:color w:val="000000" w:themeColor="text1"/>
          <w:sz w:val="24"/>
          <w:szCs w:val="24"/>
        </w:rPr>
        <w:t xml:space="preserve">to show a comparative analysis of the ability of the EAC countries to handle the hospital surge capacity created by the </w:t>
      </w:r>
      <w:r w:rsidR="00294433">
        <w:rPr>
          <w:rFonts w:ascii="Times New Roman" w:hAnsi="Times New Roman" w:cs="Times New Roman"/>
          <w:color w:val="000000" w:themeColor="text1"/>
          <w:sz w:val="24"/>
          <w:szCs w:val="24"/>
        </w:rPr>
        <w:t>ever-</w:t>
      </w:r>
      <w:r w:rsidR="00DD54DD">
        <w:rPr>
          <w:rFonts w:ascii="Times New Roman" w:hAnsi="Times New Roman" w:cs="Times New Roman"/>
          <w:color w:val="000000" w:themeColor="text1"/>
          <w:sz w:val="24"/>
          <w:szCs w:val="24"/>
        </w:rPr>
        <w:t xml:space="preserve">rising </w:t>
      </w:r>
      <w:r w:rsidR="00294433">
        <w:rPr>
          <w:rFonts w:ascii="Times New Roman" w:hAnsi="Times New Roman" w:cs="Times New Roman"/>
          <w:color w:val="000000" w:themeColor="text1"/>
          <w:sz w:val="24"/>
          <w:szCs w:val="24"/>
        </w:rPr>
        <w:t xml:space="preserve">number of </w:t>
      </w:r>
      <w:r w:rsidR="00C207AB">
        <w:rPr>
          <w:rFonts w:ascii="Times New Roman" w:hAnsi="Times New Roman" w:cs="Times New Roman"/>
          <w:color w:val="000000" w:themeColor="text1"/>
          <w:sz w:val="24"/>
          <w:szCs w:val="24"/>
        </w:rPr>
        <w:t xml:space="preserve">COVID-19 patients. </w:t>
      </w:r>
      <w:r w:rsidR="00DD54DD">
        <w:rPr>
          <w:rFonts w:ascii="Times New Roman" w:hAnsi="Times New Roman" w:cs="Times New Roman"/>
          <w:color w:val="000000" w:themeColor="text1"/>
          <w:sz w:val="24"/>
          <w:szCs w:val="24"/>
        </w:rPr>
        <w:t xml:space="preserve">We define </w:t>
      </w:r>
      <w:r w:rsidR="0032140D">
        <w:rPr>
          <w:rFonts w:ascii="Times New Roman" w:hAnsi="Times New Roman" w:cs="Times New Roman"/>
          <w:color w:val="000000" w:themeColor="text1"/>
          <w:sz w:val="24"/>
          <w:szCs w:val="24"/>
        </w:rPr>
        <w:t xml:space="preserve">hospital bed surge capacity as the </w:t>
      </w:r>
      <w:r w:rsidR="00DD54DD">
        <w:rPr>
          <w:rFonts w:ascii="Times New Roman" w:hAnsi="Times New Roman" w:cs="Times New Roman"/>
          <w:color w:val="000000" w:themeColor="text1"/>
          <w:sz w:val="24"/>
          <w:szCs w:val="24"/>
        </w:rPr>
        <w:t xml:space="preserve">percentage of available </w:t>
      </w:r>
      <w:r w:rsidR="0032140D">
        <w:rPr>
          <w:rFonts w:ascii="Times New Roman" w:hAnsi="Times New Roman" w:cs="Times New Roman"/>
          <w:color w:val="000000" w:themeColor="text1"/>
          <w:sz w:val="24"/>
          <w:szCs w:val="24"/>
        </w:rPr>
        <w:t>hospital beds with oxygen supply across both the public and private hospitals in a given country at a given point in time. On the other hand, we define ICU bed surge capacity as the proportion of available ICU beds (</w:t>
      </w:r>
      <w:r w:rsidR="00DD54DD">
        <w:rPr>
          <w:rFonts w:ascii="Times New Roman" w:hAnsi="Times New Roman" w:cs="Times New Roman"/>
          <w:color w:val="000000" w:themeColor="text1"/>
          <w:sz w:val="24"/>
          <w:szCs w:val="24"/>
        </w:rPr>
        <w:t xml:space="preserve">equipped </w:t>
      </w:r>
      <w:r w:rsidR="0032140D">
        <w:rPr>
          <w:rFonts w:ascii="Times New Roman" w:hAnsi="Times New Roman" w:cs="Times New Roman"/>
          <w:color w:val="000000" w:themeColor="text1"/>
          <w:sz w:val="24"/>
          <w:szCs w:val="24"/>
        </w:rPr>
        <w:t xml:space="preserve">with ventilators) in both the public and private hospitals in a given country that are needed to care for the COVID-19 patients (Barasa </w:t>
      </w:r>
      <w:r w:rsidR="0032140D" w:rsidRPr="003C52F4">
        <w:rPr>
          <w:rFonts w:ascii="Times New Roman" w:hAnsi="Times New Roman" w:cs="Times New Roman"/>
          <w:i/>
          <w:color w:val="000000" w:themeColor="text1"/>
          <w:sz w:val="24"/>
          <w:szCs w:val="24"/>
        </w:rPr>
        <w:t>et al.,</w:t>
      </w:r>
      <w:r w:rsidR="0032140D">
        <w:rPr>
          <w:rFonts w:ascii="Times New Roman" w:hAnsi="Times New Roman" w:cs="Times New Roman"/>
          <w:color w:val="000000" w:themeColor="text1"/>
          <w:sz w:val="24"/>
          <w:szCs w:val="24"/>
        </w:rPr>
        <w:t xml:space="preserve"> 2020). </w:t>
      </w:r>
      <w:r w:rsidR="00C207AB">
        <w:rPr>
          <w:rFonts w:ascii="Times New Roman" w:hAnsi="Times New Roman" w:cs="Times New Roman"/>
          <w:color w:val="000000" w:themeColor="text1"/>
          <w:sz w:val="24"/>
          <w:szCs w:val="24"/>
        </w:rPr>
        <w:t>Table 1 presents the true</w:t>
      </w:r>
      <w:r w:rsidR="0032140D">
        <w:rPr>
          <w:rFonts w:ascii="Times New Roman" w:hAnsi="Times New Roman" w:cs="Times New Roman"/>
          <w:color w:val="000000" w:themeColor="text1"/>
          <w:sz w:val="24"/>
          <w:szCs w:val="24"/>
        </w:rPr>
        <w:t xml:space="preserve"> reality check of this capacity across the countries under investigation.</w:t>
      </w:r>
    </w:p>
    <w:p w:rsidR="007C4026" w:rsidRDefault="007C4026" w:rsidP="007C4026">
      <w:pPr>
        <w:spacing w:line="360" w:lineRule="auto"/>
        <w:jc w:val="both"/>
        <w:rPr>
          <w:rFonts w:ascii="Times New Roman" w:hAnsi="Times New Roman" w:cs="Times New Roman"/>
          <w:color w:val="000000" w:themeColor="text1"/>
          <w:sz w:val="24"/>
          <w:szCs w:val="24"/>
        </w:rPr>
      </w:pPr>
    </w:p>
    <w:p w:rsidR="007C4026" w:rsidRDefault="007C4026" w:rsidP="007C4026">
      <w:pPr>
        <w:spacing w:line="360" w:lineRule="auto"/>
        <w:jc w:val="both"/>
        <w:rPr>
          <w:rFonts w:ascii="Times New Roman" w:hAnsi="Times New Roman" w:cs="Times New Roman"/>
          <w:color w:val="000000" w:themeColor="text1"/>
          <w:sz w:val="24"/>
          <w:szCs w:val="24"/>
        </w:rPr>
      </w:pPr>
    </w:p>
    <w:p w:rsidR="007C4026" w:rsidRDefault="007C4026" w:rsidP="007C4026">
      <w:pPr>
        <w:spacing w:line="360" w:lineRule="auto"/>
        <w:jc w:val="both"/>
        <w:rPr>
          <w:rFonts w:ascii="Times New Roman" w:hAnsi="Times New Roman" w:cs="Times New Roman"/>
          <w:color w:val="000000" w:themeColor="text1"/>
          <w:sz w:val="24"/>
          <w:szCs w:val="24"/>
        </w:rPr>
      </w:pPr>
    </w:p>
    <w:p w:rsidR="007C4026" w:rsidRDefault="007C4026" w:rsidP="007C4026">
      <w:pPr>
        <w:spacing w:line="360" w:lineRule="auto"/>
        <w:jc w:val="both"/>
        <w:rPr>
          <w:rFonts w:ascii="Times New Roman" w:hAnsi="Times New Roman" w:cs="Times New Roman"/>
          <w:color w:val="000000" w:themeColor="text1"/>
          <w:sz w:val="24"/>
          <w:szCs w:val="24"/>
        </w:rPr>
      </w:pPr>
    </w:p>
    <w:p w:rsidR="007C4026" w:rsidRPr="007C4026" w:rsidRDefault="007C4026" w:rsidP="007C4026">
      <w:pPr>
        <w:spacing w:line="360" w:lineRule="auto"/>
        <w:jc w:val="both"/>
        <w:rPr>
          <w:rFonts w:ascii="Times New Roman" w:hAnsi="Times New Roman" w:cs="Times New Roman"/>
          <w:color w:val="000000" w:themeColor="text1"/>
          <w:sz w:val="24"/>
          <w:szCs w:val="24"/>
        </w:rPr>
      </w:pPr>
    </w:p>
    <w:p w:rsidR="008F22E7" w:rsidRPr="008F22E7" w:rsidRDefault="008F22E7" w:rsidP="00AA48E7">
      <w:pPr>
        <w:spacing w:after="0" w:line="360" w:lineRule="auto"/>
        <w:jc w:val="both"/>
        <w:rPr>
          <w:rFonts w:ascii="Times New Roman" w:hAnsi="Times New Roman" w:cs="Times New Roman"/>
          <w:b/>
          <w:color w:val="000000" w:themeColor="text1"/>
          <w:sz w:val="24"/>
          <w:szCs w:val="24"/>
        </w:rPr>
      </w:pPr>
      <w:proofErr w:type="gramStart"/>
      <w:r w:rsidRPr="008F22E7">
        <w:rPr>
          <w:rFonts w:ascii="Times New Roman" w:hAnsi="Times New Roman" w:cs="Times New Roman"/>
          <w:b/>
          <w:color w:val="000000" w:themeColor="text1"/>
          <w:sz w:val="24"/>
          <w:szCs w:val="24"/>
        </w:rPr>
        <w:lastRenderedPageBreak/>
        <w:t>Table 1.</w:t>
      </w:r>
      <w:proofErr w:type="gramEnd"/>
      <w:r w:rsidRPr="008F22E7">
        <w:rPr>
          <w:rFonts w:ascii="Times New Roman" w:hAnsi="Times New Roman" w:cs="Times New Roman"/>
          <w:b/>
          <w:color w:val="000000" w:themeColor="text1"/>
          <w:sz w:val="24"/>
          <w:szCs w:val="24"/>
        </w:rPr>
        <w:t xml:space="preserve"> Number of ICU beds and ventilators across EAC region</w:t>
      </w:r>
    </w:p>
    <w:tbl>
      <w:tblPr>
        <w:tblStyle w:val="TableGrid"/>
        <w:tblW w:w="0" w:type="auto"/>
        <w:tblInd w:w="108" w:type="dxa"/>
        <w:tblLook w:val="04A0" w:firstRow="1" w:lastRow="0" w:firstColumn="1" w:lastColumn="0" w:noHBand="0" w:noVBand="1"/>
      </w:tblPr>
      <w:tblGrid>
        <w:gridCol w:w="1807"/>
        <w:gridCol w:w="1915"/>
        <w:gridCol w:w="1915"/>
        <w:gridCol w:w="1915"/>
        <w:gridCol w:w="1916"/>
      </w:tblGrid>
      <w:tr w:rsidR="008F22E7" w:rsidTr="00934C73">
        <w:tc>
          <w:tcPr>
            <w:tcW w:w="1807" w:type="dxa"/>
          </w:tcPr>
          <w:p w:rsidR="008F22E7" w:rsidRDefault="008F22E7" w:rsidP="00AA48E7">
            <w:pPr>
              <w:spacing w:line="360" w:lineRule="auto"/>
              <w:jc w:val="both"/>
              <w:rPr>
                <w:rFonts w:ascii="Times New Roman" w:hAnsi="Times New Roman" w:cs="Times New Roman"/>
                <w:color w:val="000000" w:themeColor="text1"/>
                <w:sz w:val="24"/>
                <w:szCs w:val="24"/>
              </w:rPr>
            </w:pPr>
          </w:p>
        </w:tc>
        <w:tc>
          <w:tcPr>
            <w:tcW w:w="1915" w:type="dxa"/>
          </w:tcPr>
          <w:p w:rsidR="008F22E7" w:rsidRPr="008F22E7" w:rsidRDefault="008F22E7" w:rsidP="008F22E7">
            <w:pPr>
              <w:spacing w:line="360" w:lineRule="auto"/>
              <w:rPr>
                <w:rFonts w:ascii="Times New Roman" w:hAnsi="Times New Roman" w:cs="Times New Roman"/>
                <w:b/>
                <w:color w:val="000000" w:themeColor="text1"/>
                <w:sz w:val="24"/>
                <w:szCs w:val="24"/>
              </w:rPr>
            </w:pPr>
            <w:r w:rsidRPr="008F22E7">
              <w:rPr>
                <w:rFonts w:ascii="Times New Roman" w:hAnsi="Times New Roman" w:cs="Times New Roman"/>
                <w:b/>
                <w:color w:val="000000" w:themeColor="text1"/>
                <w:sz w:val="24"/>
                <w:szCs w:val="24"/>
              </w:rPr>
              <w:t>Number of ICU beds</w:t>
            </w:r>
          </w:p>
        </w:tc>
        <w:tc>
          <w:tcPr>
            <w:tcW w:w="1915" w:type="dxa"/>
          </w:tcPr>
          <w:p w:rsidR="008F22E7" w:rsidRPr="008F22E7" w:rsidRDefault="008F22E7" w:rsidP="008F22E7">
            <w:pPr>
              <w:spacing w:line="360" w:lineRule="auto"/>
              <w:rPr>
                <w:rFonts w:ascii="Times New Roman" w:hAnsi="Times New Roman" w:cs="Times New Roman"/>
                <w:b/>
                <w:color w:val="000000" w:themeColor="text1"/>
                <w:sz w:val="24"/>
                <w:szCs w:val="24"/>
              </w:rPr>
            </w:pPr>
            <w:r w:rsidRPr="008F22E7">
              <w:rPr>
                <w:rFonts w:ascii="Times New Roman" w:hAnsi="Times New Roman" w:cs="Times New Roman"/>
                <w:b/>
                <w:color w:val="000000" w:themeColor="text1"/>
                <w:sz w:val="24"/>
                <w:szCs w:val="24"/>
              </w:rPr>
              <w:t>Year of Data Point/Estimate</w:t>
            </w:r>
          </w:p>
        </w:tc>
        <w:tc>
          <w:tcPr>
            <w:tcW w:w="1915" w:type="dxa"/>
          </w:tcPr>
          <w:p w:rsidR="008F22E7" w:rsidRPr="008F22E7" w:rsidRDefault="008F22E7" w:rsidP="008F22E7">
            <w:pPr>
              <w:spacing w:line="360" w:lineRule="auto"/>
              <w:rPr>
                <w:rFonts w:ascii="Times New Roman" w:hAnsi="Times New Roman" w:cs="Times New Roman"/>
                <w:b/>
                <w:color w:val="000000" w:themeColor="text1"/>
                <w:sz w:val="24"/>
                <w:szCs w:val="24"/>
              </w:rPr>
            </w:pPr>
            <w:r w:rsidRPr="008F22E7">
              <w:rPr>
                <w:rFonts w:ascii="Times New Roman" w:hAnsi="Times New Roman" w:cs="Times New Roman"/>
                <w:b/>
                <w:color w:val="000000" w:themeColor="text1"/>
                <w:sz w:val="24"/>
                <w:szCs w:val="24"/>
              </w:rPr>
              <w:t>Number of Ventilators</w:t>
            </w:r>
          </w:p>
        </w:tc>
        <w:tc>
          <w:tcPr>
            <w:tcW w:w="1916" w:type="dxa"/>
          </w:tcPr>
          <w:p w:rsidR="008F22E7" w:rsidRPr="008F22E7" w:rsidRDefault="008F22E7" w:rsidP="008F22E7">
            <w:pPr>
              <w:spacing w:line="360" w:lineRule="auto"/>
              <w:rPr>
                <w:rFonts w:ascii="Times New Roman" w:hAnsi="Times New Roman" w:cs="Times New Roman"/>
                <w:b/>
                <w:color w:val="000000" w:themeColor="text1"/>
                <w:sz w:val="24"/>
                <w:szCs w:val="24"/>
              </w:rPr>
            </w:pPr>
            <w:r w:rsidRPr="008F22E7">
              <w:rPr>
                <w:rFonts w:ascii="Times New Roman" w:hAnsi="Times New Roman" w:cs="Times New Roman"/>
                <w:b/>
                <w:color w:val="000000" w:themeColor="text1"/>
                <w:sz w:val="24"/>
                <w:szCs w:val="24"/>
              </w:rPr>
              <w:t>Year of Data Point</w:t>
            </w:r>
          </w:p>
        </w:tc>
      </w:tr>
      <w:tr w:rsidR="008F22E7" w:rsidTr="00934C73">
        <w:trPr>
          <w:trHeight w:val="350"/>
        </w:trPr>
        <w:tc>
          <w:tcPr>
            <w:tcW w:w="1807" w:type="dxa"/>
          </w:tcPr>
          <w:p w:rsidR="008F22E7" w:rsidRDefault="008F22E7"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Kenya</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518</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c>
          <w:tcPr>
            <w:tcW w:w="1916"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r>
      <w:tr w:rsidR="008F22E7" w:rsidTr="00934C73">
        <w:tc>
          <w:tcPr>
            <w:tcW w:w="1807" w:type="dxa"/>
          </w:tcPr>
          <w:p w:rsidR="008F22E7" w:rsidRDefault="008F22E7"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Rwanda</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1916"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r>
      <w:tr w:rsidR="008F22E7" w:rsidTr="00934C73">
        <w:tc>
          <w:tcPr>
            <w:tcW w:w="1807" w:type="dxa"/>
          </w:tcPr>
          <w:p w:rsidR="008F22E7" w:rsidRDefault="008F22E7"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South Sudan</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16"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tc>
      </w:tr>
      <w:tr w:rsidR="008F22E7" w:rsidTr="00934C73">
        <w:tc>
          <w:tcPr>
            <w:tcW w:w="1807" w:type="dxa"/>
          </w:tcPr>
          <w:p w:rsidR="008F22E7" w:rsidRDefault="008F22E7"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Uganda</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c>
          <w:tcPr>
            <w:tcW w:w="1915"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916" w:type="dxa"/>
          </w:tcPr>
          <w:p w:rsidR="008F22E7" w:rsidRDefault="00327C3B" w:rsidP="00AA48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r>
    </w:tbl>
    <w:p w:rsidR="00ED33CD" w:rsidRPr="007D4133" w:rsidRDefault="008F22E7" w:rsidP="00AA48E7">
      <w:pPr>
        <w:spacing w:after="0" w:line="360" w:lineRule="auto"/>
        <w:jc w:val="both"/>
        <w:rPr>
          <w:rFonts w:ascii="Times New Roman" w:hAnsi="Times New Roman" w:cs="Times New Roman"/>
          <w:color w:val="000000" w:themeColor="text1"/>
          <w:sz w:val="24"/>
          <w:szCs w:val="24"/>
        </w:rPr>
      </w:pPr>
      <w:r w:rsidRPr="00244E72">
        <w:rPr>
          <w:rFonts w:ascii="Times New Roman" w:hAnsi="Times New Roman" w:cs="Times New Roman"/>
          <w:b/>
          <w:color w:val="000000" w:themeColor="text1"/>
          <w:sz w:val="24"/>
          <w:szCs w:val="24"/>
        </w:rPr>
        <w:t>Source:</w:t>
      </w:r>
      <w:r w:rsidR="00294433">
        <w:rPr>
          <w:rFonts w:ascii="Times New Roman" w:hAnsi="Times New Roman" w:cs="Times New Roman"/>
          <w:color w:val="000000" w:themeColor="text1"/>
          <w:sz w:val="24"/>
          <w:szCs w:val="24"/>
        </w:rPr>
        <w:t xml:space="preserve"> Compiled statistics by </w:t>
      </w:r>
      <w:r w:rsidR="00B228AF">
        <w:rPr>
          <w:rFonts w:ascii="Times New Roman" w:hAnsi="Times New Roman" w:cs="Times New Roman"/>
          <w:color w:val="000000" w:themeColor="text1"/>
          <w:sz w:val="24"/>
          <w:szCs w:val="24"/>
        </w:rPr>
        <w:t xml:space="preserve">Craig </w:t>
      </w:r>
      <w:r w:rsidR="00934C73" w:rsidRPr="0045072A">
        <w:rPr>
          <w:rFonts w:ascii="Times New Roman" w:hAnsi="Times New Roman" w:cs="Times New Roman"/>
          <w:i/>
          <w:color w:val="000000" w:themeColor="text1"/>
          <w:sz w:val="24"/>
          <w:szCs w:val="24"/>
        </w:rPr>
        <w:t>et al.</w:t>
      </w:r>
      <w:r w:rsidR="00294433">
        <w:rPr>
          <w:rFonts w:ascii="Times New Roman" w:hAnsi="Times New Roman" w:cs="Times New Roman"/>
          <w:color w:val="000000" w:themeColor="text1"/>
          <w:sz w:val="24"/>
          <w:szCs w:val="24"/>
        </w:rPr>
        <w:t xml:space="preserve"> (2020).</w:t>
      </w:r>
    </w:p>
    <w:p w:rsidR="00934C73" w:rsidRDefault="00934C73" w:rsidP="00302537">
      <w:pPr>
        <w:spacing w:after="0" w:line="360" w:lineRule="auto"/>
        <w:jc w:val="both"/>
        <w:rPr>
          <w:rFonts w:ascii="Times New Roman" w:hAnsi="Times New Roman" w:cs="Times New Roman"/>
          <w:color w:val="000000" w:themeColor="text1"/>
          <w:sz w:val="24"/>
          <w:szCs w:val="24"/>
        </w:rPr>
      </w:pPr>
    </w:p>
    <w:p w:rsidR="00D479CB" w:rsidRPr="00644782" w:rsidRDefault="0045072A" w:rsidP="0045072A">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44E72" w:rsidRPr="00244E72">
        <w:rPr>
          <w:rFonts w:ascii="Times New Roman" w:hAnsi="Times New Roman" w:cs="Times New Roman"/>
          <w:color w:val="000000" w:themeColor="text1"/>
          <w:sz w:val="24"/>
          <w:szCs w:val="24"/>
        </w:rPr>
        <w:t>Table 1 reveals</w:t>
      </w:r>
      <w:r w:rsidR="00244E72">
        <w:rPr>
          <w:rFonts w:ascii="Times New Roman" w:hAnsi="Times New Roman" w:cs="Times New Roman"/>
          <w:color w:val="000000" w:themeColor="text1"/>
          <w:sz w:val="24"/>
          <w:szCs w:val="24"/>
        </w:rPr>
        <w:t xml:space="preserve"> the daunting impact of the pandemic on the health systems of the EAC countries and demonstrates their inability to absorb any surge in the number of patients requiring critical care.</w:t>
      </w:r>
      <w:r w:rsidR="00886E97">
        <w:rPr>
          <w:rFonts w:ascii="Times New Roman" w:hAnsi="Times New Roman" w:cs="Times New Roman"/>
          <w:color w:val="000000" w:themeColor="text1"/>
          <w:sz w:val="24"/>
          <w:szCs w:val="24"/>
        </w:rPr>
        <w:t xml:space="preserve"> Since March 2021, </w:t>
      </w:r>
      <w:r w:rsidR="00886E97">
        <w:rPr>
          <w:rFonts w:ascii="Times New Roman" w:hAnsi="Times New Roman" w:cs="Times New Roman"/>
          <w:sz w:val="24"/>
          <w:szCs w:val="24"/>
        </w:rPr>
        <w:t>countries within</w:t>
      </w:r>
      <w:r w:rsidR="00024B32">
        <w:rPr>
          <w:rFonts w:ascii="Times New Roman" w:hAnsi="Times New Roman" w:cs="Times New Roman"/>
          <w:sz w:val="24"/>
          <w:szCs w:val="24"/>
        </w:rPr>
        <w:t xml:space="preserve"> the region have rolled out </w:t>
      </w:r>
      <w:r w:rsidR="00886E97" w:rsidRPr="00497BDF">
        <w:rPr>
          <w:rFonts w:ascii="Times New Roman" w:hAnsi="Times New Roman" w:cs="Times New Roman"/>
          <w:sz w:val="24"/>
          <w:szCs w:val="24"/>
        </w:rPr>
        <w:t>vaccination drive</w:t>
      </w:r>
      <w:r w:rsidR="00886E97">
        <w:rPr>
          <w:rFonts w:ascii="Times New Roman" w:hAnsi="Times New Roman" w:cs="Times New Roman"/>
          <w:sz w:val="24"/>
          <w:szCs w:val="24"/>
        </w:rPr>
        <w:t xml:space="preserve"> initiatives to help combat the disease. The vaccination drive is a continuous one and aims at targeting the entire population across all the EAC countries. However, the continuously mutating nature of the disease through the development of new variants implies that the r</w:t>
      </w:r>
      <w:r w:rsidR="00886E97" w:rsidRPr="00FF4F85">
        <w:rPr>
          <w:rFonts w:ascii="Times New Roman" w:hAnsi="Times New Roman" w:cs="Times New Roman"/>
          <w:sz w:val="24"/>
          <w:szCs w:val="24"/>
        </w:rPr>
        <w:t xml:space="preserve">oad to recovery from the </w:t>
      </w:r>
      <w:r w:rsidR="00644782">
        <w:rPr>
          <w:rFonts w:ascii="Times New Roman" w:hAnsi="Times New Roman" w:cs="Times New Roman"/>
          <w:sz w:val="24"/>
          <w:szCs w:val="24"/>
        </w:rPr>
        <w:t>socio-</w:t>
      </w:r>
      <w:r w:rsidR="00886E97" w:rsidRPr="00FF4F85">
        <w:rPr>
          <w:rFonts w:ascii="Times New Roman" w:hAnsi="Times New Roman" w:cs="Times New Roman"/>
          <w:sz w:val="24"/>
          <w:szCs w:val="24"/>
        </w:rPr>
        <w:t xml:space="preserve">economic disruption </w:t>
      </w:r>
      <w:r w:rsidR="00886E97">
        <w:rPr>
          <w:rFonts w:ascii="Times New Roman" w:hAnsi="Times New Roman" w:cs="Times New Roman"/>
          <w:sz w:val="24"/>
          <w:szCs w:val="24"/>
        </w:rPr>
        <w:t>caused by the pandemic</w:t>
      </w:r>
      <w:r w:rsidR="00886E97" w:rsidRPr="00FF4F85">
        <w:rPr>
          <w:rFonts w:ascii="Times New Roman" w:hAnsi="Times New Roman" w:cs="Times New Roman"/>
          <w:sz w:val="24"/>
          <w:szCs w:val="24"/>
        </w:rPr>
        <w:t xml:space="preserve"> will be</w:t>
      </w:r>
      <w:r w:rsidR="00886E97">
        <w:rPr>
          <w:rFonts w:ascii="Times New Roman" w:hAnsi="Times New Roman" w:cs="Times New Roman"/>
          <w:sz w:val="24"/>
          <w:szCs w:val="24"/>
        </w:rPr>
        <w:t xml:space="preserve"> a</w:t>
      </w:r>
      <w:r w:rsidR="00886E97" w:rsidRPr="00FF4F85">
        <w:rPr>
          <w:rFonts w:ascii="Times New Roman" w:hAnsi="Times New Roman" w:cs="Times New Roman"/>
          <w:sz w:val="24"/>
          <w:szCs w:val="24"/>
        </w:rPr>
        <w:t xml:space="preserve"> long</w:t>
      </w:r>
      <w:r w:rsidR="00886E97">
        <w:rPr>
          <w:rFonts w:ascii="Times New Roman" w:hAnsi="Times New Roman" w:cs="Times New Roman"/>
          <w:sz w:val="24"/>
          <w:szCs w:val="24"/>
        </w:rPr>
        <w:t xml:space="preserve"> and</w:t>
      </w:r>
      <w:r w:rsidR="00886E97" w:rsidRPr="00FF4F85">
        <w:rPr>
          <w:rFonts w:ascii="Times New Roman" w:hAnsi="Times New Roman" w:cs="Times New Roman"/>
          <w:sz w:val="24"/>
          <w:szCs w:val="24"/>
        </w:rPr>
        <w:t xml:space="preserve"> arduous</w:t>
      </w:r>
      <w:r w:rsidR="00644782">
        <w:rPr>
          <w:rFonts w:ascii="Times New Roman" w:hAnsi="Times New Roman" w:cs="Times New Roman"/>
          <w:sz w:val="24"/>
          <w:szCs w:val="24"/>
        </w:rPr>
        <w:t xml:space="preserve"> one. </w:t>
      </w:r>
      <w:r w:rsidR="00302537" w:rsidRPr="001C43B1">
        <w:rPr>
          <w:rFonts w:ascii="Times New Roman" w:hAnsi="Times New Roman" w:cs="Times New Roman"/>
          <w:sz w:val="24"/>
          <w:szCs w:val="24"/>
        </w:rPr>
        <w:t>Unders</w:t>
      </w:r>
      <w:r w:rsidR="00302537">
        <w:rPr>
          <w:rFonts w:ascii="Times New Roman" w:hAnsi="Times New Roman" w:cs="Times New Roman"/>
          <w:sz w:val="24"/>
          <w:szCs w:val="24"/>
        </w:rPr>
        <w:t>tanding the</w:t>
      </w:r>
      <w:r w:rsidR="002D7C3B">
        <w:rPr>
          <w:rFonts w:ascii="Times New Roman" w:hAnsi="Times New Roman" w:cs="Times New Roman"/>
          <w:sz w:val="24"/>
          <w:szCs w:val="24"/>
        </w:rPr>
        <w:t xml:space="preserve"> impact of COVID-19 on social welfare and health system capacity</w:t>
      </w:r>
      <w:r w:rsidR="00302537">
        <w:rPr>
          <w:rFonts w:ascii="Times New Roman" w:hAnsi="Times New Roman" w:cs="Times New Roman"/>
          <w:sz w:val="24"/>
          <w:szCs w:val="24"/>
        </w:rPr>
        <w:t xml:space="preserve"> is </w:t>
      </w:r>
      <w:r w:rsidR="002D7C3B">
        <w:rPr>
          <w:rFonts w:ascii="Times New Roman" w:hAnsi="Times New Roman" w:cs="Times New Roman"/>
          <w:sz w:val="24"/>
          <w:szCs w:val="24"/>
        </w:rPr>
        <w:t xml:space="preserve">paramount </w:t>
      </w:r>
      <w:r w:rsidR="00302537">
        <w:rPr>
          <w:rFonts w:ascii="Times New Roman" w:hAnsi="Times New Roman" w:cs="Times New Roman"/>
          <w:sz w:val="24"/>
          <w:szCs w:val="24"/>
        </w:rPr>
        <w:t xml:space="preserve">in designing </w:t>
      </w:r>
      <w:r w:rsidR="002D7C3B">
        <w:rPr>
          <w:rFonts w:ascii="Times New Roman" w:hAnsi="Times New Roman" w:cs="Times New Roman"/>
          <w:sz w:val="24"/>
          <w:szCs w:val="24"/>
        </w:rPr>
        <w:t xml:space="preserve">the most astute </w:t>
      </w:r>
      <w:r w:rsidR="00302537">
        <w:rPr>
          <w:rFonts w:ascii="Times New Roman" w:hAnsi="Times New Roman" w:cs="Times New Roman"/>
          <w:sz w:val="24"/>
          <w:szCs w:val="24"/>
        </w:rPr>
        <w:t>measures that are welfare-oriented and can cushion households from the devastating effects of the pandemic</w:t>
      </w:r>
      <w:r w:rsidR="002D7C3B">
        <w:rPr>
          <w:rFonts w:ascii="Times New Roman" w:hAnsi="Times New Roman" w:cs="Times New Roman"/>
          <w:sz w:val="24"/>
          <w:szCs w:val="24"/>
        </w:rPr>
        <w:t xml:space="preserve"> both i</w:t>
      </w:r>
      <w:r w:rsidR="00DD54DD">
        <w:rPr>
          <w:rFonts w:ascii="Times New Roman" w:hAnsi="Times New Roman" w:cs="Times New Roman"/>
          <w:sz w:val="24"/>
          <w:szCs w:val="24"/>
        </w:rPr>
        <w:t>n the short run &amp;</w:t>
      </w:r>
      <w:r w:rsidR="00644782">
        <w:rPr>
          <w:rFonts w:ascii="Times New Roman" w:hAnsi="Times New Roman" w:cs="Times New Roman"/>
          <w:sz w:val="24"/>
          <w:szCs w:val="24"/>
        </w:rPr>
        <w:t xml:space="preserve"> in the long </w:t>
      </w:r>
      <w:r w:rsidR="002D7C3B">
        <w:rPr>
          <w:rFonts w:ascii="Times New Roman" w:hAnsi="Times New Roman" w:cs="Times New Roman"/>
          <w:sz w:val="24"/>
          <w:szCs w:val="24"/>
        </w:rPr>
        <w:t>run</w:t>
      </w:r>
      <w:r w:rsidR="00302537">
        <w:rPr>
          <w:rFonts w:ascii="Times New Roman" w:hAnsi="Times New Roman" w:cs="Times New Roman"/>
          <w:sz w:val="24"/>
          <w:szCs w:val="24"/>
        </w:rPr>
        <w:t xml:space="preserve">. </w:t>
      </w:r>
    </w:p>
    <w:p w:rsidR="00441E23" w:rsidRPr="00A62C95" w:rsidRDefault="00D479CB" w:rsidP="0045072A">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302537" w:rsidRPr="00A62C95">
        <w:rPr>
          <w:rFonts w:ascii="Times New Roman" w:hAnsi="Times New Roman" w:cs="Times New Roman"/>
          <w:color w:val="000000" w:themeColor="text1"/>
          <w:sz w:val="24"/>
          <w:szCs w:val="24"/>
        </w:rPr>
        <w:t xml:space="preserve">Following the introduction, </w:t>
      </w:r>
      <w:r w:rsidR="00573FA9">
        <w:rPr>
          <w:rFonts w:ascii="Times New Roman" w:hAnsi="Times New Roman" w:cs="Times New Roman"/>
          <w:sz w:val="24"/>
          <w:szCs w:val="24"/>
        </w:rPr>
        <w:t>chapter two will review</w:t>
      </w:r>
      <w:r w:rsidR="00302537" w:rsidRPr="00A62C95">
        <w:rPr>
          <w:rFonts w:ascii="Times New Roman" w:hAnsi="Times New Roman" w:cs="Times New Roman"/>
          <w:sz w:val="24"/>
          <w:szCs w:val="24"/>
        </w:rPr>
        <w:t xml:space="preserve"> the literature. Chapter three will discuss the methodology</w:t>
      </w:r>
      <w:r w:rsidR="00573FA9">
        <w:rPr>
          <w:rFonts w:ascii="Times New Roman" w:hAnsi="Times New Roman" w:cs="Times New Roman"/>
          <w:sz w:val="24"/>
          <w:szCs w:val="24"/>
        </w:rPr>
        <w:t xml:space="preserve">. Chapter 4 will present the empirical findings </w:t>
      </w:r>
      <w:r w:rsidR="007A1B79">
        <w:rPr>
          <w:rFonts w:ascii="Times New Roman" w:hAnsi="Times New Roman" w:cs="Times New Roman"/>
          <w:sz w:val="24"/>
          <w:szCs w:val="24"/>
        </w:rPr>
        <w:t>while the final chap</w:t>
      </w:r>
      <w:r w:rsidR="00E04B82">
        <w:rPr>
          <w:rFonts w:ascii="Times New Roman" w:hAnsi="Times New Roman" w:cs="Times New Roman"/>
          <w:sz w:val="24"/>
          <w:szCs w:val="24"/>
        </w:rPr>
        <w:t>ter will provide conclusions &amp;</w:t>
      </w:r>
      <w:r w:rsidR="007A1B79">
        <w:rPr>
          <w:rFonts w:ascii="Times New Roman" w:hAnsi="Times New Roman" w:cs="Times New Roman"/>
          <w:sz w:val="24"/>
          <w:szCs w:val="24"/>
        </w:rPr>
        <w:t xml:space="preserve"> policy recommendations.</w:t>
      </w:r>
      <w:r w:rsidR="00302537" w:rsidRPr="00A62C95">
        <w:rPr>
          <w:rFonts w:ascii="Times New Roman" w:hAnsi="Times New Roman" w:cs="Times New Roman"/>
          <w:sz w:val="24"/>
          <w:szCs w:val="24"/>
        </w:rPr>
        <w:t xml:space="preserve"> </w:t>
      </w:r>
    </w:p>
    <w:p w:rsidR="00EE0BE0" w:rsidRDefault="00E4398D" w:rsidP="0045072A">
      <w:pPr>
        <w:pStyle w:val="Default"/>
        <w:spacing w:after="240" w:line="360" w:lineRule="auto"/>
        <w:jc w:val="both"/>
        <w:rPr>
          <w:rFonts w:ascii="Times New Roman" w:hAnsi="Times New Roman" w:cs="Times New Roman"/>
          <w:b/>
        </w:rPr>
      </w:pPr>
      <w:r>
        <w:rPr>
          <w:rFonts w:ascii="Times New Roman" w:hAnsi="Times New Roman" w:cs="Times New Roman"/>
          <w:b/>
        </w:rPr>
        <w:t xml:space="preserve">2. </w:t>
      </w:r>
      <w:r w:rsidR="00992DB4">
        <w:rPr>
          <w:rFonts w:ascii="Times New Roman" w:hAnsi="Times New Roman" w:cs="Times New Roman"/>
          <w:b/>
        </w:rPr>
        <w:t>Literature Review</w:t>
      </w:r>
    </w:p>
    <w:p w:rsidR="00934C73" w:rsidRDefault="002B0F0F" w:rsidP="0045072A">
      <w:pPr>
        <w:pStyle w:val="Default"/>
        <w:spacing w:after="240" w:line="360" w:lineRule="auto"/>
        <w:jc w:val="both"/>
        <w:rPr>
          <w:rFonts w:ascii="Times New Roman" w:hAnsi="Times New Roman" w:cs="Times New Roman"/>
          <w:b/>
        </w:rPr>
      </w:pPr>
      <w:r>
        <w:rPr>
          <w:rFonts w:ascii="Times New Roman" w:hAnsi="Times New Roman" w:cs="Times New Roman"/>
          <w:b/>
        </w:rPr>
        <w:t>2.1 COVID-19 impa</w:t>
      </w:r>
      <w:r w:rsidR="00E27346">
        <w:rPr>
          <w:rFonts w:ascii="Times New Roman" w:hAnsi="Times New Roman" w:cs="Times New Roman"/>
          <w:b/>
        </w:rPr>
        <w:t>cts on social welfare</w:t>
      </w:r>
    </w:p>
    <w:p w:rsidR="007E53B0" w:rsidRPr="00E27346" w:rsidRDefault="00350CCF" w:rsidP="0045072A">
      <w:pPr>
        <w:pStyle w:val="Default"/>
        <w:spacing w:after="240" w:line="360" w:lineRule="auto"/>
        <w:jc w:val="both"/>
        <w:rPr>
          <w:rFonts w:ascii="Times New Roman" w:hAnsi="Times New Roman" w:cs="Times New Roman"/>
          <w:b/>
        </w:rPr>
      </w:pPr>
      <w:r>
        <w:rPr>
          <w:rFonts w:ascii="Times New Roman" w:hAnsi="Times New Roman" w:cs="Times New Roman"/>
        </w:rPr>
        <w:t xml:space="preserve">According to </w:t>
      </w:r>
      <w:r w:rsidR="000E1D5D" w:rsidRPr="00682744">
        <w:rPr>
          <w:rFonts w:ascii="Times New Roman" w:hAnsi="Times New Roman" w:cs="Times New Roman"/>
        </w:rPr>
        <w:t xml:space="preserve">Rahman </w:t>
      </w:r>
      <w:r w:rsidR="000E1D5D" w:rsidRPr="003C52F4">
        <w:rPr>
          <w:rFonts w:ascii="Times New Roman" w:hAnsi="Times New Roman" w:cs="Times New Roman"/>
          <w:i/>
        </w:rPr>
        <w:t>et al</w:t>
      </w:r>
      <w:r w:rsidR="00934C73" w:rsidRPr="003C52F4">
        <w:rPr>
          <w:rFonts w:ascii="Times New Roman" w:hAnsi="Times New Roman" w:cs="Times New Roman"/>
          <w:i/>
        </w:rPr>
        <w:t>.</w:t>
      </w:r>
      <w:r w:rsidR="00934C73">
        <w:rPr>
          <w:rFonts w:ascii="Times New Roman" w:hAnsi="Times New Roman" w:cs="Times New Roman"/>
        </w:rPr>
        <w:t xml:space="preserve"> </w:t>
      </w:r>
      <w:r>
        <w:rPr>
          <w:rFonts w:ascii="Times New Roman" w:hAnsi="Times New Roman" w:cs="Times New Roman"/>
        </w:rPr>
        <w:t>(2020), the COVID-19 pandemic has affected</w:t>
      </w:r>
      <w:r w:rsidR="000E1D5D" w:rsidRPr="00682744">
        <w:rPr>
          <w:rFonts w:ascii="Times New Roman" w:hAnsi="Times New Roman" w:cs="Times New Roman"/>
        </w:rPr>
        <w:t xml:space="preserve"> food systems</w:t>
      </w:r>
      <w:r w:rsidR="000E1D5D">
        <w:rPr>
          <w:rFonts w:ascii="Times New Roman" w:hAnsi="Times New Roman" w:cs="Times New Roman"/>
        </w:rPr>
        <w:t xml:space="preserve"> d</w:t>
      </w:r>
      <w:r w:rsidR="00AD5628">
        <w:rPr>
          <w:rFonts w:ascii="Times New Roman" w:hAnsi="Times New Roman" w:cs="Times New Roman"/>
        </w:rPr>
        <w:t xml:space="preserve">irectly by impacting </w:t>
      </w:r>
      <w:r w:rsidR="00573678">
        <w:rPr>
          <w:rFonts w:ascii="Times New Roman" w:hAnsi="Times New Roman" w:cs="Times New Roman"/>
        </w:rPr>
        <w:t>food supply and</w:t>
      </w:r>
      <w:r>
        <w:rPr>
          <w:rFonts w:ascii="Times New Roman" w:hAnsi="Times New Roman" w:cs="Times New Roman"/>
        </w:rPr>
        <w:t xml:space="preserve"> demand. Similarly, the pandemic has indirectly decreased</w:t>
      </w:r>
      <w:r w:rsidR="000E1D5D">
        <w:rPr>
          <w:rFonts w:ascii="Times New Roman" w:hAnsi="Times New Roman" w:cs="Times New Roman"/>
        </w:rPr>
        <w:t xml:space="preserve"> the purchasing power as well as the</w:t>
      </w:r>
      <w:r w:rsidR="000E1D5D" w:rsidRPr="00682744">
        <w:rPr>
          <w:rFonts w:ascii="Times New Roman" w:hAnsi="Times New Roman" w:cs="Times New Roman"/>
        </w:rPr>
        <w:t xml:space="preserve"> </w:t>
      </w:r>
      <w:r w:rsidR="00AE6FE8">
        <w:rPr>
          <w:rFonts w:ascii="Times New Roman" w:hAnsi="Times New Roman" w:cs="Times New Roman"/>
        </w:rPr>
        <w:t xml:space="preserve">production and distribution </w:t>
      </w:r>
      <w:r w:rsidR="000E1D5D" w:rsidRPr="00682744">
        <w:rPr>
          <w:rFonts w:ascii="Times New Roman" w:hAnsi="Times New Roman" w:cs="Times New Roman"/>
        </w:rPr>
        <w:t>capac</w:t>
      </w:r>
      <w:r w:rsidR="00AE6FE8">
        <w:rPr>
          <w:rFonts w:ascii="Times New Roman" w:hAnsi="Times New Roman" w:cs="Times New Roman"/>
        </w:rPr>
        <w:t xml:space="preserve">ity of </w:t>
      </w:r>
      <w:r w:rsidR="000E1D5D">
        <w:rPr>
          <w:rFonts w:ascii="Times New Roman" w:hAnsi="Times New Roman" w:cs="Times New Roman"/>
        </w:rPr>
        <w:t>food</w:t>
      </w:r>
      <w:r w:rsidR="000E1D5D" w:rsidRPr="00682744">
        <w:rPr>
          <w:rFonts w:ascii="Times New Roman" w:hAnsi="Times New Roman" w:cs="Times New Roman"/>
        </w:rPr>
        <w:t>.</w:t>
      </w:r>
      <w:r w:rsidR="00E92934">
        <w:rPr>
          <w:rFonts w:ascii="Times New Roman" w:hAnsi="Times New Roman" w:cs="Times New Roman"/>
        </w:rPr>
        <w:t xml:space="preserve"> </w:t>
      </w:r>
      <w:r w:rsidR="003A3100" w:rsidRPr="00271ABB">
        <w:rPr>
          <w:rFonts w:ascii="Times New Roman" w:hAnsi="Times New Roman" w:cs="Times New Roman"/>
        </w:rPr>
        <w:t xml:space="preserve">Vickers </w:t>
      </w:r>
      <w:r w:rsidR="00934C73" w:rsidRPr="003C52F4">
        <w:rPr>
          <w:rFonts w:ascii="Times New Roman" w:hAnsi="Times New Roman" w:cs="Times New Roman"/>
          <w:i/>
        </w:rPr>
        <w:t>et al</w:t>
      </w:r>
      <w:r w:rsidR="00934C73">
        <w:rPr>
          <w:rFonts w:ascii="Times New Roman" w:hAnsi="Times New Roman" w:cs="Times New Roman"/>
        </w:rPr>
        <w:t>.</w:t>
      </w:r>
      <w:r w:rsidR="003A3100" w:rsidRPr="00271ABB">
        <w:rPr>
          <w:rFonts w:ascii="Times New Roman" w:hAnsi="Times New Roman" w:cs="Times New Roman"/>
        </w:rPr>
        <w:t xml:space="preserve"> (2020</w:t>
      </w:r>
      <w:r w:rsidR="003A3100">
        <w:rPr>
          <w:rFonts w:ascii="Times New Roman" w:hAnsi="Times New Roman" w:cs="Times New Roman"/>
        </w:rPr>
        <w:t>)</w:t>
      </w:r>
      <w:r w:rsidR="003A3100" w:rsidRPr="00271ABB">
        <w:rPr>
          <w:rFonts w:ascii="Times New Roman" w:hAnsi="Times New Roman" w:cs="Times New Roman"/>
        </w:rPr>
        <w:t xml:space="preserve"> </w:t>
      </w:r>
      <w:r w:rsidR="003A3100">
        <w:rPr>
          <w:rFonts w:ascii="Times New Roman" w:hAnsi="Times New Roman" w:cs="Times New Roman"/>
        </w:rPr>
        <w:t xml:space="preserve">revealed that </w:t>
      </w:r>
      <w:r w:rsidR="003A3100" w:rsidRPr="00271ABB">
        <w:rPr>
          <w:rFonts w:ascii="Times New Roman" w:hAnsi="Times New Roman" w:cs="Times New Roman"/>
        </w:rPr>
        <w:t>lockdown measures culminated with temporary trade restrictions</w:t>
      </w:r>
      <w:r w:rsidR="003A3100">
        <w:rPr>
          <w:rFonts w:ascii="Times New Roman" w:hAnsi="Times New Roman" w:cs="Times New Roman"/>
        </w:rPr>
        <w:t xml:space="preserve"> were found to have impacted </w:t>
      </w:r>
      <w:r w:rsidR="003A3100" w:rsidRPr="00271ABB">
        <w:rPr>
          <w:rFonts w:ascii="Times New Roman" w:hAnsi="Times New Roman" w:cs="Times New Roman"/>
        </w:rPr>
        <w:t xml:space="preserve">food demand and pricing by causing an acute disruption on the global </w:t>
      </w:r>
      <w:r w:rsidR="003A3100" w:rsidRPr="00271ABB">
        <w:rPr>
          <w:rFonts w:ascii="Times New Roman" w:hAnsi="Times New Roman" w:cs="Times New Roman"/>
        </w:rPr>
        <w:lastRenderedPageBreak/>
        <w:t>food supply chains. In their survey, the authors posit that a protracted pandemic could pose both short-run and medium-term impacts on food availability and eventually undermine the long-term food security of many countries</w:t>
      </w:r>
      <w:r w:rsidR="001C2D38">
        <w:rPr>
          <w:rFonts w:ascii="Times New Roman" w:hAnsi="Times New Roman" w:cs="Times New Roman"/>
        </w:rPr>
        <w:t>.</w:t>
      </w:r>
      <w:r w:rsidR="003A3100">
        <w:rPr>
          <w:rFonts w:ascii="Times New Roman" w:hAnsi="Times New Roman" w:cs="Times New Roman"/>
          <w:noProof/>
        </w:rPr>
        <w:t xml:space="preserve"> </w:t>
      </w:r>
    </w:p>
    <w:p w:rsidR="005F6D0A" w:rsidRDefault="007E53B0" w:rsidP="0045072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E92934" w:rsidRPr="00A43CCD">
        <w:rPr>
          <w:rFonts w:ascii="Times New Roman" w:hAnsi="Times New Roman" w:cs="Times New Roman"/>
          <w:sz w:val="24"/>
          <w:szCs w:val="24"/>
        </w:rPr>
        <w:t xml:space="preserve">Ebrahimy </w:t>
      </w:r>
      <w:r w:rsidR="00934C73" w:rsidRPr="003C52F4">
        <w:rPr>
          <w:rFonts w:ascii="Times New Roman" w:hAnsi="Times New Roman" w:cs="Times New Roman"/>
          <w:i/>
          <w:sz w:val="24"/>
          <w:szCs w:val="24"/>
        </w:rPr>
        <w:t>et al.</w:t>
      </w:r>
      <w:r w:rsidR="00934C73">
        <w:rPr>
          <w:rFonts w:ascii="Times New Roman" w:hAnsi="Times New Roman" w:cs="Times New Roman"/>
          <w:sz w:val="24"/>
          <w:szCs w:val="24"/>
        </w:rPr>
        <w:t xml:space="preserve"> </w:t>
      </w:r>
      <w:r w:rsidR="00E92934" w:rsidRPr="00A43CCD">
        <w:rPr>
          <w:rFonts w:ascii="Times New Roman" w:hAnsi="Times New Roman" w:cs="Times New Roman"/>
          <w:sz w:val="24"/>
          <w:szCs w:val="24"/>
        </w:rPr>
        <w:t xml:space="preserve">(2020) </w:t>
      </w:r>
      <w:r w:rsidR="001C2D38">
        <w:rPr>
          <w:rFonts w:ascii="Times New Roman" w:hAnsi="Times New Roman" w:cs="Times New Roman"/>
          <w:sz w:val="24"/>
          <w:szCs w:val="24"/>
        </w:rPr>
        <w:t xml:space="preserve">also reiterated the presence </w:t>
      </w:r>
      <w:r w:rsidR="004B1A1E">
        <w:rPr>
          <w:rFonts w:ascii="Times New Roman" w:hAnsi="Times New Roman" w:cs="Times New Roman"/>
          <w:sz w:val="24"/>
          <w:szCs w:val="24"/>
        </w:rPr>
        <w:t>of differentiated</w:t>
      </w:r>
      <w:r w:rsidR="001C2D38">
        <w:rPr>
          <w:rFonts w:ascii="Times New Roman" w:hAnsi="Times New Roman" w:cs="Times New Roman"/>
          <w:sz w:val="24"/>
          <w:szCs w:val="24"/>
        </w:rPr>
        <w:t xml:space="preserve"> effects of the pandemic on inflation</w:t>
      </w:r>
      <w:r w:rsidR="004B1A1E">
        <w:rPr>
          <w:rFonts w:ascii="Times New Roman" w:hAnsi="Times New Roman" w:cs="Times New Roman"/>
          <w:sz w:val="24"/>
          <w:szCs w:val="24"/>
        </w:rPr>
        <w:t xml:space="preserve"> during the lockdown period (when</w:t>
      </w:r>
      <w:r w:rsidR="00E92934">
        <w:rPr>
          <w:rFonts w:ascii="Times New Roman" w:hAnsi="Times New Roman" w:cs="Times New Roman"/>
          <w:sz w:val="24"/>
          <w:szCs w:val="24"/>
        </w:rPr>
        <w:t xml:space="preserve"> </w:t>
      </w:r>
      <w:r w:rsidR="00E92934" w:rsidRPr="00A43CCD">
        <w:rPr>
          <w:rFonts w:ascii="Times New Roman" w:hAnsi="Times New Roman" w:cs="Times New Roman"/>
          <w:sz w:val="24"/>
          <w:szCs w:val="24"/>
        </w:rPr>
        <w:t>mobility restrictions</w:t>
      </w:r>
      <w:r w:rsidR="004B1A1E">
        <w:rPr>
          <w:rFonts w:ascii="Times New Roman" w:hAnsi="Times New Roman" w:cs="Times New Roman"/>
          <w:sz w:val="24"/>
          <w:szCs w:val="24"/>
        </w:rPr>
        <w:t xml:space="preserve"> were present)</w:t>
      </w:r>
      <w:r w:rsidR="00E92934">
        <w:rPr>
          <w:rFonts w:ascii="Times New Roman" w:hAnsi="Times New Roman" w:cs="Times New Roman"/>
          <w:sz w:val="24"/>
          <w:szCs w:val="24"/>
        </w:rPr>
        <w:t>,</w:t>
      </w:r>
      <w:r w:rsidR="00E92934" w:rsidRPr="00A43CCD">
        <w:rPr>
          <w:rFonts w:ascii="Times New Roman" w:hAnsi="Times New Roman" w:cs="Times New Roman"/>
          <w:sz w:val="24"/>
          <w:szCs w:val="24"/>
        </w:rPr>
        <w:t xml:space="preserve"> and the reopening phase period </w:t>
      </w:r>
      <w:r w:rsidR="004B1A1E">
        <w:rPr>
          <w:rFonts w:ascii="Times New Roman" w:hAnsi="Times New Roman" w:cs="Times New Roman"/>
          <w:sz w:val="24"/>
          <w:szCs w:val="24"/>
        </w:rPr>
        <w:t>(</w:t>
      </w:r>
      <w:r w:rsidR="00E92934" w:rsidRPr="00A43CCD">
        <w:rPr>
          <w:rFonts w:ascii="Times New Roman" w:hAnsi="Times New Roman" w:cs="Times New Roman"/>
          <w:sz w:val="24"/>
          <w:szCs w:val="24"/>
        </w:rPr>
        <w:t>when mobility restrictions were lifted</w:t>
      </w:r>
      <w:r w:rsidR="004B1A1E">
        <w:rPr>
          <w:rFonts w:ascii="Times New Roman" w:hAnsi="Times New Roman" w:cs="Times New Roman"/>
          <w:sz w:val="24"/>
          <w:szCs w:val="24"/>
        </w:rPr>
        <w:t>)</w:t>
      </w:r>
      <w:r w:rsidR="00E92934" w:rsidRPr="00A43CCD">
        <w:rPr>
          <w:rFonts w:ascii="Times New Roman" w:hAnsi="Times New Roman" w:cs="Times New Roman"/>
          <w:sz w:val="24"/>
          <w:szCs w:val="24"/>
        </w:rPr>
        <w:t xml:space="preserve">. </w:t>
      </w:r>
      <w:r w:rsidR="00E92934">
        <w:rPr>
          <w:rFonts w:ascii="Times New Roman" w:hAnsi="Times New Roman" w:cs="Times New Roman"/>
          <w:sz w:val="24"/>
          <w:szCs w:val="24"/>
        </w:rPr>
        <w:t>The immediate proof</w:t>
      </w:r>
      <w:r w:rsidR="00E92934" w:rsidRPr="00A930FA">
        <w:rPr>
          <w:rFonts w:ascii="Times New Roman" w:hAnsi="Times New Roman" w:cs="Times New Roman"/>
          <w:sz w:val="24"/>
          <w:szCs w:val="24"/>
        </w:rPr>
        <w:t>s</w:t>
      </w:r>
      <w:r w:rsidR="00E92934" w:rsidRPr="00A43CCD">
        <w:rPr>
          <w:rFonts w:ascii="Times New Roman" w:hAnsi="Times New Roman" w:cs="Times New Roman"/>
          <w:sz w:val="24"/>
          <w:szCs w:val="24"/>
        </w:rPr>
        <w:t xml:space="preserve"> from emerging</w:t>
      </w:r>
      <w:r w:rsidR="00E92934">
        <w:rPr>
          <w:rFonts w:ascii="Times New Roman" w:hAnsi="Times New Roman" w:cs="Times New Roman"/>
          <w:sz w:val="24"/>
          <w:szCs w:val="24"/>
        </w:rPr>
        <w:t xml:space="preserve"> markets</w:t>
      </w:r>
      <w:r w:rsidR="00E92934" w:rsidRPr="00A930FA">
        <w:t xml:space="preserve"> </w:t>
      </w:r>
      <w:r w:rsidR="00E92934" w:rsidRPr="00A930FA">
        <w:rPr>
          <w:rFonts w:ascii="Times New Roman" w:hAnsi="Times New Roman" w:cs="Times New Roman"/>
          <w:sz w:val="24"/>
          <w:szCs w:val="24"/>
        </w:rPr>
        <w:t>and</w:t>
      </w:r>
      <w:r w:rsidR="00E92934" w:rsidRPr="001D6700">
        <w:t xml:space="preserve"> </w:t>
      </w:r>
      <w:r w:rsidR="00E92934" w:rsidRPr="001D6700">
        <w:rPr>
          <w:rFonts w:ascii="Times New Roman" w:hAnsi="Times New Roman" w:cs="Times New Roman"/>
          <w:sz w:val="24"/>
          <w:szCs w:val="24"/>
        </w:rPr>
        <w:t>developed economies</w:t>
      </w:r>
      <w:r w:rsidR="00E92934">
        <w:rPr>
          <w:rFonts w:ascii="Times New Roman" w:hAnsi="Times New Roman" w:cs="Times New Roman"/>
          <w:sz w:val="24"/>
          <w:szCs w:val="24"/>
        </w:rPr>
        <w:t xml:space="preserve"> </w:t>
      </w:r>
      <w:r w:rsidR="00E92934" w:rsidRPr="00A43CCD">
        <w:rPr>
          <w:rFonts w:ascii="Times New Roman" w:hAnsi="Times New Roman" w:cs="Times New Roman"/>
          <w:sz w:val="24"/>
          <w:szCs w:val="24"/>
        </w:rPr>
        <w:t xml:space="preserve">pointed to </w:t>
      </w:r>
      <w:r w:rsidR="00E92934">
        <w:rPr>
          <w:rFonts w:ascii="Times New Roman" w:hAnsi="Times New Roman" w:cs="Times New Roman"/>
          <w:sz w:val="24"/>
          <w:szCs w:val="24"/>
        </w:rPr>
        <w:t xml:space="preserve">the </w:t>
      </w:r>
      <w:r w:rsidR="00E92934" w:rsidRPr="00A43CCD">
        <w:rPr>
          <w:rFonts w:ascii="Times New Roman" w:hAnsi="Times New Roman" w:cs="Times New Roman"/>
          <w:sz w:val="24"/>
          <w:szCs w:val="24"/>
        </w:rPr>
        <w:t xml:space="preserve">increased </w:t>
      </w:r>
      <w:r w:rsidR="00E92934">
        <w:rPr>
          <w:rFonts w:ascii="Times New Roman" w:hAnsi="Times New Roman" w:cs="Times New Roman"/>
          <w:sz w:val="24"/>
          <w:szCs w:val="24"/>
        </w:rPr>
        <w:t>price o</w:t>
      </w:r>
      <w:r w:rsidR="00E92934" w:rsidRPr="00A43CCD">
        <w:rPr>
          <w:rFonts w:ascii="Times New Roman" w:hAnsi="Times New Roman" w:cs="Times New Roman"/>
          <w:sz w:val="24"/>
          <w:szCs w:val="24"/>
        </w:rPr>
        <w:t>f</w:t>
      </w:r>
      <w:r w:rsidR="00E92934">
        <w:rPr>
          <w:rFonts w:ascii="Times New Roman" w:hAnsi="Times New Roman" w:cs="Times New Roman"/>
          <w:sz w:val="24"/>
          <w:szCs w:val="24"/>
        </w:rPr>
        <w:t xml:space="preserve"> </w:t>
      </w:r>
      <w:r w:rsidR="00E92934" w:rsidRPr="00A43CCD">
        <w:rPr>
          <w:rFonts w:ascii="Times New Roman" w:hAnsi="Times New Roman" w:cs="Times New Roman"/>
          <w:sz w:val="24"/>
          <w:szCs w:val="24"/>
        </w:rPr>
        <w:t>food</w:t>
      </w:r>
      <w:r w:rsidR="00E92934">
        <w:rPr>
          <w:rFonts w:ascii="Times New Roman" w:hAnsi="Times New Roman" w:cs="Times New Roman"/>
          <w:sz w:val="24"/>
          <w:szCs w:val="24"/>
        </w:rPr>
        <w:t xml:space="preserve">. For the developing economies, </w:t>
      </w:r>
      <w:r w:rsidR="00E92934" w:rsidRPr="00A43CCD">
        <w:rPr>
          <w:rFonts w:ascii="Times New Roman" w:hAnsi="Times New Roman" w:cs="Times New Roman"/>
          <w:sz w:val="24"/>
          <w:szCs w:val="24"/>
        </w:rPr>
        <w:t xml:space="preserve">the demand for pandemic-related </w:t>
      </w:r>
      <w:r w:rsidR="00E92934">
        <w:rPr>
          <w:rFonts w:ascii="Times New Roman" w:hAnsi="Times New Roman" w:cs="Times New Roman"/>
          <w:sz w:val="24"/>
          <w:szCs w:val="24"/>
        </w:rPr>
        <w:t>goods</w:t>
      </w:r>
      <w:r w:rsidR="00AD3573">
        <w:rPr>
          <w:rFonts w:ascii="Times New Roman" w:hAnsi="Times New Roman" w:cs="Times New Roman"/>
          <w:sz w:val="24"/>
          <w:szCs w:val="24"/>
        </w:rPr>
        <w:t xml:space="preserve"> such as </w:t>
      </w:r>
      <w:r w:rsidR="00E92934">
        <w:rPr>
          <w:rFonts w:ascii="Times New Roman" w:hAnsi="Times New Roman" w:cs="Times New Roman"/>
          <w:sz w:val="24"/>
          <w:szCs w:val="24"/>
        </w:rPr>
        <w:t>Personal Protection Equipm</w:t>
      </w:r>
      <w:r w:rsidR="00934C73">
        <w:rPr>
          <w:rFonts w:ascii="Times New Roman" w:hAnsi="Times New Roman" w:cs="Times New Roman"/>
          <w:sz w:val="24"/>
          <w:szCs w:val="24"/>
        </w:rPr>
        <w:t xml:space="preserve">ent (PPEs), face masks, testing </w:t>
      </w:r>
      <w:proofErr w:type="gramStart"/>
      <w:r w:rsidR="00303877">
        <w:rPr>
          <w:rFonts w:ascii="Times New Roman" w:hAnsi="Times New Roman" w:cs="Times New Roman"/>
          <w:sz w:val="24"/>
          <w:szCs w:val="24"/>
        </w:rPr>
        <w:t>reagents</w:t>
      </w:r>
      <w:r w:rsidR="0027020A">
        <w:rPr>
          <w:rFonts w:ascii="Times New Roman" w:hAnsi="Times New Roman" w:cs="Times New Roman"/>
          <w:sz w:val="24"/>
          <w:szCs w:val="24"/>
        </w:rPr>
        <w:t>,</w:t>
      </w:r>
      <w:proofErr w:type="gramEnd"/>
      <w:r w:rsidR="0073479A">
        <w:rPr>
          <w:rFonts w:ascii="Times New Roman" w:hAnsi="Times New Roman" w:cs="Times New Roman"/>
          <w:sz w:val="24"/>
          <w:szCs w:val="24"/>
        </w:rPr>
        <w:t xml:space="preserve"> </w:t>
      </w:r>
      <w:r w:rsidR="00E92934">
        <w:rPr>
          <w:rFonts w:ascii="Times New Roman" w:hAnsi="Times New Roman" w:cs="Times New Roman"/>
          <w:sz w:val="24"/>
          <w:szCs w:val="24"/>
        </w:rPr>
        <w:t>and oxygen ventilators was noticeable. H</w:t>
      </w:r>
      <w:r w:rsidR="00E92934" w:rsidRPr="00A43CCD">
        <w:rPr>
          <w:rFonts w:ascii="Times New Roman" w:hAnsi="Times New Roman" w:cs="Times New Roman"/>
          <w:sz w:val="24"/>
          <w:szCs w:val="24"/>
        </w:rPr>
        <w:t xml:space="preserve">owever, no </w:t>
      </w:r>
      <w:r w:rsidR="00E92934">
        <w:rPr>
          <w:rFonts w:ascii="Times New Roman" w:hAnsi="Times New Roman" w:cs="Times New Roman"/>
          <w:sz w:val="24"/>
          <w:szCs w:val="24"/>
        </w:rPr>
        <w:t>proof</w:t>
      </w:r>
      <w:r w:rsidR="00E92934" w:rsidRPr="00A43CCD">
        <w:rPr>
          <w:rFonts w:ascii="Times New Roman" w:hAnsi="Times New Roman" w:cs="Times New Roman"/>
          <w:sz w:val="24"/>
          <w:szCs w:val="24"/>
        </w:rPr>
        <w:t xml:space="preserve"> of inflation could be visualized when </w:t>
      </w:r>
      <w:r w:rsidR="00E92934">
        <w:rPr>
          <w:rFonts w:ascii="Times New Roman" w:hAnsi="Times New Roman" w:cs="Times New Roman"/>
          <w:sz w:val="24"/>
          <w:szCs w:val="24"/>
        </w:rPr>
        <w:t>with</w:t>
      </w:r>
      <w:r w:rsidR="00E92934" w:rsidRPr="00A43CCD">
        <w:rPr>
          <w:rFonts w:ascii="Times New Roman" w:hAnsi="Times New Roman" w:cs="Times New Roman"/>
          <w:sz w:val="24"/>
          <w:szCs w:val="24"/>
        </w:rPr>
        <w:t xml:space="preserve"> broader indexes. Albeit </w:t>
      </w:r>
      <w:r w:rsidR="00E92934">
        <w:rPr>
          <w:rFonts w:ascii="Times New Roman" w:hAnsi="Times New Roman" w:cs="Times New Roman"/>
          <w:sz w:val="24"/>
          <w:szCs w:val="24"/>
        </w:rPr>
        <w:t>the time i</w:t>
      </w:r>
      <w:r w:rsidR="00E92934" w:rsidRPr="004D22CD">
        <w:rPr>
          <w:rFonts w:ascii="Times New Roman" w:hAnsi="Times New Roman" w:cs="Times New Roman"/>
          <w:sz w:val="24"/>
          <w:szCs w:val="24"/>
        </w:rPr>
        <w:t>s</w:t>
      </w:r>
      <w:r w:rsidR="00E92934">
        <w:rPr>
          <w:rFonts w:ascii="Times New Roman" w:hAnsi="Times New Roman" w:cs="Times New Roman"/>
          <w:sz w:val="24"/>
          <w:szCs w:val="24"/>
        </w:rPr>
        <w:t xml:space="preserve"> short</w:t>
      </w:r>
      <w:r w:rsidR="00E92934" w:rsidRPr="00A43CCD">
        <w:rPr>
          <w:rFonts w:ascii="Times New Roman" w:hAnsi="Times New Roman" w:cs="Times New Roman"/>
          <w:sz w:val="24"/>
          <w:szCs w:val="24"/>
        </w:rPr>
        <w:t xml:space="preserve"> to assess the inflation</w:t>
      </w:r>
      <w:r w:rsidR="00E92934">
        <w:rPr>
          <w:rFonts w:ascii="Times New Roman" w:hAnsi="Times New Roman" w:cs="Times New Roman"/>
          <w:sz w:val="24"/>
          <w:szCs w:val="24"/>
        </w:rPr>
        <w:t xml:space="preserve"> trends</w:t>
      </w:r>
      <w:r w:rsidR="00E92934" w:rsidRPr="00A43CCD">
        <w:rPr>
          <w:rFonts w:ascii="Times New Roman" w:hAnsi="Times New Roman" w:cs="Times New Roman"/>
          <w:sz w:val="24"/>
          <w:szCs w:val="24"/>
        </w:rPr>
        <w:t xml:space="preserve"> following the economy reopening, inflation expectation measures do not reveal </w:t>
      </w:r>
      <w:r w:rsidR="00E92934">
        <w:rPr>
          <w:rFonts w:ascii="Times New Roman" w:hAnsi="Times New Roman" w:cs="Times New Roman"/>
          <w:sz w:val="24"/>
          <w:szCs w:val="24"/>
        </w:rPr>
        <w:t xml:space="preserve">a palpable trend of </w:t>
      </w:r>
      <w:r w:rsidR="005F6D0A">
        <w:rPr>
          <w:rFonts w:ascii="Times New Roman" w:hAnsi="Times New Roman" w:cs="Times New Roman"/>
          <w:sz w:val="24"/>
          <w:szCs w:val="24"/>
        </w:rPr>
        <w:t>upward inflationary moves.</w:t>
      </w:r>
    </w:p>
    <w:p w:rsidR="00C15DB5" w:rsidRDefault="0045072A" w:rsidP="004507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422">
        <w:rPr>
          <w:rFonts w:ascii="Times New Roman" w:hAnsi="Times New Roman" w:cs="Times New Roman"/>
          <w:sz w:val="24"/>
          <w:szCs w:val="24"/>
        </w:rPr>
        <w:t>Coulibaly (2021)</w:t>
      </w:r>
      <w:r w:rsidR="00EE0BE0">
        <w:rPr>
          <w:rFonts w:ascii="Times New Roman" w:hAnsi="Times New Roman" w:cs="Times New Roman"/>
          <w:sz w:val="24"/>
          <w:szCs w:val="24"/>
        </w:rPr>
        <w:t xml:space="preserve"> </w:t>
      </w:r>
      <w:r w:rsidR="00466691">
        <w:rPr>
          <w:rFonts w:ascii="Times New Roman" w:hAnsi="Times New Roman" w:cs="Times New Roman"/>
          <w:sz w:val="24"/>
          <w:szCs w:val="24"/>
        </w:rPr>
        <w:t>found</w:t>
      </w:r>
      <w:r w:rsidR="005C6422">
        <w:rPr>
          <w:rFonts w:ascii="Times New Roman" w:hAnsi="Times New Roman" w:cs="Times New Roman"/>
          <w:sz w:val="24"/>
          <w:szCs w:val="24"/>
        </w:rPr>
        <w:t xml:space="preserve"> the number of COVID-19 cases to significantly inc</w:t>
      </w:r>
      <w:r w:rsidR="00DA4579">
        <w:rPr>
          <w:rFonts w:ascii="Times New Roman" w:hAnsi="Times New Roman" w:cs="Times New Roman"/>
          <w:sz w:val="24"/>
          <w:szCs w:val="24"/>
        </w:rPr>
        <w:t xml:space="preserve">rease the CPI </w:t>
      </w:r>
      <w:r w:rsidR="005C6422">
        <w:rPr>
          <w:rFonts w:ascii="Times New Roman" w:hAnsi="Times New Roman" w:cs="Times New Roman"/>
          <w:sz w:val="24"/>
          <w:szCs w:val="24"/>
        </w:rPr>
        <w:t xml:space="preserve">among </w:t>
      </w:r>
      <w:r w:rsidR="00BA2AD5">
        <w:rPr>
          <w:rFonts w:ascii="Times New Roman" w:hAnsi="Times New Roman" w:cs="Times New Roman"/>
          <w:sz w:val="24"/>
          <w:szCs w:val="24"/>
        </w:rPr>
        <w:t xml:space="preserve">the </w:t>
      </w:r>
      <w:r w:rsidR="008C60A7">
        <w:rPr>
          <w:rFonts w:ascii="Times New Roman" w:hAnsi="Times New Roman" w:cs="Times New Roman"/>
          <w:sz w:val="24"/>
          <w:szCs w:val="24"/>
        </w:rPr>
        <w:t>West African Economic and Monetary Union (</w:t>
      </w:r>
      <w:r w:rsidR="005C6422">
        <w:rPr>
          <w:rFonts w:ascii="Times New Roman" w:hAnsi="Times New Roman" w:cs="Times New Roman"/>
          <w:sz w:val="24"/>
          <w:szCs w:val="24"/>
        </w:rPr>
        <w:t>WA</w:t>
      </w:r>
      <w:r w:rsidR="008C60A7">
        <w:rPr>
          <w:rFonts w:ascii="Times New Roman" w:hAnsi="Times New Roman" w:cs="Times New Roman"/>
          <w:sz w:val="24"/>
          <w:szCs w:val="24"/>
        </w:rPr>
        <w:t>E</w:t>
      </w:r>
      <w:r w:rsidR="005C6422">
        <w:rPr>
          <w:rFonts w:ascii="Times New Roman" w:hAnsi="Times New Roman" w:cs="Times New Roman"/>
          <w:sz w:val="24"/>
          <w:szCs w:val="24"/>
        </w:rPr>
        <w:t>MU</w:t>
      </w:r>
      <w:r w:rsidR="008C60A7">
        <w:rPr>
          <w:rFonts w:ascii="Times New Roman" w:hAnsi="Times New Roman" w:cs="Times New Roman"/>
          <w:sz w:val="24"/>
          <w:szCs w:val="24"/>
        </w:rPr>
        <w:t>)</w:t>
      </w:r>
      <w:r w:rsidR="005C6422">
        <w:rPr>
          <w:rFonts w:ascii="Times New Roman" w:hAnsi="Times New Roman" w:cs="Times New Roman"/>
          <w:sz w:val="24"/>
          <w:szCs w:val="24"/>
        </w:rPr>
        <w:t xml:space="preserve"> countries. The governm</w:t>
      </w:r>
      <w:r w:rsidR="004B1A1E">
        <w:rPr>
          <w:rFonts w:ascii="Times New Roman" w:hAnsi="Times New Roman" w:cs="Times New Roman"/>
          <w:sz w:val="24"/>
          <w:szCs w:val="24"/>
        </w:rPr>
        <w:t>ent policy response measures were</w:t>
      </w:r>
      <w:r w:rsidR="005C6422">
        <w:rPr>
          <w:rFonts w:ascii="Times New Roman" w:hAnsi="Times New Roman" w:cs="Times New Roman"/>
          <w:sz w:val="24"/>
          <w:szCs w:val="24"/>
        </w:rPr>
        <w:t xml:space="preserve">, however, found to negatively influence CPI. </w:t>
      </w:r>
      <w:r w:rsidR="00EE0BE0">
        <w:rPr>
          <w:rFonts w:ascii="Times New Roman" w:hAnsi="Times New Roman" w:cs="Times New Roman"/>
          <w:sz w:val="24"/>
          <w:szCs w:val="24"/>
        </w:rPr>
        <w:t>Buheji</w:t>
      </w:r>
      <w:r w:rsidR="00EE0BE0" w:rsidRPr="006A755B">
        <w:rPr>
          <w:rFonts w:ascii="Times New Roman" w:hAnsi="Times New Roman" w:cs="Times New Roman"/>
          <w:sz w:val="24"/>
          <w:szCs w:val="24"/>
        </w:rPr>
        <w:t xml:space="preserve"> </w:t>
      </w:r>
      <w:r w:rsidR="00934C73" w:rsidRPr="003C52F4">
        <w:rPr>
          <w:rFonts w:ascii="Times New Roman" w:hAnsi="Times New Roman" w:cs="Times New Roman"/>
          <w:i/>
          <w:sz w:val="24"/>
          <w:szCs w:val="24"/>
        </w:rPr>
        <w:t>et al.</w:t>
      </w:r>
      <w:r w:rsidR="00934C73">
        <w:rPr>
          <w:rFonts w:ascii="Times New Roman" w:hAnsi="Times New Roman" w:cs="Times New Roman"/>
          <w:sz w:val="24"/>
          <w:szCs w:val="24"/>
        </w:rPr>
        <w:t xml:space="preserve"> </w:t>
      </w:r>
      <w:r w:rsidR="004B1A1E">
        <w:rPr>
          <w:rFonts w:ascii="Times New Roman" w:hAnsi="Times New Roman" w:cs="Times New Roman"/>
          <w:sz w:val="24"/>
          <w:szCs w:val="24"/>
        </w:rPr>
        <w:t>(</w:t>
      </w:r>
      <w:r w:rsidR="00EE0BE0" w:rsidRPr="006A755B">
        <w:rPr>
          <w:rFonts w:ascii="Times New Roman" w:hAnsi="Times New Roman" w:cs="Times New Roman"/>
          <w:sz w:val="24"/>
          <w:szCs w:val="24"/>
        </w:rPr>
        <w:t>2020</w:t>
      </w:r>
      <w:r w:rsidR="004B1A1E">
        <w:rPr>
          <w:rFonts w:ascii="Times New Roman" w:hAnsi="Times New Roman" w:cs="Times New Roman"/>
          <w:sz w:val="24"/>
          <w:szCs w:val="24"/>
        </w:rPr>
        <w:t>)</w:t>
      </w:r>
      <w:r w:rsidR="00EE0BE0" w:rsidRPr="006A755B">
        <w:rPr>
          <w:rFonts w:ascii="Times New Roman" w:hAnsi="Times New Roman" w:cs="Times New Roman"/>
          <w:sz w:val="24"/>
          <w:szCs w:val="24"/>
        </w:rPr>
        <w:t xml:space="preserve"> revealed that it is hard for the poor to cope with strict Covid protocols of lockdown and social distancing as most are casual and informal sector workers depending on daily and hourly rem</w:t>
      </w:r>
      <w:r w:rsidR="001F2096">
        <w:rPr>
          <w:rFonts w:ascii="Times New Roman" w:hAnsi="Times New Roman" w:cs="Times New Roman"/>
          <w:sz w:val="24"/>
          <w:szCs w:val="24"/>
        </w:rPr>
        <w:t xml:space="preserve">unerations. </w:t>
      </w:r>
      <w:r w:rsidR="00EE0BE0" w:rsidRPr="006A755B">
        <w:rPr>
          <w:rFonts w:ascii="Times New Roman" w:hAnsi="Times New Roman" w:cs="Times New Roman"/>
          <w:sz w:val="24"/>
          <w:szCs w:val="24"/>
        </w:rPr>
        <w:t xml:space="preserve">Similarly in a simulation study in Ghana, Dzigbede &amp; Pathak (2020) identified a significant direct association between the coronavirus pandemic and poverty measures over time using daily and monthly economic indicators and the latest Ghana </w:t>
      </w:r>
      <w:bookmarkStart w:id="0" w:name="_Hlk72348520"/>
      <w:r w:rsidR="00EE0BE0" w:rsidRPr="006A755B">
        <w:rPr>
          <w:rFonts w:ascii="Times New Roman" w:hAnsi="Times New Roman" w:cs="Times New Roman"/>
          <w:sz w:val="24"/>
          <w:szCs w:val="24"/>
        </w:rPr>
        <w:t>L</w:t>
      </w:r>
      <w:bookmarkEnd w:id="0"/>
      <w:r w:rsidR="00EE0BE0" w:rsidRPr="006A755B">
        <w:rPr>
          <w:rFonts w:ascii="Times New Roman" w:hAnsi="Times New Roman" w:cs="Times New Roman"/>
          <w:sz w:val="24"/>
          <w:szCs w:val="24"/>
        </w:rPr>
        <w:t xml:space="preserve">iving Standards Survey (GLSS). The study also suggested that an extension in government expenditure under a prevailing cash transfer program would help to reduce the economic shocks associated </w:t>
      </w:r>
      <w:r w:rsidR="00EE0BE0">
        <w:rPr>
          <w:rFonts w:ascii="Times New Roman" w:hAnsi="Times New Roman" w:cs="Times New Roman"/>
          <w:sz w:val="24"/>
          <w:szCs w:val="24"/>
        </w:rPr>
        <w:t>with</w:t>
      </w:r>
      <w:r w:rsidR="00EE0BE0" w:rsidRPr="006A755B">
        <w:rPr>
          <w:rFonts w:ascii="Times New Roman" w:hAnsi="Times New Roman" w:cs="Times New Roman"/>
          <w:sz w:val="24"/>
          <w:szCs w:val="24"/>
        </w:rPr>
        <w:t xml:space="preserve"> the </w:t>
      </w:r>
      <w:bookmarkStart w:id="1" w:name="_Hlk72348731"/>
      <w:r w:rsidR="00EE0BE0" w:rsidRPr="00FD793C">
        <w:rPr>
          <w:rFonts w:ascii="Times New Roman" w:hAnsi="Times New Roman" w:cs="Times New Roman"/>
          <w:sz w:val="24"/>
          <w:szCs w:val="24"/>
        </w:rPr>
        <w:t>coronavirus</w:t>
      </w:r>
      <w:bookmarkEnd w:id="1"/>
      <w:r w:rsidR="00EE0BE0" w:rsidRPr="00FD793C">
        <w:rPr>
          <w:rFonts w:ascii="Times New Roman" w:hAnsi="Times New Roman" w:cs="Times New Roman"/>
          <w:sz w:val="24"/>
          <w:szCs w:val="24"/>
        </w:rPr>
        <w:t xml:space="preserve"> pandemic</w:t>
      </w:r>
      <w:r w:rsidR="00EE0BE0" w:rsidRPr="006A755B">
        <w:rPr>
          <w:rFonts w:ascii="Times New Roman" w:hAnsi="Times New Roman" w:cs="Times New Roman"/>
          <w:sz w:val="24"/>
          <w:szCs w:val="24"/>
        </w:rPr>
        <w:t xml:space="preserve"> and improve </w:t>
      </w:r>
      <w:r w:rsidR="009E178B">
        <w:rPr>
          <w:rFonts w:ascii="Times New Roman" w:hAnsi="Times New Roman" w:cs="Times New Roman"/>
          <w:sz w:val="24"/>
          <w:szCs w:val="24"/>
        </w:rPr>
        <w:t xml:space="preserve">the </w:t>
      </w:r>
      <w:r w:rsidR="00EE0BE0" w:rsidRPr="006A755B">
        <w:rPr>
          <w:rFonts w:ascii="Times New Roman" w:hAnsi="Times New Roman" w:cs="Times New Roman"/>
          <w:sz w:val="24"/>
          <w:szCs w:val="24"/>
        </w:rPr>
        <w:t>livelihood</w:t>
      </w:r>
      <w:r w:rsidR="004B1A1E">
        <w:rPr>
          <w:rFonts w:ascii="Times New Roman" w:hAnsi="Times New Roman" w:cs="Times New Roman"/>
          <w:sz w:val="24"/>
          <w:szCs w:val="24"/>
        </w:rPr>
        <w:t xml:space="preserve"> of the poor and the vulnerable.</w:t>
      </w:r>
    </w:p>
    <w:p w:rsidR="00FA0D30" w:rsidRDefault="00C15DB5" w:rsidP="00EE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256" w:rsidRPr="006A755B">
        <w:rPr>
          <w:rFonts w:ascii="Times New Roman" w:hAnsi="Times New Roman" w:cs="Times New Roman"/>
          <w:sz w:val="24"/>
          <w:szCs w:val="24"/>
        </w:rPr>
        <w:t xml:space="preserve">The </w:t>
      </w:r>
      <w:bookmarkStart w:id="2" w:name="_Hlk72349267"/>
      <w:r w:rsidR="00F22256" w:rsidRPr="006A755B">
        <w:rPr>
          <w:rFonts w:ascii="Times New Roman" w:hAnsi="Times New Roman" w:cs="Times New Roman"/>
          <w:sz w:val="24"/>
          <w:szCs w:val="24"/>
        </w:rPr>
        <w:t>d</w:t>
      </w:r>
      <w:bookmarkEnd w:id="2"/>
      <w:r w:rsidR="00F22256" w:rsidRPr="006A755B">
        <w:rPr>
          <w:rFonts w:ascii="Times New Roman" w:hAnsi="Times New Roman" w:cs="Times New Roman"/>
          <w:sz w:val="24"/>
          <w:szCs w:val="24"/>
        </w:rPr>
        <w:t>istributi</w:t>
      </w:r>
      <w:r w:rsidR="00F22256">
        <w:rPr>
          <w:rFonts w:ascii="Times New Roman" w:hAnsi="Times New Roman" w:cs="Times New Roman"/>
          <w:sz w:val="24"/>
          <w:szCs w:val="24"/>
        </w:rPr>
        <w:t>on of the economic cost of COVID</w:t>
      </w:r>
      <w:r w:rsidR="00F22256" w:rsidRPr="006A755B">
        <w:rPr>
          <w:rFonts w:ascii="Times New Roman" w:hAnsi="Times New Roman" w:cs="Times New Roman"/>
          <w:sz w:val="24"/>
          <w:szCs w:val="24"/>
        </w:rPr>
        <w:t xml:space="preserve">-19 has </w:t>
      </w:r>
      <w:r w:rsidR="00F22256">
        <w:rPr>
          <w:rFonts w:ascii="Times New Roman" w:hAnsi="Times New Roman" w:cs="Times New Roman"/>
          <w:sz w:val="24"/>
          <w:szCs w:val="24"/>
        </w:rPr>
        <w:t>also been varied concerning</w:t>
      </w:r>
      <w:r w:rsidR="00F22256" w:rsidRPr="006A755B">
        <w:rPr>
          <w:rFonts w:ascii="Times New Roman" w:hAnsi="Times New Roman" w:cs="Times New Roman"/>
          <w:sz w:val="24"/>
          <w:szCs w:val="24"/>
        </w:rPr>
        <w:t xml:space="preserve"> income status, with higher income countries bearing more. Usin</w:t>
      </w:r>
      <w:r w:rsidR="00F22256">
        <w:rPr>
          <w:rFonts w:ascii="Times New Roman" w:hAnsi="Times New Roman" w:cs="Times New Roman"/>
          <w:sz w:val="24"/>
          <w:szCs w:val="24"/>
        </w:rPr>
        <w:t>g the ARDL</w:t>
      </w:r>
      <w:r w:rsidR="00F22256" w:rsidRPr="006A755B">
        <w:rPr>
          <w:rFonts w:ascii="Times New Roman" w:hAnsi="Times New Roman" w:cs="Times New Roman"/>
          <w:sz w:val="24"/>
          <w:szCs w:val="24"/>
        </w:rPr>
        <w:t xml:space="preserve"> m</w:t>
      </w:r>
      <w:r w:rsidR="00F22256">
        <w:rPr>
          <w:rFonts w:ascii="Times New Roman" w:hAnsi="Times New Roman" w:cs="Times New Roman"/>
          <w:sz w:val="24"/>
          <w:szCs w:val="24"/>
        </w:rPr>
        <w:t>o</w:t>
      </w:r>
      <w:r w:rsidR="00F22256" w:rsidRPr="000D48CD">
        <w:rPr>
          <w:rFonts w:ascii="Times New Roman" w:hAnsi="Times New Roman" w:cs="Times New Roman"/>
          <w:sz w:val="24"/>
          <w:szCs w:val="24"/>
        </w:rPr>
        <w:t>d</w:t>
      </w:r>
      <w:r w:rsidR="00F22256">
        <w:rPr>
          <w:rFonts w:ascii="Times New Roman" w:hAnsi="Times New Roman" w:cs="Times New Roman"/>
          <w:sz w:val="24"/>
          <w:szCs w:val="24"/>
        </w:rPr>
        <w:t>e</w:t>
      </w:r>
      <w:r w:rsidR="00F22256" w:rsidRPr="000D48CD">
        <w:rPr>
          <w:rFonts w:ascii="Times New Roman" w:hAnsi="Times New Roman" w:cs="Times New Roman"/>
          <w:sz w:val="24"/>
          <w:szCs w:val="24"/>
        </w:rPr>
        <w:t>l</w:t>
      </w:r>
      <w:r w:rsidR="00F22256" w:rsidRPr="006A755B">
        <w:rPr>
          <w:rFonts w:ascii="Times New Roman" w:hAnsi="Times New Roman" w:cs="Times New Roman"/>
          <w:sz w:val="24"/>
          <w:szCs w:val="24"/>
        </w:rPr>
        <w:t xml:space="preserve">, Erokhim </w:t>
      </w:r>
      <w:r w:rsidR="00F22256">
        <w:rPr>
          <w:rFonts w:ascii="Times New Roman" w:hAnsi="Times New Roman" w:cs="Times New Roman"/>
          <w:sz w:val="24"/>
          <w:szCs w:val="24"/>
        </w:rPr>
        <w:t xml:space="preserve">and </w:t>
      </w:r>
      <w:proofErr w:type="gramStart"/>
      <w:r w:rsidR="00F22256" w:rsidRPr="006A755B">
        <w:rPr>
          <w:rFonts w:ascii="Times New Roman" w:hAnsi="Times New Roman" w:cs="Times New Roman"/>
          <w:sz w:val="24"/>
          <w:szCs w:val="24"/>
        </w:rPr>
        <w:t>Gao</w:t>
      </w:r>
      <w:proofErr w:type="gramEnd"/>
      <w:r w:rsidR="00F22256">
        <w:rPr>
          <w:rFonts w:ascii="Times New Roman" w:hAnsi="Times New Roman" w:cs="Times New Roman"/>
          <w:sz w:val="24"/>
          <w:szCs w:val="24"/>
        </w:rPr>
        <w:t xml:space="preserve"> </w:t>
      </w:r>
      <w:r w:rsidR="00F22256" w:rsidRPr="006A755B">
        <w:rPr>
          <w:rFonts w:ascii="Times New Roman" w:hAnsi="Times New Roman" w:cs="Times New Roman"/>
          <w:sz w:val="24"/>
          <w:szCs w:val="24"/>
        </w:rPr>
        <w:t xml:space="preserve">(2020) discovered that </w:t>
      </w:r>
      <w:r w:rsidR="00F22256">
        <w:rPr>
          <w:rFonts w:ascii="Times New Roman" w:hAnsi="Times New Roman" w:cs="Times New Roman"/>
          <w:sz w:val="24"/>
          <w:szCs w:val="24"/>
        </w:rPr>
        <w:t>the pandemic’s</w:t>
      </w:r>
      <w:r w:rsidR="00F22256" w:rsidRPr="00864B17">
        <w:rPr>
          <w:rFonts w:ascii="Times New Roman" w:hAnsi="Times New Roman" w:cs="Times New Roman"/>
          <w:sz w:val="24"/>
          <w:szCs w:val="24"/>
        </w:rPr>
        <w:t xml:space="preserve"> </w:t>
      </w:r>
      <w:r w:rsidR="00F22256">
        <w:rPr>
          <w:rFonts w:ascii="Times New Roman" w:hAnsi="Times New Roman" w:cs="Times New Roman"/>
          <w:sz w:val="24"/>
          <w:szCs w:val="24"/>
        </w:rPr>
        <w:t>impact</w:t>
      </w:r>
      <w:r w:rsidR="00F22256" w:rsidRPr="007A15D3">
        <w:t xml:space="preserve"> </w:t>
      </w:r>
      <w:r w:rsidR="00F22256">
        <w:t xml:space="preserve">on </w:t>
      </w:r>
      <w:r w:rsidR="00F22256" w:rsidRPr="007A15D3">
        <w:rPr>
          <w:rFonts w:ascii="Times New Roman" w:hAnsi="Times New Roman" w:cs="Times New Roman"/>
          <w:sz w:val="24"/>
          <w:szCs w:val="24"/>
        </w:rPr>
        <w:t xml:space="preserve">food insecurity </w:t>
      </w:r>
      <w:r w:rsidR="00F22256" w:rsidRPr="006A755B">
        <w:rPr>
          <w:rFonts w:ascii="Times New Roman" w:hAnsi="Times New Roman" w:cs="Times New Roman"/>
          <w:sz w:val="24"/>
          <w:szCs w:val="24"/>
        </w:rPr>
        <w:t xml:space="preserve">was more noticeable in </w:t>
      </w:r>
      <w:r w:rsidR="00F22256">
        <w:rPr>
          <w:rFonts w:ascii="Times New Roman" w:hAnsi="Times New Roman" w:cs="Times New Roman"/>
          <w:sz w:val="24"/>
          <w:szCs w:val="24"/>
        </w:rPr>
        <w:t>high-income</w:t>
      </w:r>
      <w:r w:rsidR="00F22256" w:rsidRPr="006A755B">
        <w:rPr>
          <w:rFonts w:ascii="Times New Roman" w:hAnsi="Times New Roman" w:cs="Times New Roman"/>
          <w:sz w:val="24"/>
          <w:szCs w:val="24"/>
        </w:rPr>
        <w:t xml:space="preserve"> </w:t>
      </w:r>
      <w:bookmarkStart w:id="3" w:name="_Hlk72349739"/>
      <w:r w:rsidR="00F22256" w:rsidRPr="006A755B">
        <w:rPr>
          <w:rFonts w:ascii="Times New Roman" w:hAnsi="Times New Roman" w:cs="Times New Roman"/>
          <w:sz w:val="24"/>
          <w:szCs w:val="24"/>
        </w:rPr>
        <w:t>economies</w:t>
      </w:r>
      <w:bookmarkEnd w:id="3"/>
      <w:r w:rsidR="00F22256">
        <w:rPr>
          <w:rFonts w:ascii="Times New Roman" w:hAnsi="Times New Roman" w:cs="Times New Roman"/>
          <w:sz w:val="24"/>
          <w:szCs w:val="24"/>
        </w:rPr>
        <w:t xml:space="preserve"> than in </w:t>
      </w:r>
      <w:r w:rsidR="00F22256" w:rsidRPr="00173967">
        <w:rPr>
          <w:rFonts w:ascii="Times New Roman" w:hAnsi="Times New Roman" w:cs="Times New Roman"/>
          <w:sz w:val="24"/>
          <w:szCs w:val="24"/>
        </w:rPr>
        <w:t>l</w:t>
      </w:r>
      <w:r w:rsidR="00F22256">
        <w:rPr>
          <w:rFonts w:ascii="Times New Roman" w:hAnsi="Times New Roman" w:cs="Times New Roman"/>
          <w:sz w:val="24"/>
          <w:szCs w:val="24"/>
        </w:rPr>
        <w:t>ow-income</w:t>
      </w:r>
      <w:r w:rsidR="00F22256" w:rsidRPr="00C5703A">
        <w:t xml:space="preserve"> </w:t>
      </w:r>
      <w:r w:rsidR="00F22256">
        <w:rPr>
          <w:rFonts w:ascii="Times New Roman" w:hAnsi="Times New Roman" w:cs="Times New Roman"/>
          <w:sz w:val="24"/>
          <w:szCs w:val="24"/>
        </w:rPr>
        <w:t xml:space="preserve">economies. </w:t>
      </w:r>
      <w:r w:rsidR="00F22256" w:rsidRPr="006A755B">
        <w:rPr>
          <w:rFonts w:ascii="Times New Roman" w:hAnsi="Times New Roman" w:cs="Times New Roman"/>
          <w:sz w:val="24"/>
          <w:szCs w:val="24"/>
        </w:rPr>
        <w:t>The commo</w:t>
      </w:r>
      <w:r w:rsidR="00F22256">
        <w:rPr>
          <w:rFonts w:ascii="Times New Roman" w:hAnsi="Times New Roman" w:cs="Times New Roman"/>
          <w:sz w:val="24"/>
          <w:szCs w:val="24"/>
        </w:rPr>
        <w:t>dity market and stock market have</w:t>
      </w:r>
      <w:r w:rsidR="00F22256" w:rsidRPr="006A755B">
        <w:rPr>
          <w:rFonts w:ascii="Times New Roman" w:hAnsi="Times New Roman" w:cs="Times New Roman"/>
          <w:sz w:val="24"/>
          <w:szCs w:val="24"/>
        </w:rPr>
        <w:t xml:space="preserve"> had it blow of</w:t>
      </w:r>
      <w:r w:rsidR="00F22256">
        <w:rPr>
          <w:rFonts w:ascii="Times New Roman" w:hAnsi="Times New Roman" w:cs="Times New Roman"/>
          <w:sz w:val="24"/>
          <w:szCs w:val="24"/>
        </w:rPr>
        <w:t>f</w:t>
      </w:r>
      <w:r w:rsidR="00B369F3">
        <w:rPr>
          <w:rFonts w:ascii="Times New Roman" w:hAnsi="Times New Roman" w:cs="Times New Roman"/>
          <w:sz w:val="24"/>
          <w:szCs w:val="24"/>
        </w:rPr>
        <w:t xml:space="preserve"> the C</w:t>
      </w:r>
      <w:r w:rsidR="00F22256" w:rsidRPr="006A755B">
        <w:rPr>
          <w:rFonts w:ascii="Times New Roman" w:hAnsi="Times New Roman" w:cs="Times New Roman"/>
          <w:sz w:val="24"/>
          <w:szCs w:val="24"/>
        </w:rPr>
        <w:t xml:space="preserve">ovid-19 pandemic, with </w:t>
      </w:r>
      <w:r w:rsidR="009A0456">
        <w:rPr>
          <w:rFonts w:ascii="Times New Roman" w:hAnsi="Times New Roman" w:cs="Times New Roman"/>
          <w:sz w:val="24"/>
          <w:szCs w:val="24"/>
        </w:rPr>
        <w:t xml:space="preserve">stock </w:t>
      </w:r>
      <w:r w:rsidR="00F22256" w:rsidRPr="006A755B">
        <w:rPr>
          <w:rFonts w:ascii="Times New Roman" w:hAnsi="Times New Roman" w:cs="Times New Roman"/>
          <w:sz w:val="24"/>
          <w:szCs w:val="24"/>
        </w:rPr>
        <w:t>m</w:t>
      </w:r>
      <w:r w:rsidR="009A0456">
        <w:rPr>
          <w:rFonts w:ascii="Times New Roman" w:hAnsi="Times New Roman" w:cs="Times New Roman"/>
          <w:sz w:val="24"/>
          <w:szCs w:val="24"/>
        </w:rPr>
        <w:t xml:space="preserve">arket returns declining </w:t>
      </w:r>
      <w:r w:rsidR="00F22256">
        <w:rPr>
          <w:rFonts w:ascii="Times New Roman" w:hAnsi="Times New Roman" w:cs="Times New Roman"/>
          <w:noProof/>
          <w:sz w:val="24"/>
          <w:szCs w:val="24"/>
        </w:rPr>
        <w:t xml:space="preserve">(Jelilov </w:t>
      </w:r>
      <w:r w:rsidR="00F22256" w:rsidRPr="003C52F4">
        <w:rPr>
          <w:rFonts w:ascii="Times New Roman" w:hAnsi="Times New Roman" w:cs="Times New Roman"/>
          <w:i/>
          <w:noProof/>
          <w:sz w:val="24"/>
          <w:szCs w:val="24"/>
        </w:rPr>
        <w:t>et al.,</w:t>
      </w:r>
      <w:r w:rsidR="00F22256" w:rsidRPr="00530F86">
        <w:rPr>
          <w:rFonts w:ascii="Times New Roman" w:hAnsi="Times New Roman" w:cs="Times New Roman"/>
          <w:noProof/>
          <w:sz w:val="24"/>
          <w:szCs w:val="24"/>
        </w:rPr>
        <w:t xml:space="preserve"> 2020)</w:t>
      </w:r>
      <w:r w:rsidR="00F22256" w:rsidRPr="006A755B">
        <w:rPr>
          <w:rFonts w:ascii="Times New Roman" w:hAnsi="Times New Roman" w:cs="Times New Roman"/>
          <w:sz w:val="24"/>
          <w:szCs w:val="24"/>
        </w:rPr>
        <w:t>.</w:t>
      </w:r>
    </w:p>
    <w:p w:rsidR="00B60D22" w:rsidRDefault="00FA0D30" w:rsidP="0031000C">
      <w:pPr>
        <w:spacing w:line="360" w:lineRule="auto"/>
        <w:jc w:val="both"/>
        <w:rPr>
          <w:rStyle w:val="websearch-marked"/>
          <w:rFonts w:ascii="Times New Roman" w:hAnsi="Times New Roman" w:cs="Times New Roman"/>
          <w:sz w:val="24"/>
          <w:szCs w:val="24"/>
        </w:rPr>
      </w:pPr>
      <w:r>
        <w:rPr>
          <w:rFonts w:ascii="Times New Roman" w:hAnsi="Times New Roman" w:cs="Times New Roman"/>
          <w:sz w:val="24"/>
          <w:szCs w:val="24"/>
        </w:rPr>
        <w:lastRenderedPageBreak/>
        <w:t xml:space="preserve">    </w:t>
      </w:r>
      <w:r w:rsidR="00055D64" w:rsidRPr="00055D64">
        <w:rPr>
          <w:rFonts w:ascii="Times New Roman" w:hAnsi="Times New Roman" w:cs="Times New Roman"/>
          <w:sz w:val="24"/>
          <w:szCs w:val="24"/>
        </w:rPr>
        <w:t xml:space="preserve">Equally, </w:t>
      </w:r>
      <w:r w:rsidR="00055D64" w:rsidRPr="00055D64">
        <w:rPr>
          <w:rStyle w:val="websearch-marked"/>
          <w:rFonts w:ascii="Times New Roman" w:hAnsi="Times New Roman" w:cs="Times New Roman"/>
          <w:sz w:val="24"/>
          <w:szCs w:val="24"/>
        </w:rPr>
        <w:t xml:space="preserve">on the demand side, </w:t>
      </w:r>
      <w:r w:rsidR="00BA2AD5">
        <w:rPr>
          <w:rStyle w:val="websearch-marked"/>
          <w:rFonts w:ascii="Times New Roman" w:hAnsi="Times New Roman" w:cs="Times New Roman"/>
          <w:sz w:val="24"/>
          <w:szCs w:val="24"/>
        </w:rPr>
        <w:t>the lockdown measures instituted by various governmen</w:t>
      </w:r>
      <w:r w:rsidR="00303877">
        <w:rPr>
          <w:rStyle w:val="websearch-marked"/>
          <w:rFonts w:ascii="Times New Roman" w:hAnsi="Times New Roman" w:cs="Times New Roman"/>
          <w:sz w:val="24"/>
          <w:szCs w:val="24"/>
        </w:rPr>
        <w:t>ts worldwide to mitigate</w:t>
      </w:r>
      <w:r w:rsidR="00BA2AD5">
        <w:rPr>
          <w:rStyle w:val="websearch-marked"/>
          <w:rFonts w:ascii="Times New Roman" w:hAnsi="Times New Roman" w:cs="Times New Roman"/>
          <w:sz w:val="24"/>
          <w:szCs w:val="24"/>
        </w:rPr>
        <w:t xml:space="preserve"> the effects of the pandemic </w:t>
      </w:r>
      <w:r w:rsidR="00055D64">
        <w:rPr>
          <w:rStyle w:val="websearch-marked"/>
          <w:rFonts w:ascii="Times New Roman" w:hAnsi="Times New Roman" w:cs="Times New Roman"/>
          <w:sz w:val="24"/>
          <w:szCs w:val="24"/>
        </w:rPr>
        <w:t xml:space="preserve">slowed down </w:t>
      </w:r>
      <w:r w:rsidR="00055D64" w:rsidRPr="00055D64">
        <w:rPr>
          <w:rStyle w:val="websearch-marked"/>
          <w:rFonts w:ascii="Times New Roman" w:hAnsi="Times New Roman" w:cs="Times New Roman"/>
          <w:sz w:val="24"/>
          <w:szCs w:val="24"/>
        </w:rPr>
        <w:t>p</w:t>
      </w:r>
      <w:r w:rsidR="00BA2AD5">
        <w:rPr>
          <w:rStyle w:val="websearch-marked"/>
          <w:rFonts w:ascii="Times New Roman" w:hAnsi="Times New Roman" w:cs="Times New Roman"/>
          <w:sz w:val="24"/>
          <w:szCs w:val="24"/>
        </w:rPr>
        <w:t>roduction &amp; mobility</w:t>
      </w:r>
      <w:r w:rsidR="00055D64">
        <w:rPr>
          <w:rStyle w:val="websearch-marked"/>
          <w:rFonts w:ascii="Times New Roman" w:hAnsi="Times New Roman" w:cs="Times New Roman"/>
          <w:sz w:val="24"/>
          <w:szCs w:val="24"/>
        </w:rPr>
        <w:t>, generating</w:t>
      </w:r>
      <w:r w:rsidR="00055D64" w:rsidRPr="00055D64">
        <w:rPr>
          <w:rStyle w:val="websearch-marked"/>
          <w:rFonts w:ascii="Times New Roman" w:hAnsi="Times New Roman" w:cs="Times New Roman"/>
          <w:sz w:val="24"/>
          <w:szCs w:val="24"/>
        </w:rPr>
        <w:t xml:space="preserve"> a significant drop in</w:t>
      </w:r>
      <w:r w:rsidR="00055D64">
        <w:rPr>
          <w:rStyle w:val="websearch-marked"/>
          <w:rFonts w:ascii="Times New Roman" w:hAnsi="Times New Roman" w:cs="Times New Roman"/>
          <w:sz w:val="24"/>
          <w:szCs w:val="24"/>
        </w:rPr>
        <w:t xml:space="preserve"> the</w:t>
      </w:r>
      <w:r w:rsidR="00055D64" w:rsidRPr="00055D64">
        <w:rPr>
          <w:rStyle w:val="websearch-marked"/>
          <w:rFonts w:ascii="Times New Roman" w:hAnsi="Times New Roman" w:cs="Times New Roman"/>
          <w:sz w:val="24"/>
          <w:szCs w:val="24"/>
        </w:rPr>
        <w:t xml:space="preserve"> gl</w:t>
      </w:r>
      <w:r w:rsidR="00BA2AD5">
        <w:rPr>
          <w:rStyle w:val="websearch-marked"/>
          <w:rFonts w:ascii="Times New Roman" w:hAnsi="Times New Roman" w:cs="Times New Roman"/>
          <w:sz w:val="24"/>
          <w:szCs w:val="24"/>
        </w:rPr>
        <w:t>obal oil demand.</w:t>
      </w:r>
      <w:r w:rsidR="00B60D22">
        <w:rPr>
          <w:rStyle w:val="websearch-marked"/>
          <w:rFonts w:ascii="Times New Roman" w:hAnsi="Times New Roman" w:cs="Times New Roman"/>
          <w:sz w:val="24"/>
          <w:szCs w:val="24"/>
        </w:rPr>
        <w:t xml:space="preserve"> According to the April 2020 estimates by the</w:t>
      </w:r>
      <w:r w:rsidR="00055D64" w:rsidRPr="00055D64">
        <w:rPr>
          <w:rStyle w:val="websearch-marked"/>
          <w:rFonts w:ascii="Times New Roman" w:hAnsi="Times New Roman" w:cs="Times New Roman"/>
          <w:sz w:val="24"/>
          <w:szCs w:val="24"/>
        </w:rPr>
        <w:t xml:space="preserve"> International En</w:t>
      </w:r>
      <w:r w:rsidR="00B60D22">
        <w:rPr>
          <w:rStyle w:val="websearch-marked"/>
          <w:rFonts w:ascii="Times New Roman" w:hAnsi="Times New Roman" w:cs="Times New Roman"/>
          <w:sz w:val="24"/>
          <w:szCs w:val="24"/>
        </w:rPr>
        <w:t>ergy Agency (IEA</w:t>
      </w:r>
      <w:r w:rsidR="00965C90">
        <w:rPr>
          <w:rStyle w:val="websearch-marked"/>
          <w:rFonts w:ascii="Times New Roman" w:hAnsi="Times New Roman" w:cs="Times New Roman"/>
          <w:sz w:val="24"/>
          <w:szCs w:val="24"/>
        </w:rPr>
        <w:t>, 2020</w:t>
      </w:r>
      <w:r w:rsidR="00B60D22">
        <w:rPr>
          <w:rStyle w:val="websearch-marked"/>
          <w:rFonts w:ascii="Times New Roman" w:hAnsi="Times New Roman" w:cs="Times New Roman"/>
          <w:sz w:val="24"/>
          <w:szCs w:val="24"/>
        </w:rPr>
        <w:t>),</w:t>
      </w:r>
      <w:r w:rsidR="00055D64" w:rsidRPr="00055D64">
        <w:rPr>
          <w:rStyle w:val="websearch-marked"/>
          <w:rFonts w:ascii="Times New Roman" w:hAnsi="Times New Roman" w:cs="Times New Roman"/>
          <w:sz w:val="24"/>
          <w:szCs w:val="24"/>
        </w:rPr>
        <w:t xml:space="preserve"> </w:t>
      </w:r>
      <w:r w:rsidR="00B60D22">
        <w:rPr>
          <w:rStyle w:val="websearch-marked"/>
          <w:rFonts w:ascii="Times New Roman" w:hAnsi="Times New Roman" w:cs="Times New Roman"/>
          <w:sz w:val="24"/>
          <w:szCs w:val="24"/>
        </w:rPr>
        <w:t xml:space="preserve">oil demand dropped by </w:t>
      </w:r>
      <w:r w:rsidR="00965C90">
        <w:rPr>
          <w:rStyle w:val="websearch-marked"/>
          <w:rFonts w:ascii="Times New Roman" w:hAnsi="Times New Roman" w:cs="Times New Roman"/>
          <w:sz w:val="24"/>
          <w:szCs w:val="24"/>
        </w:rPr>
        <w:t xml:space="preserve">a whopping </w:t>
      </w:r>
      <w:r w:rsidR="00B60D22">
        <w:rPr>
          <w:rStyle w:val="websearch-marked"/>
          <w:rFonts w:ascii="Times New Roman" w:hAnsi="Times New Roman" w:cs="Times New Roman"/>
          <w:sz w:val="24"/>
          <w:szCs w:val="24"/>
        </w:rPr>
        <w:t>30% compared to the previous year</w:t>
      </w:r>
      <w:r w:rsidR="00055D64" w:rsidRPr="00055D64">
        <w:rPr>
          <w:rStyle w:val="websearch-marked"/>
          <w:rFonts w:ascii="Times New Roman" w:hAnsi="Times New Roman" w:cs="Times New Roman"/>
          <w:sz w:val="24"/>
          <w:szCs w:val="24"/>
        </w:rPr>
        <w:t xml:space="preserve">, reaching a </w:t>
      </w:r>
      <w:r w:rsidR="00B60D22">
        <w:rPr>
          <w:rStyle w:val="websearch-marked"/>
          <w:rFonts w:ascii="Times New Roman" w:hAnsi="Times New Roman" w:cs="Times New Roman"/>
          <w:sz w:val="24"/>
          <w:szCs w:val="24"/>
        </w:rPr>
        <w:t>low level that has not been witnessed since</w:t>
      </w:r>
      <w:r w:rsidR="00965C90">
        <w:rPr>
          <w:rStyle w:val="websearch-marked"/>
          <w:rFonts w:ascii="Times New Roman" w:hAnsi="Times New Roman" w:cs="Times New Roman"/>
          <w:sz w:val="24"/>
          <w:szCs w:val="24"/>
        </w:rPr>
        <w:t xml:space="preserve"> 1995. </w:t>
      </w:r>
      <w:r w:rsidR="001D1AAA">
        <w:rPr>
          <w:rStyle w:val="websearch-marked"/>
          <w:rFonts w:ascii="Times New Roman" w:hAnsi="Times New Roman" w:cs="Times New Roman"/>
          <w:sz w:val="24"/>
          <w:szCs w:val="24"/>
        </w:rPr>
        <w:t xml:space="preserve">However, oil prices are projected to rebound and steadily increase in the long run as economies globally continue to </w:t>
      </w:r>
      <w:r w:rsidR="00306276">
        <w:rPr>
          <w:rStyle w:val="websearch-marked"/>
          <w:rFonts w:ascii="Times New Roman" w:hAnsi="Times New Roman" w:cs="Times New Roman"/>
          <w:sz w:val="24"/>
          <w:szCs w:val="24"/>
        </w:rPr>
        <w:t>stabilize</w:t>
      </w:r>
      <w:r w:rsidR="001D1AAA">
        <w:rPr>
          <w:rStyle w:val="websearch-marked"/>
          <w:rFonts w:ascii="Times New Roman" w:hAnsi="Times New Roman" w:cs="Times New Roman"/>
          <w:sz w:val="24"/>
          <w:szCs w:val="24"/>
        </w:rPr>
        <w:t xml:space="preserve"> (IEA, 2020).</w:t>
      </w:r>
    </w:p>
    <w:p w:rsidR="00934C73" w:rsidRDefault="00F22256" w:rsidP="0031000C">
      <w:pPr>
        <w:spacing w:line="360" w:lineRule="auto"/>
        <w:jc w:val="both"/>
        <w:rPr>
          <w:rFonts w:ascii="Times New Roman" w:hAnsi="Times New Roman" w:cs="Times New Roman"/>
          <w:b/>
          <w:sz w:val="24"/>
          <w:szCs w:val="24"/>
        </w:rPr>
      </w:pPr>
      <w:r w:rsidRPr="00F22256">
        <w:rPr>
          <w:rFonts w:ascii="Times New Roman" w:hAnsi="Times New Roman" w:cs="Times New Roman"/>
          <w:b/>
          <w:sz w:val="24"/>
          <w:szCs w:val="24"/>
        </w:rPr>
        <w:t>2.2 COVID-19 im</w:t>
      </w:r>
      <w:r w:rsidR="005B493D">
        <w:rPr>
          <w:rFonts w:ascii="Times New Roman" w:hAnsi="Times New Roman" w:cs="Times New Roman"/>
          <w:b/>
          <w:sz w:val="24"/>
          <w:szCs w:val="24"/>
        </w:rPr>
        <w:t>pacts on health system capacity</w:t>
      </w:r>
    </w:p>
    <w:p w:rsidR="00793572" w:rsidRDefault="0031000C" w:rsidP="0031000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E0BE0" w:rsidRPr="006A755B">
        <w:rPr>
          <w:rFonts w:ascii="Times New Roman" w:hAnsi="Times New Roman" w:cs="Times New Roman"/>
          <w:sz w:val="24"/>
          <w:szCs w:val="24"/>
        </w:rPr>
        <w:t>In containing the outbreak and its impact on the economy</w:t>
      </w:r>
      <w:r w:rsidR="00F22256">
        <w:rPr>
          <w:rFonts w:ascii="Times New Roman" w:hAnsi="Times New Roman" w:cs="Times New Roman"/>
          <w:sz w:val="24"/>
          <w:szCs w:val="24"/>
        </w:rPr>
        <w:t>,</w:t>
      </w:r>
      <w:r w:rsidR="003025C4">
        <w:rPr>
          <w:rFonts w:ascii="Times New Roman" w:hAnsi="Times New Roman" w:cs="Times New Roman"/>
          <w:sz w:val="24"/>
          <w:szCs w:val="24"/>
        </w:rPr>
        <w:t xml:space="preserve"> some studies have </w:t>
      </w:r>
      <w:r w:rsidR="00EE0BE0" w:rsidRPr="006A755B">
        <w:rPr>
          <w:rFonts w:ascii="Times New Roman" w:hAnsi="Times New Roman" w:cs="Times New Roman"/>
          <w:sz w:val="24"/>
          <w:szCs w:val="24"/>
        </w:rPr>
        <w:t>suggested an increase in in</w:t>
      </w:r>
      <w:r w:rsidR="003025C4">
        <w:rPr>
          <w:rFonts w:ascii="Times New Roman" w:hAnsi="Times New Roman" w:cs="Times New Roman"/>
          <w:sz w:val="24"/>
          <w:szCs w:val="24"/>
        </w:rPr>
        <w:t xml:space="preserve">vestment in the health system </w:t>
      </w:r>
      <w:r w:rsidR="00D60F8B">
        <w:rPr>
          <w:rFonts w:ascii="Times New Roman" w:hAnsi="Times New Roman" w:cs="Times New Roman"/>
          <w:sz w:val="24"/>
          <w:szCs w:val="24"/>
        </w:rPr>
        <w:t>and travel</w:t>
      </w:r>
      <w:r w:rsidR="00303877">
        <w:rPr>
          <w:rFonts w:ascii="Times New Roman" w:hAnsi="Times New Roman" w:cs="Times New Roman"/>
          <w:sz w:val="24"/>
          <w:szCs w:val="24"/>
        </w:rPr>
        <w:t xml:space="preserve">ing </w:t>
      </w:r>
      <w:r w:rsidR="008A61B1">
        <w:rPr>
          <w:rFonts w:ascii="Times New Roman" w:hAnsi="Times New Roman" w:cs="Times New Roman"/>
          <w:sz w:val="24"/>
          <w:szCs w:val="24"/>
        </w:rPr>
        <w:t>restrict</w:t>
      </w:r>
      <w:r w:rsidR="003025C4">
        <w:rPr>
          <w:rFonts w:ascii="Times New Roman" w:hAnsi="Times New Roman" w:cs="Times New Roman"/>
          <w:sz w:val="24"/>
          <w:szCs w:val="24"/>
        </w:rPr>
        <w:t xml:space="preserve">ion measures. </w:t>
      </w:r>
      <w:r w:rsidR="008A61B1">
        <w:rPr>
          <w:rFonts w:ascii="Times New Roman" w:hAnsi="Times New Roman" w:cs="Times New Roman"/>
          <w:sz w:val="24"/>
          <w:szCs w:val="24"/>
        </w:rPr>
        <w:t>Ataguba (202</w:t>
      </w:r>
      <w:r w:rsidR="00B2642E">
        <w:rPr>
          <w:rFonts w:ascii="Times New Roman" w:hAnsi="Times New Roman" w:cs="Times New Roman"/>
          <w:sz w:val="24"/>
          <w:szCs w:val="24"/>
        </w:rPr>
        <w:t>0) &amp; McKibbin and Fernando (2020</w:t>
      </w:r>
      <w:r w:rsidR="008A61B1">
        <w:rPr>
          <w:rFonts w:ascii="Times New Roman" w:hAnsi="Times New Roman" w:cs="Times New Roman"/>
          <w:sz w:val="24"/>
          <w:szCs w:val="24"/>
        </w:rPr>
        <w:t xml:space="preserve">) </w:t>
      </w:r>
      <w:r w:rsidR="003025C4">
        <w:rPr>
          <w:rFonts w:ascii="Times New Roman" w:hAnsi="Times New Roman" w:cs="Times New Roman"/>
          <w:sz w:val="24"/>
          <w:szCs w:val="24"/>
        </w:rPr>
        <w:t>used a global hybrid DSGE/CGE model to show</w:t>
      </w:r>
      <w:r w:rsidR="00EE0BE0" w:rsidRPr="006A755B">
        <w:rPr>
          <w:rFonts w:ascii="Times New Roman" w:hAnsi="Times New Roman" w:cs="Times New Roman"/>
          <w:sz w:val="24"/>
          <w:szCs w:val="24"/>
        </w:rPr>
        <w:t xml:space="preserve"> that even a </w:t>
      </w:r>
      <w:r w:rsidR="00EE0BE0">
        <w:rPr>
          <w:rFonts w:ascii="Times New Roman" w:hAnsi="Times New Roman" w:cs="Times New Roman"/>
          <w:sz w:val="24"/>
          <w:szCs w:val="24"/>
        </w:rPr>
        <w:t>contro</w:t>
      </w:r>
      <w:r w:rsidR="00EE0BE0" w:rsidRPr="007E0C99">
        <w:rPr>
          <w:rFonts w:ascii="Times New Roman" w:hAnsi="Times New Roman" w:cs="Times New Roman"/>
          <w:sz w:val="24"/>
          <w:szCs w:val="24"/>
        </w:rPr>
        <w:t>ll</w:t>
      </w:r>
      <w:r w:rsidR="00EE0BE0">
        <w:rPr>
          <w:rFonts w:ascii="Times New Roman" w:hAnsi="Times New Roman" w:cs="Times New Roman"/>
          <w:sz w:val="24"/>
          <w:szCs w:val="24"/>
        </w:rPr>
        <w:t>ed</w:t>
      </w:r>
      <w:r w:rsidR="00EE0BE0" w:rsidRPr="006A755B">
        <w:rPr>
          <w:rFonts w:ascii="Times New Roman" w:hAnsi="Times New Roman" w:cs="Times New Roman"/>
          <w:sz w:val="24"/>
          <w:szCs w:val="24"/>
        </w:rPr>
        <w:t xml:space="preserve"> outbreak can </w:t>
      </w:r>
      <w:r w:rsidR="00EE0BE0" w:rsidRPr="003E5F57">
        <w:rPr>
          <w:rFonts w:ascii="Times New Roman" w:hAnsi="Times New Roman" w:cs="Times New Roman"/>
          <w:sz w:val="24"/>
          <w:szCs w:val="24"/>
        </w:rPr>
        <w:t>s</w:t>
      </w:r>
      <w:r w:rsidR="00EE0BE0">
        <w:rPr>
          <w:rFonts w:ascii="Times New Roman" w:hAnsi="Times New Roman" w:cs="Times New Roman"/>
          <w:sz w:val="24"/>
          <w:szCs w:val="24"/>
        </w:rPr>
        <w:t>ub</w:t>
      </w:r>
      <w:r w:rsidR="00EE0BE0" w:rsidRPr="003E5F57">
        <w:rPr>
          <w:rFonts w:ascii="Times New Roman" w:hAnsi="Times New Roman" w:cs="Times New Roman"/>
          <w:sz w:val="24"/>
          <w:szCs w:val="24"/>
        </w:rPr>
        <w:t>s</w:t>
      </w:r>
      <w:r w:rsidR="00EE0BE0">
        <w:rPr>
          <w:rFonts w:ascii="Times New Roman" w:hAnsi="Times New Roman" w:cs="Times New Roman"/>
          <w:sz w:val="24"/>
          <w:szCs w:val="24"/>
        </w:rPr>
        <w:t>tantially</w:t>
      </w:r>
      <w:r w:rsidR="003025C4">
        <w:rPr>
          <w:rFonts w:ascii="Times New Roman" w:hAnsi="Times New Roman" w:cs="Times New Roman"/>
          <w:sz w:val="24"/>
          <w:szCs w:val="24"/>
        </w:rPr>
        <w:t xml:space="preserve"> influence</w:t>
      </w:r>
      <w:r w:rsidR="00EE0BE0" w:rsidRPr="006A755B">
        <w:rPr>
          <w:rFonts w:ascii="Times New Roman" w:hAnsi="Times New Roman" w:cs="Times New Roman"/>
          <w:sz w:val="24"/>
          <w:szCs w:val="24"/>
        </w:rPr>
        <w:t xml:space="preserve"> </w:t>
      </w:r>
      <w:r w:rsidR="00EE0BE0">
        <w:rPr>
          <w:rFonts w:ascii="Times New Roman" w:hAnsi="Times New Roman" w:cs="Times New Roman"/>
          <w:sz w:val="24"/>
          <w:szCs w:val="24"/>
        </w:rPr>
        <w:t>economies worldwide</w:t>
      </w:r>
      <w:r w:rsidR="00EE0BE0" w:rsidRPr="006A755B">
        <w:rPr>
          <w:rFonts w:ascii="Times New Roman" w:hAnsi="Times New Roman" w:cs="Times New Roman"/>
          <w:sz w:val="24"/>
          <w:szCs w:val="24"/>
        </w:rPr>
        <w:t xml:space="preserve"> in the short run but with increased investment in public health system</w:t>
      </w:r>
      <w:bookmarkStart w:id="4" w:name="_Hlk72348223"/>
      <w:r w:rsidR="00EE0BE0" w:rsidRPr="006A755B">
        <w:rPr>
          <w:rFonts w:ascii="Times New Roman" w:hAnsi="Times New Roman" w:cs="Times New Roman"/>
          <w:sz w:val="24"/>
          <w:szCs w:val="24"/>
        </w:rPr>
        <w:t>s</w:t>
      </w:r>
      <w:bookmarkEnd w:id="4"/>
      <w:r w:rsidR="00EE0BE0" w:rsidRPr="006A755B">
        <w:rPr>
          <w:rFonts w:ascii="Times New Roman" w:hAnsi="Times New Roman" w:cs="Times New Roman"/>
          <w:sz w:val="24"/>
          <w:szCs w:val="24"/>
        </w:rPr>
        <w:t xml:space="preserve">, economic costs related to </w:t>
      </w:r>
      <w:bookmarkStart w:id="5" w:name="_Hlk72350261"/>
      <w:bookmarkStart w:id="6" w:name="_Hlk72349858"/>
      <w:r w:rsidR="00EE0BE0" w:rsidRPr="006A755B">
        <w:rPr>
          <w:rFonts w:ascii="Times New Roman" w:hAnsi="Times New Roman" w:cs="Times New Roman"/>
          <w:sz w:val="24"/>
          <w:szCs w:val="24"/>
        </w:rPr>
        <w:t>coronavirus</w:t>
      </w:r>
      <w:bookmarkEnd w:id="5"/>
      <w:r w:rsidR="00EE0BE0" w:rsidRPr="006A755B">
        <w:rPr>
          <w:rFonts w:ascii="Times New Roman" w:hAnsi="Times New Roman" w:cs="Times New Roman"/>
          <w:sz w:val="24"/>
          <w:szCs w:val="24"/>
        </w:rPr>
        <w:t xml:space="preserve"> pandemic </w:t>
      </w:r>
      <w:bookmarkEnd w:id="6"/>
      <w:r w:rsidR="00EE0BE0" w:rsidRPr="006A755B">
        <w:rPr>
          <w:rFonts w:ascii="Times New Roman" w:hAnsi="Times New Roman" w:cs="Times New Roman"/>
          <w:sz w:val="24"/>
          <w:szCs w:val="24"/>
        </w:rPr>
        <w:t>could be reduced.</w:t>
      </w:r>
    </w:p>
    <w:p w:rsidR="00536421" w:rsidRDefault="00793572" w:rsidP="0031000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F5B35">
        <w:rPr>
          <w:rFonts w:ascii="Times New Roman" w:hAnsi="Times New Roman" w:cs="Times New Roman"/>
          <w:color w:val="000000"/>
          <w:sz w:val="24"/>
          <w:szCs w:val="24"/>
        </w:rPr>
        <w:t>H</w:t>
      </w:r>
      <w:r w:rsidR="00B2642E" w:rsidRPr="00B2642E">
        <w:rPr>
          <w:rFonts w:ascii="Times New Roman" w:hAnsi="Times New Roman" w:cs="Times New Roman"/>
          <w:color w:val="000000"/>
          <w:sz w:val="24"/>
          <w:szCs w:val="24"/>
        </w:rPr>
        <w:t>eal</w:t>
      </w:r>
      <w:r w:rsidR="008F6981">
        <w:rPr>
          <w:rFonts w:ascii="Times New Roman" w:hAnsi="Times New Roman" w:cs="Times New Roman"/>
          <w:color w:val="000000"/>
          <w:sz w:val="24"/>
          <w:szCs w:val="24"/>
        </w:rPr>
        <w:t xml:space="preserve">th systems become challenged </w:t>
      </w:r>
      <w:r w:rsidR="00BF5B35">
        <w:rPr>
          <w:rFonts w:ascii="Times New Roman" w:hAnsi="Times New Roman" w:cs="Times New Roman"/>
          <w:color w:val="000000"/>
          <w:sz w:val="24"/>
          <w:szCs w:val="24"/>
        </w:rPr>
        <w:t xml:space="preserve">globally </w:t>
      </w:r>
      <w:r w:rsidR="008F6981">
        <w:rPr>
          <w:rFonts w:ascii="Times New Roman" w:hAnsi="Times New Roman" w:cs="Times New Roman"/>
          <w:color w:val="000000"/>
          <w:sz w:val="24"/>
          <w:szCs w:val="24"/>
        </w:rPr>
        <w:t>in the wake o</w:t>
      </w:r>
      <w:r w:rsidR="00BF5B35">
        <w:rPr>
          <w:rFonts w:ascii="Times New Roman" w:hAnsi="Times New Roman" w:cs="Times New Roman"/>
          <w:color w:val="000000"/>
          <w:sz w:val="24"/>
          <w:szCs w:val="24"/>
        </w:rPr>
        <w:t>f epidemics as they trigger a</w:t>
      </w:r>
      <w:r w:rsidR="00B2642E" w:rsidRPr="00B2642E">
        <w:rPr>
          <w:rFonts w:ascii="Times New Roman" w:hAnsi="Times New Roman" w:cs="Times New Roman"/>
          <w:color w:val="000000"/>
          <w:sz w:val="24"/>
          <w:szCs w:val="24"/>
        </w:rPr>
        <w:t xml:space="preserve"> </w:t>
      </w:r>
      <w:r w:rsidR="008F6981" w:rsidRPr="00B2642E">
        <w:rPr>
          <w:rFonts w:ascii="Times New Roman" w:hAnsi="Times New Roman" w:cs="Times New Roman"/>
          <w:color w:val="000000"/>
          <w:sz w:val="24"/>
          <w:szCs w:val="24"/>
        </w:rPr>
        <w:t>critical</w:t>
      </w:r>
      <w:r w:rsidR="00B2642E" w:rsidRPr="00B2642E">
        <w:rPr>
          <w:rFonts w:ascii="Times New Roman" w:hAnsi="Times New Roman" w:cs="Times New Roman"/>
          <w:color w:val="000000"/>
          <w:sz w:val="24"/>
          <w:szCs w:val="24"/>
        </w:rPr>
        <w:t xml:space="preserve"> increase in the</w:t>
      </w:r>
      <w:r w:rsidR="00B2642E">
        <w:rPr>
          <w:rFonts w:ascii="Times New Roman" w:hAnsi="Times New Roman" w:cs="Times New Roman"/>
          <w:color w:val="000000"/>
          <w:sz w:val="24"/>
          <w:szCs w:val="24"/>
        </w:rPr>
        <w:t xml:space="preserve"> </w:t>
      </w:r>
      <w:r w:rsidR="00BF5B35">
        <w:rPr>
          <w:rFonts w:ascii="Times New Roman" w:hAnsi="Times New Roman" w:cs="Times New Roman"/>
          <w:color w:val="000000"/>
          <w:sz w:val="24"/>
          <w:szCs w:val="24"/>
        </w:rPr>
        <w:t xml:space="preserve">demand for health services (Tsai </w:t>
      </w:r>
      <w:r w:rsidR="00BF5B35" w:rsidRPr="003C52F4">
        <w:rPr>
          <w:rFonts w:ascii="Times New Roman" w:hAnsi="Times New Roman" w:cs="Times New Roman"/>
          <w:i/>
          <w:color w:val="000000"/>
          <w:sz w:val="24"/>
          <w:szCs w:val="24"/>
        </w:rPr>
        <w:t>et al.,</w:t>
      </w:r>
      <w:r w:rsidR="00BF5B35">
        <w:rPr>
          <w:rFonts w:ascii="Times New Roman" w:hAnsi="Times New Roman" w:cs="Times New Roman"/>
          <w:color w:val="000000"/>
          <w:sz w:val="24"/>
          <w:szCs w:val="24"/>
        </w:rPr>
        <w:t xml:space="preserve"> 2020; Verhagen </w:t>
      </w:r>
      <w:r w:rsidR="00BF5B35" w:rsidRPr="003C52F4">
        <w:rPr>
          <w:rFonts w:ascii="Times New Roman" w:hAnsi="Times New Roman" w:cs="Times New Roman"/>
          <w:i/>
          <w:color w:val="000000"/>
          <w:sz w:val="24"/>
          <w:szCs w:val="24"/>
        </w:rPr>
        <w:t>et al.,</w:t>
      </w:r>
      <w:r w:rsidR="00B2642E" w:rsidRPr="00B2642E">
        <w:rPr>
          <w:rFonts w:ascii="Times New Roman" w:hAnsi="Times New Roman" w:cs="Times New Roman"/>
          <w:color w:val="000000"/>
          <w:sz w:val="24"/>
          <w:szCs w:val="24"/>
        </w:rPr>
        <w:t xml:space="preserve"> </w:t>
      </w:r>
      <w:r w:rsidR="00BF5B35" w:rsidRPr="00BF5B35">
        <w:rPr>
          <w:rFonts w:ascii="Times New Roman" w:hAnsi="Times New Roman" w:cs="Times New Roman"/>
          <w:sz w:val="24"/>
          <w:szCs w:val="24"/>
        </w:rPr>
        <w:t>2020)</w:t>
      </w:r>
      <w:r w:rsidR="00B2642E" w:rsidRPr="00B2642E">
        <w:rPr>
          <w:rFonts w:ascii="Times New Roman" w:hAnsi="Times New Roman" w:cs="Times New Roman"/>
          <w:color w:val="000000"/>
          <w:sz w:val="24"/>
          <w:szCs w:val="24"/>
        </w:rPr>
        <w:t xml:space="preserve">. </w:t>
      </w:r>
      <w:r w:rsidR="00BF5B35">
        <w:rPr>
          <w:rFonts w:ascii="Times New Roman" w:hAnsi="Times New Roman" w:cs="Times New Roman"/>
          <w:color w:val="000000"/>
          <w:sz w:val="24"/>
          <w:szCs w:val="24"/>
        </w:rPr>
        <w:t xml:space="preserve">This strident surge in the demand for health services has to be absorbed by the existing healthcare systems. However, </w:t>
      </w:r>
      <w:r w:rsidR="00F95E7D">
        <w:rPr>
          <w:rFonts w:ascii="Times New Roman" w:hAnsi="Times New Roman" w:cs="Times New Roman"/>
          <w:color w:val="000000"/>
          <w:sz w:val="24"/>
          <w:szCs w:val="24"/>
        </w:rPr>
        <w:t>this becomes a tall order since medical facilities are</w:t>
      </w:r>
      <w:r w:rsidR="00FB6955">
        <w:rPr>
          <w:rFonts w:ascii="Times New Roman" w:hAnsi="Times New Roman" w:cs="Times New Roman"/>
          <w:color w:val="000000"/>
          <w:sz w:val="24"/>
          <w:szCs w:val="24"/>
        </w:rPr>
        <w:t xml:space="preserve"> typically intended to cater to</w:t>
      </w:r>
      <w:r w:rsidR="00F95E7D">
        <w:rPr>
          <w:rFonts w:ascii="Times New Roman" w:hAnsi="Times New Roman" w:cs="Times New Roman"/>
          <w:color w:val="000000"/>
          <w:sz w:val="24"/>
          <w:szCs w:val="24"/>
        </w:rPr>
        <w:t xml:space="preserve"> just average healthcare demand and not epidemics of this nature (Cavallo </w:t>
      </w:r>
      <w:r w:rsidR="00F95E7D" w:rsidRPr="003C52F4">
        <w:rPr>
          <w:rFonts w:ascii="Times New Roman" w:hAnsi="Times New Roman" w:cs="Times New Roman"/>
          <w:i/>
          <w:color w:val="000000"/>
          <w:sz w:val="24"/>
          <w:szCs w:val="24"/>
        </w:rPr>
        <w:t>et al.,</w:t>
      </w:r>
      <w:r w:rsidR="00F95E7D">
        <w:rPr>
          <w:rFonts w:ascii="Times New Roman" w:hAnsi="Times New Roman" w:cs="Times New Roman"/>
          <w:color w:val="000000"/>
          <w:sz w:val="24"/>
          <w:szCs w:val="24"/>
        </w:rPr>
        <w:t xml:space="preserve"> 2020).</w:t>
      </w:r>
    </w:p>
    <w:p w:rsidR="00FC76C3" w:rsidRDefault="00536421" w:rsidP="00FC76C3">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E359C2">
        <w:rPr>
          <w:rFonts w:ascii="Times New Roman" w:hAnsi="Times New Roman" w:cs="Times New Roman"/>
          <w:color w:val="000000"/>
          <w:sz w:val="24"/>
          <w:szCs w:val="24"/>
        </w:rPr>
        <w:t>The pandemic imposes enormous demands on</w:t>
      </w:r>
      <w:r w:rsidR="00B2642E">
        <w:rPr>
          <w:rFonts w:ascii="Times New Roman" w:hAnsi="Times New Roman" w:cs="Times New Roman"/>
          <w:color w:val="000000"/>
          <w:sz w:val="24"/>
          <w:szCs w:val="24"/>
        </w:rPr>
        <w:t xml:space="preserve"> the health system </w:t>
      </w:r>
      <w:r w:rsidR="00E359C2">
        <w:rPr>
          <w:rFonts w:ascii="Times New Roman" w:hAnsi="Times New Roman" w:cs="Times New Roman"/>
          <w:color w:val="000000"/>
          <w:sz w:val="24"/>
          <w:szCs w:val="24"/>
        </w:rPr>
        <w:t xml:space="preserve">which encompasses; </w:t>
      </w:r>
      <w:r w:rsidR="00B2642E" w:rsidRPr="00B2642E">
        <w:rPr>
          <w:rFonts w:ascii="Times New Roman" w:hAnsi="Times New Roman" w:cs="Times New Roman"/>
          <w:color w:val="000000"/>
          <w:sz w:val="24"/>
          <w:szCs w:val="24"/>
        </w:rPr>
        <w:t>screen</w:t>
      </w:r>
      <w:r w:rsidR="00E359C2">
        <w:rPr>
          <w:rFonts w:ascii="Times New Roman" w:hAnsi="Times New Roman" w:cs="Times New Roman"/>
          <w:color w:val="000000"/>
          <w:sz w:val="24"/>
          <w:szCs w:val="24"/>
        </w:rPr>
        <w:t>ing &amp;</w:t>
      </w:r>
      <w:r w:rsidR="00B2642E" w:rsidRPr="00B2642E">
        <w:rPr>
          <w:rFonts w:ascii="Times New Roman" w:hAnsi="Times New Roman" w:cs="Times New Roman"/>
          <w:color w:val="000000"/>
          <w:sz w:val="24"/>
          <w:szCs w:val="24"/>
        </w:rPr>
        <w:t xml:space="preserve"> test</w:t>
      </w:r>
      <w:r w:rsidR="00E359C2">
        <w:rPr>
          <w:rFonts w:ascii="Times New Roman" w:hAnsi="Times New Roman" w:cs="Times New Roman"/>
          <w:color w:val="000000"/>
          <w:sz w:val="24"/>
          <w:szCs w:val="24"/>
        </w:rPr>
        <w:t>ing of the</w:t>
      </w:r>
      <w:r w:rsidR="00B2642E" w:rsidRPr="00B2642E">
        <w:rPr>
          <w:rFonts w:ascii="Times New Roman" w:hAnsi="Times New Roman" w:cs="Times New Roman"/>
          <w:color w:val="000000"/>
          <w:sz w:val="24"/>
          <w:szCs w:val="24"/>
        </w:rPr>
        <w:t xml:space="preserve"> suspected cases,</w:t>
      </w:r>
      <w:r w:rsidR="00E359C2">
        <w:rPr>
          <w:rFonts w:ascii="Times New Roman" w:hAnsi="Times New Roman" w:cs="Times New Roman"/>
          <w:color w:val="000000"/>
          <w:sz w:val="24"/>
          <w:szCs w:val="24"/>
        </w:rPr>
        <w:t xml:space="preserve"> contact tracing,</w:t>
      </w:r>
      <w:r w:rsidR="00B2642E">
        <w:rPr>
          <w:rFonts w:ascii="Times New Roman" w:hAnsi="Times New Roman" w:cs="Times New Roman"/>
          <w:color w:val="000000"/>
          <w:sz w:val="24"/>
          <w:szCs w:val="24"/>
        </w:rPr>
        <w:t xml:space="preserve"> isolation of </w:t>
      </w:r>
      <w:r w:rsidR="00E359C2">
        <w:rPr>
          <w:rFonts w:ascii="Times New Roman" w:hAnsi="Times New Roman" w:cs="Times New Roman"/>
          <w:color w:val="000000"/>
          <w:sz w:val="24"/>
          <w:szCs w:val="24"/>
        </w:rPr>
        <w:t xml:space="preserve">confirmed cases as well as </w:t>
      </w:r>
      <w:r w:rsidR="00964EF6">
        <w:rPr>
          <w:rFonts w:ascii="Times New Roman" w:hAnsi="Times New Roman" w:cs="Times New Roman"/>
          <w:color w:val="000000"/>
          <w:sz w:val="24"/>
          <w:szCs w:val="24"/>
        </w:rPr>
        <w:t xml:space="preserve">those </w:t>
      </w:r>
      <w:r w:rsidR="00FB6955">
        <w:rPr>
          <w:rFonts w:ascii="Times New Roman" w:hAnsi="Times New Roman" w:cs="Times New Roman"/>
          <w:color w:val="000000"/>
          <w:sz w:val="24"/>
          <w:szCs w:val="24"/>
        </w:rPr>
        <w:t xml:space="preserve">critical cases that demand </w:t>
      </w:r>
      <w:r w:rsidR="00964EF6">
        <w:rPr>
          <w:rFonts w:ascii="Times New Roman" w:hAnsi="Times New Roman" w:cs="Times New Roman"/>
          <w:color w:val="000000"/>
          <w:sz w:val="24"/>
          <w:szCs w:val="24"/>
        </w:rPr>
        <w:t>intensive care (WHO, 2020)</w:t>
      </w:r>
      <w:r w:rsidR="00B2642E">
        <w:rPr>
          <w:rFonts w:ascii="Times New Roman" w:hAnsi="Times New Roman" w:cs="Times New Roman"/>
          <w:color w:val="000000"/>
          <w:sz w:val="24"/>
          <w:szCs w:val="24"/>
        </w:rPr>
        <w:t xml:space="preserve">. </w:t>
      </w:r>
      <w:r w:rsidR="00964EF6">
        <w:rPr>
          <w:rFonts w:ascii="Times New Roman" w:hAnsi="Times New Roman" w:cs="Times New Roman"/>
          <w:color w:val="000000"/>
          <w:sz w:val="24"/>
          <w:szCs w:val="24"/>
        </w:rPr>
        <w:t>In the early phase of the pandemic, sev</w:t>
      </w:r>
      <w:r w:rsidR="00DC73AB">
        <w:rPr>
          <w:rFonts w:ascii="Times New Roman" w:hAnsi="Times New Roman" w:cs="Times New Roman"/>
          <w:color w:val="000000"/>
          <w:sz w:val="24"/>
          <w:szCs w:val="24"/>
        </w:rPr>
        <w:t>eral countries worldwide namely,</w:t>
      </w:r>
      <w:r w:rsidR="00964EF6">
        <w:rPr>
          <w:rFonts w:ascii="Times New Roman" w:hAnsi="Times New Roman" w:cs="Times New Roman"/>
          <w:color w:val="000000"/>
          <w:sz w:val="24"/>
          <w:szCs w:val="24"/>
        </w:rPr>
        <w:t xml:space="preserve"> China, Italy, </w:t>
      </w:r>
      <w:r w:rsidR="00964EF6" w:rsidRPr="00B2642E">
        <w:rPr>
          <w:rFonts w:ascii="Times New Roman" w:hAnsi="Times New Roman" w:cs="Times New Roman"/>
          <w:color w:val="000000"/>
          <w:sz w:val="24"/>
          <w:szCs w:val="24"/>
        </w:rPr>
        <w:t>Sp</w:t>
      </w:r>
      <w:r w:rsidR="00964EF6">
        <w:rPr>
          <w:rFonts w:ascii="Times New Roman" w:hAnsi="Times New Roman" w:cs="Times New Roman"/>
          <w:color w:val="000000"/>
          <w:sz w:val="24"/>
          <w:szCs w:val="24"/>
        </w:rPr>
        <w:t>ain &amp;</w:t>
      </w:r>
      <w:r w:rsidR="00964EF6" w:rsidRPr="00B2642E">
        <w:rPr>
          <w:rFonts w:ascii="Times New Roman" w:hAnsi="Times New Roman" w:cs="Times New Roman"/>
          <w:color w:val="000000"/>
          <w:sz w:val="24"/>
          <w:szCs w:val="24"/>
        </w:rPr>
        <w:t xml:space="preserve"> the United States </w:t>
      </w:r>
      <w:r w:rsidR="00DC73AB">
        <w:rPr>
          <w:rFonts w:ascii="Times New Roman" w:hAnsi="Times New Roman" w:cs="Times New Roman"/>
          <w:color w:val="000000"/>
          <w:sz w:val="24"/>
          <w:szCs w:val="24"/>
        </w:rPr>
        <w:t>reported</w:t>
      </w:r>
      <w:r w:rsidR="00B2642E" w:rsidRPr="00B2642E">
        <w:rPr>
          <w:rFonts w:ascii="Times New Roman" w:hAnsi="Times New Roman" w:cs="Times New Roman"/>
          <w:color w:val="000000"/>
          <w:sz w:val="24"/>
          <w:szCs w:val="24"/>
        </w:rPr>
        <w:t xml:space="preserve"> sudden surges in COVID-19</w:t>
      </w:r>
      <w:r w:rsidR="00964EF6">
        <w:rPr>
          <w:rFonts w:ascii="Times New Roman" w:hAnsi="Times New Roman" w:cs="Times New Roman"/>
          <w:color w:val="000000"/>
          <w:sz w:val="24"/>
          <w:szCs w:val="24"/>
        </w:rPr>
        <w:t xml:space="preserve"> cases despite their </w:t>
      </w:r>
      <w:r w:rsidR="00B2642E" w:rsidRPr="00B2642E">
        <w:rPr>
          <w:rFonts w:ascii="Times New Roman" w:hAnsi="Times New Roman" w:cs="Times New Roman"/>
          <w:color w:val="000000"/>
          <w:sz w:val="24"/>
          <w:szCs w:val="24"/>
        </w:rPr>
        <w:t>more sophisticated and</w:t>
      </w:r>
      <w:r w:rsidR="00B2642E">
        <w:rPr>
          <w:rFonts w:ascii="Times New Roman" w:hAnsi="Times New Roman" w:cs="Times New Roman"/>
          <w:color w:val="000000"/>
          <w:sz w:val="24"/>
          <w:szCs w:val="24"/>
        </w:rPr>
        <w:t xml:space="preserve"> well-resourced health systems</w:t>
      </w:r>
      <w:r w:rsidR="00DF749B">
        <w:rPr>
          <w:rFonts w:ascii="Times New Roman" w:hAnsi="Times New Roman" w:cs="Times New Roman"/>
          <w:color w:val="000000"/>
          <w:sz w:val="24"/>
          <w:szCs w:val="24"/>
        </w:rPr>
        <w:t>. Further, the Institute for Health Metrics (IHME, 2020)</w:t>
      </w:r>
      <w:r w:rsidR="00B2642E">
        <w:rPr>
          <w:rFonts w:ascii="Times New Roman" w:hAnsi="Times New Roman" w:cs="Times New Roman"/>
          <w:color w:val="000000"/>
          <w:sz w:val="24"/>
          <w:szCs w:val="24"/>
        </w:rPr>
        <w:t xml:space="preserve"> </w:t>
      </w:r>
      <w:r w:rsidR="00DF749B">
        <w:rPr>
          <w:rFonts w:ascii="Times New Roman" w:hAnsi="Times New Roman" w:cs="Times New Roman"/>
          <w:color w:val="000000"/>
          <w:sz w:val="24"/>
          <w:szCs w:val="24"/>
        </w:rPr>
        <w:t xml:space="preserve">and the European Society of Anesthesiology (ESA, 2020) </w:t>
      </w:r>
      <w:r w:rsidR="00AE4843">
        <w:rPr>
          <w:rFonts w:ascii="Times New Roman" w:hAnsi="Times New Roman" w:cs="Times New Roman"/>
          <w:color w:val="000000"/>
          <w:sz w:val="24"/>
          <w:szCs w:val="24"/>
        </w:rPr>
        <w:t xml:space="preserve">revealed </w:t>
      </w:r>
      <w:r w:rsidR="00AE4843" w:rsidRPr="00B2642E">
        <w:rPr>
          <w:rFonts w:ascii="Times New Roman" w:hAnsi="Times New Roman" w:cs="Times New Roman"/>
          <w:color w:val="000000"/>
          <w:sz w:val="24"/>
          <w:szCs w:val="24"/>
        </w:rPr>
        <w:t>evidence</w:t>
      </w:r>
      <w:r w:rsidR="00B2642E" w:rsidRPr="00B2642E">
        <w:rPr>
          <w:rFonts w:ascii="Times New Roman" w:hAnsi="Times New Roman" w:cs="Times New Roman"/>
          <w:color w:val="000000"/>
          <w:sz w:val="24"/>
          <w:szCs w:val="24"/>
        </w:rPr>
        <w:t xml:space="preserve"> of overwhelmed health systems with hospitals </w:t>
      </w:r>
      <w:r w:rsidR="00DC73AB">
        <w:rPr>
          <w:rFonts w:ascii="Times New Roman" w:hAnsi="Times New Roman" w:cs="Times New Roman"/>
          <w:color w:val="000000"/>
          <w:sz w:val="24"/>
          <w:szCs w:val="24"/>
        </w:rPr>
        <w:t>showing inability to handle</w:t>
      </w:r>
      <w:r w:rsidR="00B2642E">
        <w:rPr>
          <w:rFonts w:ascii="Times New Roman" w:hAnsi="Times New Roman" w:cs="Times New Roman"/>
          <w:color w:val="000000"/>
          <w:sz w:val="24"/>
          <w:szCs w:val="24"/>
        </w:rPr>
        <w:t xml:space="preserve"> the </w:t>
      </w:r>
      <w:r w:rsidR="00DC73AB">
        <w:rPr>
          <w:rFonts w:ascii="Times New Roman" w:hAnsi="Times New Roman" w:cs="Times New Roman"/>
          <w:color w:val="000000"/>
          <w:sz w:val="24"/>
          <w:szCs w:val="24"/>
        </w:rPr>
        <w:t xml:space="preserve">surge in the COVID-19 </w:t>
      </w:r>
      <w:r w:rsidR="00B2642E" w:rsidRPr="00B2642E">
        <w:rPr>
          <w:rFonts w:ascii="Times New Roman" w:hAnsi="Times New Roman" w:cs="Times New Roman"/>
          <w:color w:val="000000"/>
          <w:sz w:val="24"/>
          <w:szCs w:val="24"/>
        </w:rPr>
        <w:t>pati</w:t>
      </w:r>
      <w:r w:rsidR="00AE4843">
        <w:rPr>
          <w:rFonts w:ascii="Times New Roman" w:hAnsi="Times New Roman" w:cs="Times New Roman"/>
          <w:color w:val="000000"/>
          <w:sz w:val="24"/>
          <w:szCs w:val="24"/>
        </w:rPr>
        <w:t>ents requiring</w:t>
      </w:r>
      <w:r w:rsidR="00DF749B">
        <w:rPr>
          <w:rFonts w:ascii="Times New Roman" w:hAnsi="Times New Roman" w:cs="Times New Roman"/>
          <w:color w:val="000000"/>
          <w:sz w:val="24"/>
          <w:szCs w:val="24"/>
        </w:rPr>
        <w:t xml:space="preserve"> hospitalization &amp;</w:t>
      </w:r>
      <w:r w:rsidR="00B2642E" w:rsidRPr="00B2642E">
        <w:rPr>
          <w:rFonts w:ascii="Times New Roman" w:hAnsi="Times New Roman" w:cs="Times New Roman"/>
          <w:color w:val="000000"/>
          <w:sz w:val="24"/>
          <w:szCs w:val="24"/>
        </w:rPr>
        <w:t xml:space="preserve"> critical care</w:t>
      </w:r>
      <w:r w:rsidR="00FC76C3">
        <w:rPr>
          <w:rFonts w:ascii="Times New Roman" w:hAnsi="Times New Roman" w:cs="Times New Roman"/>
          <w:color w:val="000000"/>
          <w:sz w:val="24"/>
          <w:szCs w:val="24"/>
        </w:rPr>
        <w:t>.</w:t>
      </w:r>
    </w:p>
    <w:p w:rsidR="0031000C" w:rsidRDefault="0031000C" w:rsidP="00FC76C3">
      <w:pPr>
        <w:spacing w:after="0" w:line="360" w:lineRule="auto"/>
        <w:jc w:val="both"/>
        <w:rPr>
          <w:rFonts w:ascii="Times New Roman" w:hAnsi="Times New Roman" w:cs="Times New Roman"/>
          <w:color w:val="000000"/>
          <w:sz w:val="24"/>
          <w:szCs w:val="24"/>
        </w:rPr>
      </w:pPr>
    </w:p>
    <w:p w:rsidR="00BA7676" w:rsidRPr="00FC76C3" w:rsidRDefault="0031000C" w:rsidP="0031000C">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rPr>
        <w:lastRenderedPageBreak/>
        <w:t xml:space="preserve">    </w:t>
      </w:r>
      <w:r w:rsidR="0018170D">
        <w:rPr>
          <w:rFonts w:ascii="Times New Roman" w:hAnsi="Times New Roman" w:cs="Times New Roman"/>
          <w:sz w:val="24"/>
          <w:szCs w:val="24"/>
        </w:rPr>
        <w:t xml:space="preserve">In </w:t>
      </w:r>
      <w:r w:rsidR="008B5D9F">
        <w:rPr>
          <w:rFonts w:ascii="Times New Roman" w:hAnsi="Times New Roman" w:cs="Times New Roman"/>
          <w:sz w:val="24"/>
          <w:szCs w:val="24"/>
        </w:rPr>
        <w:t xml:space="preserve">analyzing </w:t>
      </w:r>
      <w:r w:rsidR="0018170D">
        <w:rPr>
          <w:rFonts w:ascii="Times New Roman" w:hAnsi="Times New Roman" w:cs="Times New Roman"/>
          <w:sz w:val="24"/>
          <w:szCs w:val="24"/>
        </w:rPr>
        <w:t>the hospital surge capac</w:t>
      </w:r>
      <w:r w:rsidR="008B5D9F">
        <w:rPr>
          <w:rFonts w:ascii="Times New Roman" w:hAnsi="Times New Roman" w:cs="Times New Roman"/>
          <w:sz w:val="24"/>
          <w:szCs w:val="24"/>
        </w:rPr>
        <w:t xml:space="preserve">ity of the Kenyan hospitals </w:t>
      </w:r>
      <w:r w:rsidR="0018170D">
        <w:rPr>
          <w:rFonts w:ascii="Times New Roman" w:hAnsi="Times New Roman" w:cs="Times New Roman"/>
          <w:sz w:val="24"/>
          <w:szCs w:val="24"/>
        </w:rPr>
        <w:t>in the wake of the COVID-19 pandemic,</w:t>
      </w:r>
      <w:r w:rsidR="00CD205F">
        <w:rPr>
          <w:rFonts w:ascii="Times New Roman" w:hAnsi="Times New Roman" w:cs="Times New Roman"/>
          <w:sz w:val="24"/>
          <w:szCs w:val="24"/>
        </w:rPr>
        <w:t xml:space="preserve"> Barasa </w:t>
      </w:r>
      <w:r w:rsidR="00603739" w:rsidRPr="003C52F4">
        <w:rPr>
          <w:rFonts w:ascii="Times New Roman" w:hAnsi="Times New Roman" w:cs="Times New Roman"/>
          <w:i/>
          <w:sz w:val="24"/>
          <w:szCs w:val="24"/>
        </w:rPr>
        <w:t>et al.</w:t>
      </w:r>
      <w:r w:rsidR="00603739">
        <w:rPr>
          <w:rFonts w:ascii="Times New Roman" w:hAnsi="Times New Roman" w:cs="Times New Roman"/>
          <w:sz w:val="24"/>
          <w:szCs w:val="24"/>
        </w:rPr>
        <w:t xml:space="preserve"> </w:t>
      </w:r>
      <w:r w:rsidR="00CD205F">
        <w:rPr>
          <w:rFonts w:ascii="Times New Roman" w:hAnsi="Times New Roman" w:cs="Times New Roman"/>
          <w:sz w:val="24"/>
          <w:szCs w:val="24"/>
        </w:rPr>
        <w:t>(2020)</w:t>
      </w:r>
      <w:r w:rsidR="00947250">
        <w:rPr>
          <w:rFonts w:ascii="Times New Roman" w:hAnsi="Times New Roman" w:cs="Times New Roman"/>
          <w:sz w:val="24"/>
          <w:szCs w:val="24"/>
        </w:rPr>
        <w:t xml:space="preserve"> </w:t>
      </w:r>
      <w:r w:rsidR="00B41E50">
        <w:rPr>
          <w:rFonts w:ascii="Times New Roman" w:hAnsi="Times New Roman" w:cs="Times New Roman"/>
          <w:sz w:val="24"/>
          <w:szCs w:val="24"/>
        </w:rPr>
        <w:t xml:space="preserve">estimated </w:t>
      </w:r>
      <w:r w:rsidR="000C5616">
        <w:rPr>
          <w:rFonts w:ascii="Times New Roman" w:hAnsi="Times New Roman" w:cs="Times New Roman"/>
          <w:sz w:val="24"/>
          <w:szCs w:val="24"/>
        </w:rPr>
        <w:t xml:space="preserve">the hospital &amp; </w:t>
      </w:r>
      <w:r w:rsidR="00B41E50">
        <w:rPr>
          <w:rFonts w:ascii="Times New Roman" w:hAnsi="Times New Roman" w:cs="Times New Roman"/>
          <w:sz w:val="24"/>
          <w:szCs w:val="24"/>
        </w:rPr>
        <w:t xml:space="preserve">ICU bed capacity and </w:t>
      </w:r>
      <w:r w:rsidR="000C5616">
        <w:rPr>
          <w:rFonts w:ascii="Times New Roman" w:hAnsi="Times New Roman" w:cs="Times New Roman"/>
          <w:sz w:val="24"/>
          <w:szCs w:val="24"/>
        </w:rPr>
        <w:t xml:space="preserve">their respective </w:t>
      </w:r>
      <w:r w:rsidR="00B41E50">
        <w:rPr>
          <w:rFonts w:ascii="Times New Roman" w:hAnsi="Times New Roman" w:cs="Times New Roman"/>
          <w:sz w:val="24"/>
          <w:szCs w:val="24"/>
        </w:rPr>
        <w:t>tipping poi</w:t>
      </w:r>
      <w:r w:rsidR="000C5616">
        <w:rPr>
          <w:rFonts w:ascii="Times New Roman" w:hAnsi="Times New Roman" w:cs="Times New Roman"/>
          <w:sz w:val="24"/>
          <w:szCs w:val="24"/>
        </w:rPr>
        <w:t xml:space="preserve">nts. The findings revealed that </w:t>
      </w:r>
      <w:r w:rsidR="00B41E50" w:rsidRPr="00B41E50">
        <w:rPr>
          <w:rFonts w:ascii="Times New Roman" w:hAnsi="Times New Roman" w:cs="Times New Roman"/>
          <w:sz w:val="24"/>
          <w:szCs w:val="24"/>
        </w:rPr>
        <w:t>Kenyan hospitals</w:t>
      </w:r>
      <w:r w:rsidR="000C5616">
        <w:rPr>
          <w:rFonts w:ascii="Times New Roman" w:hAnsi="Times New Roman" w:cs="Times New Roman"/>
          <w:sz w:val="24"/>
          <w:szCs w:val="24"/>
        </w:rPr>
        <w:t>’</w:t>
      </w:r>
      <w:r w:rsidR="00B41E50" w:rsidRPr="00B41E50">
        <w:rPr>
          <w:rFonts w:ascii="Times New Roman" w:hAnsi="Times New Roman" w:cs="Times New Roman"/>
          <w:sz w:val="24"/>
          <w:szCs w:val="24"/>
        </w:rPr>
        <w:t xml:space="preserve"> </w:t>
      </w:r>
      <w:r w:rsidR="000C5616">
        <w:rPr>
          <w:rFonts w:ascii="Times New Roman" w:hAnsi="Times New Roman" w:cs="Times New Roman"/>
          <w:sz w:val="24"/>
          <w:szCs w:val="24"/>
        </w:rPr>
        <w:t xml:space="preserve">ability </w:t>
      </w:r>
      <w:r w:rsidR="00B41E50" w:rsidRPr="00B41E50">
        <w:rPr>
          <w:rFonts w:ascii="Times New Roman" w:hAnsi="Times New Roman" w:cs="Times New Roman"/>
          <w:sz w:val="24"/>
          <w:szCs w:val="24"/>
        </w:rPr>
        <w:t xml:space="preserve">to absorb </w:t>
      </w:r>
      <w:r w:rsidR="00B41E50">
        <w:rPr>
          <w:rFonts w:ascii="Times New Roman" w:hAnsi="Times New Roman" w:cs="Times New Roman"/>
          <w:sz w:val="24"/>
          <w:szCs w:val="24"/>
        </w:rPr>
        <w:t>the increases in caseload resulting from the pandemic</w:t>
      </w:r>
      <w:r w:rsidR="000C5616">
        <w:rPr>
          <w:rFonts w:ascii="Times New Roman" w:hAnsi="Times New Roman" w:cs="Times New Roman"/>
          <w:sz w:val="24"/>
          <w:szCs w:val="24"/>
        </w:rPr>
        <w:t xml:space="preserve"> was</w:t>
      </w:r>
      <w:r w:rsidR="00B41E50" w:rsidRPr="00B41E50">
        <w:rPr>
          <w:rFonts w:ascii="Times New Roman" w:hAnsi="Times New Roman" w:cs="Times New Roman"/>
          <w:sz w:val="24"/>
          <w:szCs w:val="24"/>
        </w:rPr>
        <w:t xml:space="preserve"> constrained</w:t>
      </w:r>
      <w:r w:rsidR="00B41E50">
        <w:rPr>
          <w:rFonts w:ascii="Times New Roman" w:hAnsi="Times New Roman" w:cs="Times New Roman"/>
          <w:sz w:val="24"/>
          <w:szCs w:val="24"/>
        </w:rPr>
        <w:t xml:space="preserve"> by </w:t>
      </w:r>
      <w:r w:rsidR="00B41E50" w:rsidRPr="00B41E50">
        <w:rPr>
          <w:rFonts w:ascii="Times New Roman" w:hAnsi="Times New Roman" w:cs="Times New Roman"/>
          <w:sz w:val="24"/>
          <w:szCs w:val="24"/>
        </w:rPr>
        <w:t>oxygen</w:t>
      </w:r>
      <w:r w:rsidR="00B41E50">
        <w:rPr>
          <w:rFonts w:ascii="Times New Roman" w:hAnsi="Times New Roman" w:cs="Times New Roman"/>
          <w:sz w:val="24"/>
          <w:szCs w:val="24"/>
        </w:rPr>
        <w:t xml:space="preserve"> availability</w:t>
      </w:r>
      <w:r w:rsidR="005D3538">
        <w:rPr>
          <w:rFonts w:ascii="Times New Roman" w:hAnsi="Times New Roman" w:cs="Times New Roman"/>
          <w:sz w:val="24"/>
          <w:szCs w:val="24"/>
        </w:rPr>
        <w:t>. The study found that o</w:t>
      </w:r>
      <w:r w:rsidR="00B41E50" w:rsidRPr="00B41E50">
        <w:rPr>
          <w:rFonts w:ascii="Times New Roman" w:hAnsi="Times New Roman" w:cs="Times New Roman"/>
          <w:sz w:val="24"/>
          <w:szCs w:val="24"/>
        </w:rPr>
        <w:t xml:space="preserve">nly 58% of </w:t>
      </w:r>
      <w:r w:rsidR="005D3538">
        <w:rPr>
          <w:rFonts w:ascii="Times New Roman" w:hAnsi="Times New Roman" w:cs="Times New Roman"/>
          <w:sz w:val="24"/>
          <w:szCs w:val="24"/>
        </w:rPr>
        <w:t xml:space="preserve">the Kenyan </w:t>
      </w:r>
      <w:r w:rsidR="00B41E50" w:rsidRPr="00B41E50">
        <w:rPr>
          <w:rFonts w:ascii="Times New Roman" w:hAnsi="Times New Roman" w:cs="Times New Roman"/>
          <w:sz w:val="24"/>
          <w:szCs w:val="24"/>
        </w:rPr>
        <w:t>hospita</w:t>
      </w:r>
      <w:r w:rsidR="005D3538">
        <w:rPr>
          <w:rFonts w:ascii="Times New Roman" w:hAnsi="Times New Roman" w:cs="Times New Roman"/>
          <w:sz w:val="24"/>
          <w:szCs w:val="24"/>
        </w:rPr>
        <w:t xml:space="preserve">l beds were equipped </w:t>
      </w:r>
      <w:r w:rsidR="00B41E50">
        <w:rPr>
          <w:rFonts w:ascii="Times New Roman" w:hAnsi="Times New Roman" w:cs="Times New Roman"/>
          <w:sz w:val="24"/>
          <w:szCs w:val="24"/>
        </w:rPr>
        <w:t xml:space="preserve">with oxygen </w:t>
      </w:r>
      <w:r w:rsidR="00B41E50" w:rsidRPr="00B41E50">
        <w:rPr>
          <w:rFonts w:ascii="Times New Roman" w:hAnsi="Times New Roman" w:cs="Times New Roman"/>
          <w:sz w:val="24"/>
          <w:szCs w:val="24"/>
        </w:rPr>
        <w:t xml:space="preserve">supply. </w:t>
      </w:r>
      <w:r w:rsidR="00B41E50">
        <w:rPr>
          <w:rFonts w:ascii="Times New Roman" w:hAnsi="Times New Roman" w:cs="Times New Roman"/>
          <w:sz w:val="24"/>
          <w:szCs w:val="24"/>
        </w:rPr>
        <w:t xml:space="preserve">Furthermore, the study found </w:t>
      </w:r>
      <w:r w:rsidR="005D3538" w:rsidRPr="00B41E50">
        <w:rPr>
          <w:rFonts w:ascii="Times New Roman" w:hAnsi="Times New Roman" w:cs="Times New Roman"/>
          <w:sz w:val="24"/>
          <w:szCs w:val="24"/>
        </w:rPr>
        <w:t>considerable</w:t>
      </w:r>
      <w:r w:rsidR="00B41E50" w:rsidRPr="00B41E50">
        <w:rPr>
          <w:rFonts w:ascii="Times New Roman" w:hAnsi="Times New Roman" w:cs="Times New Roman"/>
          <w:sz w:val="24"/>
          <w:szCs w:val="24"/>
        </w:rPr>
        <w:t xml:space="preserve"> </w:t>
      </w:r>
      <w:r w:rsidR="005D3538">
        <w:rPr>
          <w:rFonts w:ascii="Times New Roman" w:hAnsi="Times New Roman" w:cs="Times New Roman"/>
          <w:sz w:val="24"/>
          <w:szCs w:val="24"/>
        </w:rPr>
        <w:t>disparities</w:t>
      </w:r>
      <w:r w:rsidR="00B41E50" w:rsidRPr="00B41E50">
        <w:rPr>
          <w:rFonts w:ascii="Times New Roman" w:hAnsi="Times New Roman" w:cs="Times New Roman"/>
          <w:sz w:val="24"/>
          <w:szCs w:val="24"/>
        </w:rPr>
        <w:t xml:space="preserve"> in </w:t>
      </w:r>
      <w:r w:rsidR="005E6BCA">
        <w:rPr>
          <w:rFonts w:ascii="Times New Roman" w:hAnsi="Times New Roman" w:cs="Times New Roman"/>
          <w:sz w:val="24"/>
          <w:szCs w:val="24"/>
        </w:rPr>
        <w:t xml:space="preserve">the </w:t>
      </w:r>
      <w:r w:rsidR="00B41E50" w:rsidRPr="00B41E50">
        <w:rPr>
          <w:rFonts w:ascii="Times New Roman" w:hAnsi="Times New Roman" w:cs="Times New Roman"/>
          <w:sz w:val="24"/>
          <w:szCs w:val="24"/>
        </w:rPr>
        <w:t xml:space="preserve">surge capacity across </w:t>
      </w:r>
      <w:r w:rsidR="00B41E50">
        <w:rPr>
          <w:rFonts w:ascii="Times New Roman" w:hAnsi="Times New Roman" w:cs="Times New Roman"/>
          <w:sz w:val="24"/>
          <w:szCs w:val="24"/>
        </w:rPr>
        <w:t xml:space="preserve">the 47 </w:t>
      </w:r>
      <w:r w:rsidR="00B41E50" w:rsidRPr="00B41E50">
        <w:rPr>
          <w:rFonts w:ascii="Times New Roman" w:hAnsi="Times New Roman" w:cs="Times New Roman"/>
          <w:sz w:val="24"/>
          <w:szCs w:val="24"/>
        </w:rPr>
        <w:t>counties</w:t>
      </w:r>
      <w:r w:rsidR="00B41E50">
        <w:rPr>
          <w:rFonts w:ascii="Times New Roman" w:hAnsi="Times New Roman" w:cs="Times New Roman"/>
          <w:sz w:val="24"/>
          <w:szCs w:val="24"/>
        </w:rPr>
        <w:t>.</w:t>
      </w:r>
      <w:r w:rsidR="00BA7676" w:rsidRPr="00BA7676">
        <w:rPr>
          <w:rFonts w:ascii="Times New Roman" w:hAnsi="Times New Roman" w:cs="Times New Roman"/>
          <w:color w:val="000000"/>
          <w:sz w:val="24"/>
          <w:szCs w:val="24"/>
        </w:rPr>
        <w:t xml:space="preserve"> </w:t>
      </w:r>
      <w:r w:rsidR="00FD5333">
        <w:rPr>
          <w:rFonts w:ascii="Times New Roman" w:hAnsi="Times New Roman" w:cs="Times New Roman"/>
          <w:color w:val="000000"/>
          <w:sz w:val="24"/>
          <w:szCs w:val="24"/>
        </w:rPr>
        <w:t xml:space="preserve">According to Tsai </w:t>
      </w:r>
      <w:r w:rsidR="00603739" w:rsidRPr="003C52F4">
        <w:rPr>
          <w:rFonts w:ascii="Times New Roman" w:hAnsi="Times New Roman" w:cs="Times New Roman"/>
          <w:i/>
          <w:color w:val="000000"/>
          <w:sz w:val="24"/>
          <w:szCs w:val="24"/>
        </w:rPr>
        <w:t>et al.</w:t>
      </w:r>
      <w:r w:rsidR="003C52F4">
        <w:rPr>
          <w:rFonts w:ascii="Times New Roman" w:hAnsi="Times New Roman" w:cs="Times New Roman"/>
          <w:color w:val="000000"/>
          <w:sz w:val="24"/>
          <w:szCs w:val="24"/>
        </w:rPr>
        <w:t xml:space="preserve"> </w:t>
      </w:r>
      <w:r w:rsidR="00FD5333">
        <w:rPr>
          <w:rFonts w:ascii="Times New Roman" w:hAnsi="Times New Roman" w:cs="Times New Roman"/>
          <w:color w:val="000000"/>
          <w:sz w:val="24"/>
          <w:szCs w:val="24"/>
        </w:rPr>
        <w:t>(2020)</w:t>
      </w:r>
      <w:r w:rsidR="00BE2B22">
        <w:rPr>
          <w:rFonts w:ascii="Times New Roman" w:hAnsi="Times New Roman" w:cs="Times New Roman"/>
          <w:color w:val="000000"/>
          <w:sz w:val="24"/>
          <w:szCs w:val="24"/>
        </w:rPr>
        <w:t>,</w:t>
      </w:r>
      <w:r w:rsidR="00FD5333">
        <w:rPr>
          <w:rFonts w:ascii="Times New Roman" w:hAnsi="Times New Roman" w:cs="Times New Roman"/>
          <w:color w:val="000000"/>
          <w:sz w:val="24"/>
          <w:szCs w:val="24"/>
        </w:rPr>
        <w:t xml:space="preserve"> understanding</w:t>
      </w:r>
      <w:r w:rsidR="00BA7676" w:rsidRPr="00B2642E">
        <w:rPr>
          <w:rFonts w:ascii="Times New Roman" w:hAnsi="Times New Roman" w:cs="Times New Roman"/>
          <w:color w:val="000000"/>
          <w:sz w:val="24"/>
          <w:szCs w:val="24"/>
        </w:rPr>
        <w:t xml:space="preserve"> the </w:t>
      </w:r>
      <w:r w:rsidR="005E6BCA">
        <w:rPr>
          <w:rFonts w:ascii="Times New Roman" w:hAnsi="Times New Roman" w:cs="Times New Roman"/>
          <w:color w:val="000000"/>
          <w:sz w:val="24"/>
          <w:szCs w:val="24"/>
        </w:rPr>
        <w:t xml:space="preserve">health system </w:t>
      </w:r>
      <w:r w:rsidR="00BA7676" w:rsidRPr="00B2642E">
        <w:rPr>
          <w:rFonts w:ascii="Times New Roman" w:hAnsi="Times New Roman" w:cs="Times New Roman"/>
          <w:color w:val="000000"/>
          <w:sz w:val="24"/>
          <w:szCs w:val="24"/>
        </w:rPr>
        <w:t>surge capacit</w:t>
      </w:r>
      <w:r w:rsidR="005E6BCA">
        <w:rPr>
          <w:rFonts w:ascii="Times New Roman" w:hAnsi="Times New Roman" w:cs="Times New Roman"/>
          <w:color w:val="000000"/>
          <w:sz w:val="24"/>
          <w:szCs w:val="24"/>
        </w:rPr>
        <w:t xml:space="preserve">y </w:t>
      </w:r>
      <w:r w:rsidR="00BE2B22">
        <w:rPr>
          <w:rFonts w:ascii="Times New Roman" w:hAnsi="Times New Roman" w:cs="Times New Roman"/>
          <w:color w:val="000000"/>
          <w:sz w:val="24"/>
          <w:szCs w:val="24"/>
        </w:rPr>
        <w:t>in the wake</w:t>
      </w:r>
      <w:r w:rsidR="00FD5333">
        <w:rPr>
          <w:rFonts w:ascii="Times New Roman" w:hAnsi="Times New Roman" w:cs="Times New Roman"/>
          <w:color w:val="000000"/>
          <w:sz w:val="24"/>
          <w:szCs w:val="24"/>
        </w:rPr>
        <w:t xml:space="preserve"> of health pandemics</w:t>
      </w:r>
      <w:r w:rsidR="005E6BCA">
        <w:rPr>
          <w:rFonts w:ascii="Times New Roman" w:hAnsi="Times New Roman" w:cs="Times New Roman"/>
          <w:color w:val="000000"/>
          <w:sz w:val="24"/>
          <w:szCs w:val="24"/>
        </w:rPr>
        <w:t xml:space="preserve"> provide</w:t>
      </w:r>
      <w:r w:rsidR="0016680D">
        <w:rPr>
          <w:rFonts w:ascii="Times New Roman" w:hAnsi="Times New Roman" w:cs="Times New Roman"/>
          <w:color w:val="000000"/>
          <w:sz w:val="24"/>
          <w:szCs w:val="24"/>
        </w:rPr>
        <w:t>s</w:t>
      </w:r>
      <w:r w:rsidR="00BA7676">
        <w:rPr>
          <w:rFonts w:ascii="Times New Roman" w:hAnsi="Times New Roman" w:cs="Times New Roman"/>
          <w:color w:val="000000"/>
          <w:sz w:val="24"/>
          <w:szCs w:val="24"/>
        </w:rPr>
        <w:t xml:space="preserve"> </w:t>
      </w:r>
      <w:r w:rsidR="00BE2B22">
        <w:rPr>
          <w:rFonts w:ascii="Times New Roman" w:hAnsi="Times New Roman" w:cs="Times New Roman"/>
          <w:color w:val="000000"/>
          <w:sz w:val="24"/>
          <w:szCs w:val="24"/>
        </w:rPr>
        <w:t>expedient</w:t>
      </w:r>
      <w:r w:rsidR="00BA7676">
        <w:rPr>
          <w:rFonts w:ascii="Times New Roman" w:hAnsi="Times New Roman" w:cs="Times New Roman"/>
          <w:color w:val="000000"/>
          <w:sz w:val="24"/>
          <w:szCs w:val="24"/>
        </w:rPr>
        <w:t xml:space="preserve"> </w:t>
      </w:r>
      <w:r w:rsidR="00BA7676" w:rsidRPr="00B2642E">
        <w:rPr>
          <w:rFonts w:ascii="Times New Roman" w:hAnsi="Times New Roman" w:cs="Times New Roman"/>
          <w:color w:val="000000"/>
          <w:sz w:val="24"/>
          <w:szCs w:val="24"/>
        </w:rPr>
        <w:t xml:space="preserve">information for </w:t>
      </w:r>
      <w:r w:rsidR="0016680D">
        <w:rPr>
          <w:rFonts w:ascii="Times New Roman" w:hAnsi="Times New Roman" w:cs="Times New Roman"/>
          <w:color w:val="000000"/>
          <w:sz w:val="24"/>
          <w:szCs w:val="24"/>
        </w:rPr>
        <w:t xml:space="preserve">prior </w:t>
      </w:r>
      <w:r w:rsidR="00BE2B22">
        <w:rPr>
          <w:rFonts w:ascii="Times New Roman" w:hAnsi="Times New Roman" w:cs="Times New Roman"/>
          <w:color w:val="000000"/>
          <w:sz w:val="24"/>
          <w:szCs w:val="24"/>
        </w:rPr>
        <w:t>planning</w:t>
      </w:r>
      <w:r w:rsidR="005E6BCA">
        <w:rPr>
          <w:rFonts w:ascii="Times New Roman" w:hAnsi="Times New Roman" w:cs="Times New Roman"/>
          <w:color w:val="000000"/>
          <w:sz w:val="24"/>
          <w:szCs w:val="24"/>
        </w:rPr>
        <w:t>, mobilizing</w:t>
      </w:r>
      <w:r w:rsidR="00BE2B22">
        <w:rPr>
          <w:rFonts w:ascii="Times New Roman" w:hAnsi="Times New Roman" w:cs="Times New Roman"/>
          <w:color w:val="000000"/>
          <w:sz w:val="24"/>
          <w:szCs w:val="24"/>
        </w:rPr>
        <w:t xml:space="preserve"> &amp; </w:t>
      </w:r>
      <w:r w:rsidR="005E6BCA">
        <w:rPr>
          <w:rFonts w:ascii="Times New Roman" w:hAnsi="Times New Roman" w:cs="Times New Roman"/>
          <w:color w:val="000000"/>
          <w:sz w:val="24"/>
          <w:szCs w:val="24"/>
        </w:rPr>
        <w:t xml:space="preserve">the </w:t>
      </w:r>
      <w:r w:rsidR="009D034D">
        <w:rPr>
          <w:rFonts w:ascii="Times New Roman" w:hAnsi="Times New Roman" w:cs="Times New Roman"/>
          <w:color w:val="000000"/>
          <w:sz w:val="24"/>
          <w:szCs w:val="24"/>
        </w:rPr>
        <w:t>allocation of</w:t>
      </w:r>
      <w:r w:rsidR="00BE2B22">
        <w:rPr>
          <w:rFonts w:ascii="Times New Roman" w:hAnsi="Times New Roman" w:cs="Times New Roman"/>
          <w:color w:val="000000"/>
          <w:sz w:val="24"/>
          <w:szCs w:val="24"/>
        </w:rPr>
        <w:t xml:space="preserve"> resources for effective </w:t>
      </w:r>
      <w:r w:rsidR="009D034D">
        <w:rPr>
          <w:rFonts w:ascii="Times New Roman" w:hAnsi="Times New Roman" w:cs="Times New Roman"/>
          <w:color w:val="000000"/>
          <w:sz w:val="24"/>
          <w:szCs w:val="24"/>
        </w:rPr>
        <w:t xml:space="preserve">policy </w:t>
      </w:r>
      <w:r w:rsidR="00BE2B22">
        <w:rPr>
          <w:rFonts w:ascii="Times New Roman" w:hAnsi="Times New Roman" w:cs="Times New Roman"/>
          <w:color w:val="000000"/>
          <w:sz w:val="24"/>
          <w:szCs w:val="24"/>
        </w:rPr>
        <w:t>response measures</w:t>
      </w:r>
      <w:r w:rsidR="00BA7676" w:rsidRPr="00B2642E">
        <w:rPr>
          <w:rFonts w:ascii="Times New Roman" w:hAnsi="Times New Roman" w:cs="Times New Roman"/>
          <w:color w:val="000000"/>
          <w:sz w:val="24"/>
          <w:szCs w:val="24"/>
        </w:rPr>
        <w:t>.</w:t>
      </w:r>
    </w:p>
    <w:p w:rsidR="00B62CD9" w:rsidRPr="00220CAC" w:rsidRDefault="0031000C" w:rsidP="00B62C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FCB">
        <w:rPr>
          <w:rFonts w:ascii="Times New Roman" w:hAnsi="Times New Roman" w:cs="Times New Roman"/>
          <w:sz w:val="24"/>
          <w:szCs w:val="24"/>
        </w:rPr>
        <w:t xml:space="preserve">This study </w:t>
      </w:r>
      <w:r w:rsidR="006541F7" w:rsidRPr="00FC144A">
        <w:rPr>
          <w:rFonts w:ascii="Times New Roman" w:hAnsi="Times New Roman" w:cs="Times New Roman"/>
          <w:sz w:val="24"/>
          <w:szCs w:val="24"/>
        </w:rPr>
        <w:t xml:space="preserve">contributes to </w:t>
      </w:r>
      <w:r w:rsidR="00653333" w:rsidRPr="00FC144A">
        <w:rPr>
          <w:rFonts w:ascii="Times New Roman" w:hAnsi="Times New Roman" w:cs="Times New Roman"/>
          <w:sz w:val="24"/>
          <w:szCs w:val="24"/>
        </w:rPr>
        <w:t xml:space="preserve">the </w:t>
      </w:r>
      <w:r w:rsidR="00AC3FCB">
        <w:rPr>
          <w:rFonts w:ascii="Times New Roman" w:hAnsi="Times New Roman" w:cs="Times New Roman"/>
          <w:sz w:val="24"/>
          <w:szCs w:val="24"/>
        </w:rPr>
        <w:t xml:space="preserve">existing </w:t>
      </w:r>
      <w:r w:rsidR="0034230C">
        <w:rPr>
          <w:rFonts w:ascii="Times New Roman" w:hAnsi="Times New Roman" w:cs="Times New Roman"/>
          <w:sz w:val="24"/>
          <w:szCs w:val="24"/>
        </w:rPr>
        <w:t xml:space="preserve">literature by exploring </w:t>
      </w:r>
      <w:r w:rsidR="006541F7" w:rsidRPr="00FC144A">
        <w:rPr>
          <w:rFonts w:ascii="Times New Roman" w:hAnsi="Times New Roman" w:cs="Times New Roman"/>
          <w:sz w:val="24"/>
          <w:szCs w:val="24"/>
        </w:rPr>
        <w:t>the impact of the pa</w:t>
      </w:r>
      <w:r w:rsidR="004F72D3" w:rsidRPr="00FC144A">
        <w:rPr>
          <w:rFonts w:ascii="Times New Roman" w:hAnsi="Times New Roman" w:cs="Times New Roman"/>
          <w:sz w:val="24"/>
          <w:szCs w:val="24"/>
        </w:rPr>
        <w:t>ndemic on</w:t>
      </w:r>
      <w:r w:rsidR="00AC3FCB">
        <w:rPr>
          <w:rFonts w:ascii="Times New Roman" w:hAnsi="Times New Roman" w:cs="Times New Roman"/>
          <w:sz w:val="24"/>
          <w:szCs w:val="24"/>
        </w:rPr>
        <w:t xml:space="preserve"> social w</w:t>
      </w:r>
      <w:r w:rsidR="00603739">
        <w:rPr>
          <w:rFonts w:ascii="Times New Roman" w:hAnsi="Times New Roman" w:cs="Times New Roman"/>
          <w:sz w:val="24"/>
          <w:szCs w:val="24"/>
        </w:rPr>
        <w:t>elfare and</w:t>
      </w:r>
      <w:r w:rsidR="00AC3FCB">
        <w:rPr>
          <w:rFonts w:ascii="Times New Roman" w:hAnsi="Times New Roman" w:cs="Times New Roman"/>
          <w:sz w:val="24"/>
          <w:szCs w:val="24"/>
        </w:rPr>
        <w:t xml:space="preserve"> health system capacity</w:t>
      </w:r>
      <w:r w:rsidR="006541F7" w:rsidRPr="00FC144A">
        <w:rPr>
          <w:rFonts w:ascii="Times New Roman" w:hAnsi="Times New Roman" w:cs="Times New Roman"/>
          <w:sz w:val="24"/>
          <w:szCs w:val="24"/>
        </w:rPr>
        <w:t xml:space="preserve"> across </w:t>
      </w:r>
      <w:r w:rsidR="00AC3FCB" w:rsidRPr="00064552">
        <w:rPr>
          <w:rFonts w:ascii="Times New Roman" w:hAnsi="Times New Roman" w:cs="Times New Roman"/>
          <w:sz w:val="24"/>
          <w:szCs w:val="24"/>
        </w:rPr>
        <w:t>four</w:t>
      </w:r>
      <w:r w:rsidR="004F72D3" w:rsidRPr="00FC144A">
        <w:rPr>
          <w:rFonts w:ascii="Times New Roman" w:hAnsi="Times New Roman" w:cs="Times New Roman"/>
          <w:sz w:val="24"/>
          <w:szCs w:val="24"/>
        </w:rPr>
        <w:t xml:space="preserve"> economies in the Eastern Africa</w:t>
      </w:r>
      <w:r w:rsidR="006541F7" w:rsidRPr="00FC144A">
        <w:rPr>
          <w:rFonts w:ascii="Times New Roman" w:hAnsi="Times New Roman" w:cs="Times New Roman"/>
          <w:sz w:val="24"/>
          <w:szCs w:val="24"/>
        </w:rPr>
        <w:t xml:space="preserve"> region using a dynamic panel ARDL model.</w:t>
      </w:r>
      <w:r w:rsidR="00FC144A" w:rsidRPr="00FC144A">
        <w:rPr>
          <w:rFonts w:ascii="Times New Roman" w:hAnsi="Times New Roman" w:cs="Times New Roman"/>
          <w:sz w:val="24"/>
          <w:szCs w:val="24"/>
        </w:rPr>
        <w:t xml:space="preserve"> Furthermore, </w:t>
      </w:r>
      <w:r w:rsidR="00FC144A">
        <w:rPr>
          <w:rFonts w:ascii="Times New Roman" w:hAnsi="Times New Roman" w:cs="Times New Roman"/>
          <w:sz w:val="24"/>
          <w:szCs w:val="24"/>
        </w:rPr>
        <w:t xml:space="preserve">this study will </w:t>
      </w:r>
      <w:r w:rsidR="00AC3FCB">
        <w:rPr>
          <w:rFonts w:ascii="Times New Roman" w:hAnsi="Times New Roman" w:cs="Times New Roman"/>
          <w:sz w:val="24"/>
          <w:szCs w:val="24"/>
        </w:rPr>
        <w:t xml:space="preserve">also </w:t>
      </w:r>
      <w:r w:rsidR="00FC144A">
        <w:rPr>
          <w:rFonts w:ascii="Times New Roman" w:hAnsi="Times New Roman" w:cs="Times New Roman"/>
          <w:color w:val="000000" w:themeColor="text1"/>
          <w:sz w:val="24"/>
          <w:szCs w:val="24"/>
        </w:rPr>
        <w:t>assess</w:t>
      </w:r>
      <w:r w:rsidR="00FC144A" w:rsidRPr="00FC144A">
        <w:rPr>
          <w:rFonts w:ascii="Times New Roman" w:hAnsi="Times New Roman" w:cs="Times New Roman"/>
          <w:color w:val="000000" w:themeColor="text1"/>
          <w:sz w:val="24"/>
          <w:szCs w:val="24"/>
        </w:rPr>
        <w:t xml:space="preserve"> the differences in the degree of</w:t>
      </w:r>
      <w:r w:rsidR="00BD6FBA">
        <w:rPr>
          <w:rFonts w:ascii="Times New Roman" w:hAnsi="Times New Roman" w:cs="Times New Roman"/>
          <w:color w:val="000000" w:themeColor="text1"/>
          <w:sz w:val="24"/>
          <w:szCs w:val="24"/>
        </w:rPr>
        <w:t xml:space="preserve"> impact of COVID-19 on social welfare &amp; health system capacity </w:t>
      </w:r>
      <w:r w:rsidR="00FC144A" w:rsidRPr="00FC144A">
        <w:rPr>
          <w:rFonts w:ascii="Times New Roman" w:hAnsi="Times New Roman" w:cs="Times New Roman"/>
          <w:color w:val="000000" w:themeColor="text1"/>
          <w:sz w:val="24"/>
          <w:szCs w:val="24"/>
        </w:rPr>
        <w:t xml:space="preserve">across </w:t>
      </w:r>
      <w:r w:rsidR="00FC144A">
        <w:rPr>
          <w:rFonts w:ascii="Times New Roman" w:hAnsi="Times New Roman" w:cs="Times New Roman"/>
          <w:color w:val="000000" w:themeColor="text1"/>
          <w:sz w:val="24"/>
          <w:szCs w:val="24"/>
        </w:rPr>
        <w:t>the selected</w:t>
      </w:r>
      <w:r w:rsidR="00FC144A" w:rsidRPr="00FC144A">
        <w:rPr>
          <w:rFonts w:ascii="Times New Roman" w:hAnsi="Times New Roman" w:cs="Times New Roman"/>
          <w:color w:val="000000" w:themeColor="text1"/>
          <w:sz w:val="24"/>
          <w:szCs w:val="24"/>
        </w:rPr>
        <w:t xml:space="preserve"> countries.</w:t>
      </w:r>
    </w:p>
    <w:p w:rsidR="00EE0BE0" w:rsidRDefault="00E4398D" w:rsidP="00B62CD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992DB4">
        <w:rPr>
          <w:rFonts w:ascii="Times New Roman" w:hAnsi="Times New Roman" w:cs="Times New Roman"/>
          <w:b/>
          <w:bCs/>
          <w:sz w:val="24"/>
          <w:szCs w:val="24"/>
        </w:rPr>
        <w:t>Methodology</w:t>
      </w:r>
    </w:p>
    <w:p w:rsidR="008E04FC" w:rsidRPr="00B62CD9" w:rsidRDefault="00B62CD9" w:rsidP="00B62CD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50113" w:rsidRPr="00850113">
        <w:rPr>
          <w:rFonts w:ascii="Times New Roman" w:hAnsi="Times New Roman" w:cs="Times New Roman"/>
          <w:bCs/>
          <w:sz w:val="24"/>
          <w:szCs w:val="24"/>
        </w:rPr>
        <w:t>This section highlights the estimation techniques for both the surge capacit</w:t>
      </w:r>
      <w:r w:rsidR="00285086">
        <w:rPr>
          <w:rFonts w:ascii="Times New Roman" w:hAnsi="Times New Roman" w:cs="Times New Roman"/>
          <w:bCs/>
          <w:sz w:val="24"/>
          <w:szCs w:val="24"/>
        </w:rPr>
        <w:t xml:space="preserve">y and the social welfare effects of the </w:t>
      </w:r>
      <w:r w:rsidR="00850113" w:rsidRPr="00850113">
        <w:rPr>
          <w:rFonts w:ascii="Times New Roman" w:hAnsi="Times New Roman" w:cs="Times New Roman"/>
          <w:bCs/>
          <w:sz w:val="24"/>
          <w:szCs w:val="24"/>
        </w:rPr>
        <w:t>pandemic acro</w:t>
      </w:r>
      <w:r>
        <w:rPr>
          <w:rFonts w:ascii="Times New Roman" w:hAnsi="Times New Roman" w:cs="Times New Roman"/>
          <w:bCs/>
          <w:sz w:val="24"/>
          <w:szCs w:val="24"/>
        </w:rPr>
        <w:t xml:space="preserve">ss the selected EAC countries. </w:t>
      </w:r>
    </w:p>
    <w:p w:rsidR="00850113" w:rsidRDefault="001F036B" w:rsidP="00B62CD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992DB4">
        <w:rPr>
          <w:rFonts w:ascii="Times New Roman" w:hAnsi="Times New Roman" w:cs="Times New Roman"/>
          <w:b/>
          <w:bCs/>
          <w:sz w:val="24"/>
          <w:szCs w:val="24"/>
        </w:rPr>
        <w:t>Surge capacity estimation</w:t>
      </w:r>
    </w:p>
    <w:p w:rsidR="001F32E6" w:rsidRDefault="00CE5A90" w:rsidP="00B62CD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C2D41" w:rsidRPr="00FC2D41">
        <w:rPr>
          <w:rFonts w:ascii="Times New Roman" w:hAnsi="Times New Roman" w:cs="Times New Roman"/>
          <w:bCs/>
          <w:sz w:val="24"/>
          <w:szCs w:val="24"/>
        </w:rPr>
        <w:t>We computed the ICU surge capacity</w:t>
      </w:r>
      <w:r w:rsidR="00FC2D41">
        <w:rPr>
          <w:rFonts w:ascii="Times New Roman" w:hAnsi="Times New Roman" w:cs="Times New Roman"/>
          <w:bCs/>
          <w:sz w:val="24"/>
          <w:szCs w:val="24"/>
        </w:rPr>
        <w:t xml:space="preserve"> based on </w:t>
      </w:r>
      <w:r w:rsidR="00FC2D41" w:rsidRPr="00FC2D41">
        <w:rPr>
          <w:rFonts w:ascii="Times New Roman" w:hAnsi="Times New Roman" w:cs="Times New Roman"/>
          <w:bCs/>
          <w:sz w:val="24"/>
          <w:szCs w:val="24"/>
        </w:rPr>
        <w:t xml:space="preserve">the number of ICU beds and ventilators available </w:t>
      </w:r>
      <w:r w:rsidR="00A33D47">
        <w:rPr>
          <w:rFonts w:ascii="Times New Roman" w:hAnsi="Times New Roman" w:cs="Times New Roman"/>
          <w:bCs/>
          <w:sz w:val="24"/>
          <w:szCs w:val="24"/>
        </w:rPr>
        <w:t xml:space="preserve">(see Table 1 in the introduction section) </w:t>
      </w:r>
      <w:r w:rsidR="00FC2D41" w:rsidRPr="00FC2D41">
        <w:rPr>
          <w:rFonts w:ascii="Times New Roman" w:hAnsi="Times New Roman" w:cs="Times New Roman"/>
          <w:bCs/>
          <w:sz w:val="24"/>
          <w:szCs w:val="24"/>
        </w:rPr>
        <w:t xml:space="preserve">against the actual number needed to cater for the COVID-19 critically ill patients. </w:t>
      </w:r>
      <w:r w:rsidR="00A35D34">
        <w:rPr>
          <w:rFonts w:ascii="Times New Roman" w:hAnsi="Times New Roman" w:cs="Times New Roman"/>
          <w:bCs/>
          <w:sz w:val="24"/>
          <w:szCs w:val="24"/>
        </w:rPr>
        <w:t>The statistics in Table 1 of t</w:t>
      </w:r>
      <w:r w:rsidR="00E30E52">
        <w:rPr>
          <w:rFonts w:ascii="Times New Roman" w:hAnsi="Times New Roman" w:cs="Times New Roman"/>
          <w:bCs/>
          <w:sz w:val="24"/>
          <w:szCs w:val="24"/>
        </w:rPr>
        <w:t>he introduction section present</w:t>
      </w:r>
      <w:r w:rsidR="00A35D34">
        <w:rPr>
          <w:rFonts w:ascii="Times New Roman" w:hAnsi="Times New Roman" w:cs="Times New Roman"/>
          <w:bCs/>
          <w:sz w:val="24"/>
          <w:szCs w:val="24"/>
        </w:rPr>
        <w:t xml:space="preserve"> the health system capacity of hospitals within the EAC region before the first case was reported in March 2020. Therefore, subsequent estimates for the period commencing March 2020 are modeled based on these statistics. </w:t>
      </w:r>
      <w:r w:rsidR="00FC2D41">
        <w:rPr>
          <w:rFonts w:ascii="Times New Roman" w:hAnsi="Times New Roman" w:cs="Times New Roman"/>
          <w:bCs/>
          <w:sz w:val="24"/>
          <w:szCs w:val="24"/>
        </w:rPr>
        <w:t xml:space="preserve">Unlike the study by Barasa </w:t>
      </w:r>
      <w:r w:rsidR="00FC2D41" w:rsidRPr="003C52F4">
        <w:rPr>
          <w:rFonts w:ascii="Times New Roman" w:hAnsi="Times New Roman" w:cs="Times New Roman"/>
          <w:bCs/>
          <w:i/>
          <w:sz w:val="24"/>
          <w:szCs w:val="24"/>
        </w:rPr>
        <w:t xml:space="preserve">et </w:t>
      </w:r>
      <w:r w:rsidR="00603739" w:rsidRPr="003C52F4">
        <w:rPr>
          <w:rFonts w:ascii="Times New Roman" w:hAnsi="Times New Roman" w:cs="Times New Roman"/>
          <w:bCs/>
          <w:i/>
          <w:sz w:val="24"/>
          <w:szCs w:val="24"/>
        </w:rPr>
        <w:t>al.</w:t>
      </w:r>
      <w:r w:rsidR="00603739">
        <w:rPr>
          <w:rFonts w:ascii="Times New Roman" w:hAnsi="Times New Roman" w:cs="Times New Roman"/>
          <w:bCs/>
          <w:sz w:val="24"/>
          <w:szCs w:val="24"/>
        </w:rPr>
        <w:t xml:space="preserve"> </w:t>
      </w:r>
      <w:r w:rsidR="00FC2D41">
        <w:rPr>
          <w:rFonts w:ascii="Times New Roman" w:hAnsi="Times New Roman" w:cs="Times New Roman"/>
          <w:bCs/>
          <w:sz w:val="24"/>
          <w:szCs w:val="24"/>
        </w:rPr>
        <w:t>(2020) that simply makes assumptions on the possible surg</w:t>
      </w:r>
      <w:r w:rsidR="00A33D47">
        <w:rPr>
          <w:rFonts w:ascii="Times New Roman" w:hAnsi="Times New Roman" w:cs="Times New Roman"/>
          <w:bCs/>
          <w:sz w:val="24"/>
          <w:szCs w:val="24"/>
        </w:rPr>
        <w:t xml:space="preserve">e capacity using an unknown </w:t>
      </w:r>
      <w:r w:rsidR="00FC2D41">
        <w:rPr>
          <w:rFonts w:ascii="Times New Roman" w:hAnsi="Times New Roman" w:cs="Times New Roman"/>
          <w:bCs/>
          <w:sz w:val="24"/>
          <w:szCs w:val="24"/>
        </w:rPr>
        <w:t xml:space="preserve">number of infected COVID-19 patients, this study makes reasonable assumptions by predicting the surge capacity based on the </w:t>
      </w:r>
      <w:r w:rsidR="00A33D47">
        <w:rPr>
          <w:rFonts w:ascii="Times New Roman" w:hAnsi="Times New Roman" w:cs="Times New Roman"/>
          <w:bCs/>
          <w:sz w:val="24"/>
          <w:szCs w:val="24"/>
        </w:rPr>
        <w:t xml:space="preserve">actual monthly </w:t>
      </w:r>
      <w:r w:rsidR="00FC2D41">
        <w:rPr>
          <w:rFonts w:ascii="Times New Roman" w:hAnsi="Times New Roman" w:cs="Times New Roman"/>
          <w:bCs/>
          <w:sz w:val="24"/>
          <w:szCs w:val="24"/>
        </w:rPr>
        <w:t xml:space="preserve">number of </w:t>
      </w:r>
      <w:r w:rsidR="00A33D47">
        <w:rPr>
          <w:rFonts w:ascii="Times New Roman" w:hAnsi="Times New Roman" w:cs="Times New Roman"/>
          <w:bCs/>
          <w:sz w:val="24"/>
          <w:szCs w:val="24"/>
        </w:rPr>
        <w:t xml:space="preserve">confirmed </w:t>
      </w:r>
      <w:r w:rsidR="00B62CD9">
        <w:rPr>
          <w:rFonts w:ascii="Times New Roman" w:hAnsi="Times New Roman" w:cs="Times New Roman"/>
          <w:bCs/>
          <w:sz w:val="24"/>
          <w:szCs w:val="24"/>
        </w:rPr>
        <w:t>COVID-19 cases.</w:t>
      </w:r>
    </w:p>
    <w:p w:rsidR="00E86A37" w:rsidRDefault="001F32E6" w:rsidP="00B62CD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F6B67">
        <w:rPr>
          <w:rFonts w:ascii="Times New Roman" w:hAnsi="Times New Roman" w:cs="Times New Roman"/>
          <w:bCs/>
          <w:sz w:val="24"/>
          <w:szCs w:val="24"/>
        </w:rPr>
        <w:t xml:space="preserve">We denote the </w:t>
      </w:r>
      <w:r w:rsidR="00E86A37">
        <w:rPr>
          <w:rFonts w:ascii="Times New Roman" w:hAnsi="Times New Roman" w:cs="Times New Roman"/>
          <w:bCs/>
          <w:sz w:val="24"/>
          <w:szCs w:val="24"/>
        </w:rPr>
        <w:t xml:space="preserve">COVID-19 cases reported for country </w:t>
      </w:r>
      <w:r w:rsidR="00E86A37" w:rsidRPr="00E86A37">
        <w:rPr>
          <w:rFonts w:ascii="Times New Roman" w:hAnsi="Times New Roman" w:cs="Times New Roman"/>
          <w:b/>
          <w:bCs/>
          <w:i/>
          <w:sz w:val="24"/>
          <w:szCs w:val="24"/>
        </w:rPr>
        <w:t>i</w:t>
      </w:r>
      <w:r w:rsidR="00E86A37">
        <w:rPr>
          <w:rFonts w:ascii="Times New Roman" w:hAnsi="Times New Roman" w:cs="Times New Roman"/>
          <w:bCs/>
          <w:sz w:val="24"/>
          <w:szCs w:val="24"/>
        </w:rPr>
        <w:t xml:space="preserve"> at time </w:t>
      </w:r>
      <w:proofErr w:type="spellStart"/>
      <w:r w:rsidR="00E86A37" w:rsidRPr="00E86A37">
        <w:rPr>
          <w:rFonts w:ascii="Times New Roman" w:hAnsi="Times New Roman" w:cs="Times New Roman"/>
          <w:b/>
          <w:bCs/>
          <w:i/>
          <w:sz w:val="24"/>
          <w:szCs w:val="24"/>
        </w:rPr>
        <w:t>t</w:t>
      </w:r>
      <w:proofErr w:type="spellEnd"/>
      <w:r w:rsidR="00D720A1">
        <w:rPr>
          <w:rFonts w:ascii="Times New Roman" w:hAnsi="Times New Roman" w:cs="Times New Roman"/>
          <w:bCs/>
          <w:sz w:val="24"/>
          <w:szCs w:val="24"/>
        </w:rPr>
        <w:t xml:space="preserve"> </w:t>
      </w:r>
      <w:r w:rsidR="00E86A37">
        <w:rPr>
          <w:rFonts w:ascii="Times New Roman" w:hAnsi="Times New Roman" w:cs="Times New Roman"/>
          <w:bCs/>
          <w:sz w:val="24"/>
          <w:szCs w:val="24"/>
        </w:rPr>
        <w:t xml:space="preserve">be </w:t>
      </w:r>
      <w:r w:rsidR="00E86A37">
        <w:rPr>
          <w:rFonts w:ascii="Times New Roman" w:hAnsi="Times New Roman" w:cs="Times New Roman"/>
          <w:b/>
          <w:bCs/>
          <w:i/>
          <w:sz w:val="24"/>
          <w:szCs w:val="24"/>
        </w:rPr>
        <w:t xml:space="preserve">CC. </w:t>
      </w:r>
      <w:r w:rsidR="00E86A37" w:rsidRPr="00E86A37">
        <w:rPr>
          <w:rFonts w:ascii="Times New Roman" w:hAnsi="Times New Roman" w:cs="Times New Roman"/>
          <w:bCs/>
          <w:sz w:val="24"/>
          <w:szCs w:val="24"/>
        </w:rPr>
        <w:t xml:space="preserve">We </w:t>
      </w:r>
      <w:r w:rsidR="00E86A37">
        <w:rPr>
          <w:rFonts w:ascii="Times New Roman" w:hAnsi="Times New Roman" w:cs="Times New Roman"/>
          <w:bCs/>
          <w:sz w:val="24"/>
          <w:szCs w:val="24"/>
        </w:rPr>
        <w:t>assume that 15% of the confirmed COVID-19 pati</w:t>
      </w:r>
      <w:r w:rsidR="00D720A1">
        <w:rPr>
          <w:rFonts w:ascii="Times New Roman" w:hAnsi="Times New Roman" w:cs="Times New Roman"/>
          <w:bCs/>
          <w:sz w:val="24"/>
          <w:szCs w:val="24"/>
        </w:rPr>
        <w:t xml:space="preserve">ents across each country over </w:t>
      </w:r>
      <w:r w:rsidR="00E86A37">
        <w:rPr>
          <w:rFonts w:ascii="Times New Roman" w:hAnsi="Times New Roman" w:cs="Times New Roman"/>
          <w:bCs/>
          <w:sz w:val="24"/>
          <w:szCs w:val="24"/>
        </w:rPr>
        <w:t>3 month</w:t>
      </w:r>
      <w:r w:rsidR="00D720A1">
        <w:rPr>
          <w:rFonts w:ascii="Times New Roman" w:hAnsi="Times New Roman" w:cs="Times New Roman"/>
          <w:bCs/>
          <w:sz w:val="24"/>
          <w:szCs w:val="24"/>
        </w:rPr>
        <w:t xml:space="preserve">s </w:t>
      </w:r>
      <w:r w:rsidR="00E86A37">
        <w:rPr>
          <w:rFonts w:ascii="Times New Roman" w:hAnsi="Times New Roman" w:cs="Times New Roman"/>
          <w:bCs/>
          <w:sz w:val="24"/>
          <w:szCs w:val="24"/>
        </w:rPr>
        <w:t>require critical ICU care and or ventilator for oxygen supply. We justify the small proportion of 5% cases monthly on the basis that most of the infected persons might recover from the disease without necessarily requiring critical care.</w:t>
      </w:r>
      <w:r w:rsidR="006C29BF">
        <w:rPr>
          <w:rFonts w:ascii="Times New Roman" w:hAnsi="Times New Roman" w:cs="Times New Roman"/>
          <w:bCs/>
          <w:sz w:val="24"/>
          <w:szCs w:val="24"/>
        </w:rPr>
        <w:t xml:space="preserve"> We, therefore, specify equation (1) as follows:</w:t>
      </w:r>
    </w:p>
    <w:p w:rsidR="006C29BF" w:rsidRPr="006C29BF" w:rsidRDefault="006473EA" w:rsidP="00850113">
      <w:pPr>
        <w:spacing w:after="0" w:line="360" w:lineRule="auto"/>
        <w:jc w:val="both"/>
        <w:rPr>
          <w:rFonts w:ascii="Times New Roman" w:eastAsiaTheme="minorEastAsia" w:hAnsi="Times New Roman" w:cs="Times New Roman"/>
          <w:b/>
          <w:bCs/>
          <w:sz w:val="24"/>
          <w:szCs w:val="24"/>
        </w:rPr>
      </w:pPr>
      <m:oMathPara>
        <m:oMathParaPr>
          <m:jc m:val="left"/>
        </m:oMathPara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CP</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=δ</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CC</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………………………………………………………………………………………….(1)</m:t>
          </m:r>
        </m:oMath>
      </m:oMathPara>
    </w:p>
    <w:p w:rsidR="00684E47" w:rsidRDefault="006C29BF" w:rsidP="00684E47">
      <w:pPr>
        <w:spacing w:line="360" w:lineRule="auto"/>
        <w:jc w:val="both"/>
        <w:rPr>
          <w:rFonts w:ascii="Times New Roman" w:eastAsiaTheme="minorEastAsia" w:hAnsi="Times New Roman" w:cs="Times New Roman"/>
          <w:bCs/>
          <w:sz w:val="24"/>
          <w:szCs w:val="24"/>
        </w:rPr>
      </w:pPr>
      <w:proofErr w:type="gramStart"/>
      <w:r w:rsidRPr="00FD3AE6">
        <w:rPr>
          <w:rFonts w:ascii="Times New Roman" w:eastAsiaTheme="minorEastAsia" w:hAnsi="Times New Roman" w:cs="Times New Roman"/>
          <w:bCs/>
          <w:sz w:val="24"/>
          <w:szCs w:val="24"/>
        </w:rPr>
        <w:t>Where</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 xml:space="preserve"> CP</m:t>
            </m:r>
          </m:e>
          <m:sub>
            <m:r>
              <m:rPr>
                <m:sty m:val="bi"/>
              </m:rPr>
              <w:rPr>
                <w:rFonts w:ascii="Cambria Math" w:hAnsi="Cambria Math" w:cs="Times New Roman"/>
                <w:sz w:val="24"/>
                <w:szCs w:val="24"/>
              </w:rPr>
              <m:t>it</m:t>
            </m:r>
          </m:sub>
        </m:sSub>
      </m:oMath>
      <w:r>
        <w:rPr>
          <w:rFonts w:ascii="Times New Roman" w:eastAsiaTheme="minorEastAsia" w:hAnsi="Times New Roman" w:cs="Times New Roman"/>
          <w:b/>
          <w:bCs/>
          <w:sz w:val="24"/>
          <w:szCs w:val="24"/>
        </w:rPr>
        <w:t xml:space="preserve"> </w:t>
      </w:r>
      <w:r w:rsidRPr="00FD3AE6">
        <w:rPr>
          <w:rFonts w:ascii="Times New Roman" w:eastAsiaTheme="minorEastAsia" w:hAnsi="Times New Roman" w:cs="Times New Roman"/>
          <w:bCs/>
          <w:sz w:val="24"/>
          <w:szCs w:val="24"/>
        </w:rPr>
        <w:t xml:space="preserve">is the </w:t>
      </w:r>
      <w:r w:rsidR="00FD3AE6">
        <w:rPr>
          <w:rFonts w:ascii="Times New Roman" w:eastAsiaTheme="minorEastAsia" w:hAnsi="Times New Roman" w:cs="Times New Roman"/>
          <w:bCs/>
          <w:sz w:val="24"/>
          <w:szCs w:val="24"/>
        </w:rPr>
        <w:t xml:space="preserve">estimated number of </w:t>
      </w:r>
      <w:r w:rsidRPr="00FD3AE6">
        <w:rPr>
          <w:rFonts w:ascii="Times New Roman" w:eastAsiaTheme="minorEastAsia" w:hAnsi="Times New Roman" w:cs="Times New Roman"/>
          <w:bCs/>
          <w:sz w:val="24"/>
          <w:szCs w:val="24"/>
        </w:rPr>
        <w:t xml:space="preserve">COVID-19 </w:t>
      </w:r>
      <w:r w:rsidR="006852C0">
        <w:rPr>
          <w:rFonts w:ascii="Times New Roman" w:eastAsiaTheme="minorEastAsia" w:hAnsi="Times New Roman" w:cs="Times New Roman"/>
          <w:bCs/>
          <w:sz w:val="24"/>
          <w:szCs w:val="24"/>
        </w:rPr>
        <w:t>patients needing</w:t>
      </w:r>
      <w:proofErr w:type="gramEnd"/>
      <w:r w:rsidR="00FD3AE6">
        <w:rPr>
          <w:rFonts w:ascii="Times New Roman" w:eastAsiaTheme="minorEastAsia" w:hAnsi="Times New Roman" w:cs="Times New Roman"/>
          <w:bCs/>
          <w:sz w:val="24"/>
          <w:szCs w:val="24"/>
        </w:rPr>
        <w:t xml:space="preserve"> critical care and </w:t>
      </w:r>
      <m:oMath>
        <m:r>
          <m:rPr>
            <m:sty m:val="bi"/>
          </m:rPr>
          <w:rPr>
            <w:rFonts w:ascii="Cambria Math" w:hAnsi="Cambria Math" w:cs="Times New Roman"/>
            <w:sz w:val="24"/>
            <w:szCs w:val="24"/>
          </w:rPr>
          <m:t>δ</m:t>
        </m:r>
      </m:oMath>
      <w:r w:rsidR="00FD3AE6" w:rsidRPr="00FD3AE6">
        <w:rPr>
          <w:rFonts w:ascii="Times New Roman" w:eastAsiaTheme="minorEastAsia" w:hAnsi="Times New Roman" w:cs="Times New Roman"/>
          <w:b/>
          <w:bCs/>
          <w:i/>
          <w:sz w:val="24"/>
          <w:szCs w:val="24"/>
        </w:rPr>
        <w:t xml:space="preserve"> </w:t>
      </w:r>
      <w:r w:rsidR="00FD3AE6">
        <w:rPr>
          <w:rFonts w:ascii="Times New Roman" w:eastAsiaTheme="minorEastAsia" w:hAnsi="Times New Roman" w:cs="Times New Roman"/>
          <w:bCs/>
          <w:sz w:val="24"/>
          <w:szCs w:val="24"/>
        </w:rPr>
        <w:t xml:space="preserve">is the </w:t>
      </w:r>
      <w:r w:rsidR="00133F48">
        <w:rPr>
          <w:rFonts w:ascii="Times New Roman" w:eastAsiaTheme="minorEastAsia" w:hAnsi="Times New Roman" w:cs="Times New Roman"/>
          <w:bCs/>
          <w:sz w:val="24"/>
          <w:szCs w:val="24"/>
        </w:rPr>
        <w:t>assumed critical care proportion</w:t>
      </w:r>
      <w:r w:rsidR="00765B3C">
        <w:rPr>
          <w:rFonts w:ascii="Times New Roman" w:eastAsiaTheme="minorEastAsia" w:hAnsi="Times New Roman" w:cs="Times New Roman"/>
          <w:bCs/>
          <w:sz w:val="24"/>
          <w:szCs w:val="24"/>
        </w:rPr>
        <w:t>.</w:t>
      </w:r>
    </w:p>
    <w:p w:rsidR="00850113" w:rsidRPr="00684E47" w:rsidRDefault="00684E47" w:rsidP="00684E47">
      <w:pPr>
        <w:spacing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w:t>
      </w:r>
      <w:r w:rsidR="00FE7803">
        <w:rPr>
          <w:rFonts w:ascii="Times New Roman" w:hAnsi="Times New Roman" w:cs="Times New Roman"/>
          <w:bCs/>
          <w:sz w:val="24"/>
          <w:szCs w:val="24"/>
        </w:rPr>
        <w:t>D</w:t>
      </w:r>
      <w:r w:rsidR="008C355B">
        <w:rPr>
          <w:rFonts w:ascii="Times New Roman" w:hAnsi="Times New Roman" w:cs="Times New Roman"/>
          <w:bCs/>
          <w:sz w:val="24"/>
          <w:szCs w:val="24"/>
        </w:rPr>
        <w:t xml:space="preserve">ifferently from Barasa </w:t>
      </w:r>
      <w:r w:rsidR="00603739">
        <w:rPr>
          <w:rFonts w:ascii="Times New Roman" w:hAnsi="Times New Roman" w:cs="Times New Roman"/>
          <w:bCs/>
          <w:sz w:val="24"/>
          <w:szCs w:val="24"/>
        </w:rPr>
        <w:t xml:space="preserve">et al. </w:t>
      </w:r>
      <w:r w:rsidR="008C355B">
        <w:rPr>
          <w:rFonts w:ascii="Times New Roman" w:hAnsi="Times New Roman" w:cs="Times New Roman"/>
          <w:bCs/>
          <w:sz w:val="24"/>
          <w:szCs w:val="24"/>
        </w:rPr>
        <w:t>(2020), t</w:t>
      </w:r>
      <w:r w:rsidR="0003014C">
        <w:rPr>
          <w:rFonts w:ascii="Times New Roman" w:hAnsi="Times New Roman" w:cs="Times New Roman"/>
          <w:bCs/>
          <w:sz w:val="24"/>
          <w:szCs w:val="24"/>
        </w:rPr>
        <w:t xml:space="preserve">his study acknowledges that since the first case of the virus was reported in March 2020 in the EAC region, economies within the region strengthened their health systems to accommodate the increasing number of infected COVID-19 patients. As a result, governments stepped up the hospitals’ ability to accommodate the critically ill COVID-19 patients by providing financial support to various </w:t>
      </w:r>
      <w:r w:rsidR="00A04C28">
        <w:rPr>
          <w:rFonts w:ascii="Times New Roman" w:hAnsi="Times New Roman" w:cs="Times New Roman"/>
          <w:bCs/>
          <w:sz w:val="24"/>
          <w:szCs w:val="24"/>
        </w:rPr>
        <w:t>hospitals. This aimed at enabling them to acquire more ICU beds as well as equipping them with requisite equipment such as ventilators.</w:t>
      </w:r>
      <w:r w:rsidR="00B630E1">
        <w:rPr>
          <w:rFonts w:ascii="Times New Roman" w:hAnsi="Times New Roman" w:cs="Times New Roman"/>
          <w:bCs/>
          <w:sz w:val="24"/>
          <w:szCs w:val="24"/>
        </w:rPr>
        <w:t xml:space="preserve"> In this light, therefore, we assume that the number of ICU beds and ventilators increased proportionately by 5% </w:t>
      </w:r>
      <w:r w:rsidR="004D7E24">
        <w:rPr>
          <w:rFonts w:ascii="Times New Roman" w:hAnsi="Times New Roman" w:cs="Times New Roman"/>
          <w:bCs/>
          <w:sz w:val="24"/>
          <w:szCs w:val="24"/>
        </w:rPr>
        <w:t xml:space="preserve">(monthly) </w:t>
      </w:r>
      <w:r w:rsidR="00B630E1">
        <w:rPr>
          <w:rFonts w:ascii="Times New Roman" w:hAnsi="Times New Roman" w:cs="Times New Roman"/>
          <w:bCs/>
          <w:sz w:val="24"/>
          <w:szCs w:val="24"/>
        </w:rPr>
        <w:t>across all the hospitals in the selected EAC countries. T</w:t>
      </w:r>
      <w:r w:rsidR="00B60238">
        <w:rPr>
          <w:rFonts w:ascii="Times New Roman" w:hAnsi="Times New Roman" w:cs="Times New Roman"/>
          <w:bCs/>
          <w:sz w:val="24"/>
          <w:szCs w:val="24"/>
        </w:rPr>
        <w:t xml:space="preserve">his translates to about an </w:t>
      </w:r>
      <w:r w:rsidR="00B630E1">
        <w:rPr>
          <w:rFonts w:ascii="Times New Roman" w:hAnsi="Times New Roman" w:cs="Times New Roman"/>
          <w:bCs/>
          <w:sz w:val="24"/>
          <w:szCs w:val="24"/>
        </w:rPr>
        <w:t xml:space="preserve">additional </w:t>
      </w:r>
      <w:r w:rsidR="00B60238">
        <w:rPr>
          <w:rFonts w:ascii="Times New Roman" w:hAnsi="Times New Roman" w:cs="Times New Roman"/>
          <w:bCs/>
          <w:sz w:val="24"/>
          <w:szCs w:val="24"/>
        </w:rPr>
        <w:t xml:space="preserve">26 and 13 </w:t>
      </w:r>
      <w:r w:rsidR="00B630E1">
        <w:rPr>
          <w:rFonts w:ascii="Times New Roman" w:hAnsi="Times New Roman" w:cs="Times New Roman"/>
          <w:bCs/>
          <w:sz w:val="24"/>
          <w:szCs w:val="24"/>
        </w:rPr>
        <w:t xml:space="preserve">ICU beds </w:t>
      </w:r>
      <w:r w:rsidR="009C3B09">
        <w:rPr>
          <w:rFonts w:ascii="Times New Roman" w:hAnsi="Times New Roman" w:cs="Times New Roman"/>
          <w:bCs/>
          <w:sz w:val="24"/>
          <w:szCs w:val="24"/>
        </w:rPr>
        <w:t>and ventilators</w:t>
      </w:r>
      <w:r w:rsidR="00075B42">
        <w:rPr>
          <w:rFonts w:ascii="Times New Roman" w:hAnsi="Times New Roman" w:cs="Times New Roman"/>
          <w:bCs/>
          <w:sz w:val="24"/>
          <w:szCs w:val="24"/>
        </w:rPr>
        <w:t xml:space="preserve"> respectively per month</w:t>
      </w:r>
      <w:r w:rsidR="009C3B09">
        <w:rPr>
          <w:rFonts w:ascii="Times New Roman" w:hAnsi="Times New Roman" w:cs="Times New Roman"/>
          <w:bCs/>
          <w:sz w:val="24"/>
          <w:szCs w:val="24"/>
        </w:rPr>
        <w:t xml:space="preserve">. Based on this assumption, we proceed and compute </w:t>
      </w:r>
      <w:r w:rsidR="00240C87">
        <w:rPr>
          <w:rFonts w:ascii="Times New Roman" w:hAnsi="Times New Roman" w:cs="Times New Roman"/>
          <w:bCs/>
          <w:sz w:val="24"/>
          <w:szCs w:val="24"/>
        </w:rPr>
        <w:t>this additional increase on a 3-</w:t>
      </w:r>
      <w:r w:rsidR="009C3B09">
        <w:rPr>
          <w:rFonts w:ascii="Times New Roman" w:hAnsi="Times New Roman" w:cs="Times New Roman"/>
          <w:bCs/>
          <w:sz w:val="24"/>
          <w:szCs w:val="24"/>
        </w:rPr>
        <w:t>month basis for the period March 2020-</w:t>
      </w:r>
      <w:r w:rsidR="0040195F">
        <w:rPr>
          <w:rFonts w:ascii="Times New Roman" w:hAnsi="Times New Roman" w:cs="Times New Roman"/>
          <w:bCs/>
          <w:sz w:val="24"/>
          <w:szCs w:val="24"/>
        </w:rPr>
        <w:t>May</w:t>
      </w:r>
      <w:r w:rsidR="00C45F4C">
        <w:rPr>
          <w:rFonts w:ascii="Times New Roman" w:hAnsi="Times New Roman" w:cs="Times New Roman"/>
          <w:bCs/>
          <w:sz w:val="24"/>
          <w:szCs w:val="24"/>
        </w:rPr>
        <w:t>2021</w:t>
      </w:r>
      <w:r w:rsidR="006B74E6">
        <w:rPr>
          <w:rFonts w:ascii="Times New Roman" w:hAnsi="Times New Roman" w:cs="Times New Roman"/>
          <w:bCs/>
          <w:sz w:val="24"/>
          <w:szCs w:val="24"/>
        </w:rPr>
        <w:t>as shown in equation</w:t>
      </w:r>
      <w:r w:rsidR="008D5EEF">
        <w:rPr>
          <w:rFonts w:ascii="Times New Roman" w:hAnsi="Times New Roman" w:cs="Times New Roman"/>
          <w:bCs/>
          <w:sz w:val="24"/>
          <w:szCs w:val="24"/>
        </w:rPr>
        <w:t>s</w:t>
      </w:r>
      <w:r w:rsidR="006B74E6">
        <w:rPr>
          <w:rFonts w:ascii="Times New Roman" w:hAnsi="Times New Roman" w:cs="Times New Roman"/>
          <w:bCs/>
          <w:sz w:val="24"/>
          <w:szCs w:val="24"/>
        </w:rPr>
        <w:t xml:space="preserve"> (2</w:t>
      </w:r>
      <w:r w:rsidR="008D5EEF">
        <w:rPr>
          <w:rFonts w:ascii="Times New Roman" w:hAnsi="Times New Roman" w:cs="Times New Roman"/>
          <w:bCs/>
          <w:sz w:val="24"/>
          <w:szCs w:val="24"/>
        </w:rPr>
        <w:t>a</w:t>
      </w:r>
      <w:r w:rsidR="006B74E6">
        <w:rPr>
          <w:rFonts w:ascii="Times New Roman" w:hAnsi="Times New Roman" w:cs="Times New Roman"/>
          <w:bCs/>
          <w:sz w:val="24"/>
          <w:szCs w:val="24"/>
        </w:rPr>
        <w:t>)</w:t>
      </w:r>
      <w:r w:rsidR="008D5EEF">
        <w:rPr>
          <w:rFonts w:ascii="Times New Roman" w:hAnsi="Times New Roman" w:cs="Times New Roman"/>
          <w:bCs/>
          <w:sz w:val="24"/>
          <w:szCs w:val="24"/>
        </w:rPr>
        <w:t xml:space="preserve"> and (2b).</w:t>
      </w:r>
    </w:p>
    <w:p w:rsidR="006B74E6" w:rsidRPr="006B74E6" w:rsidRDefault="006B74E6" w:rsidP="00850113">
      <w:pPr>
        <w:spacing w:after="0" w:line="360" w:lineRule="auto"/>
        <w:jc w:val="both"/>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I</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CUest</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=γI</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CUact</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……………………………………………………………………………(2</m:t>
          </m:r>
          <m:r>
            <m:rPr>
              <m:sty m:val="bi"/>
            </m:rPr>
            <w:rPr>
              <w:rFonts w:ascii="Cambria Math" w:hAnsi="Cambria Math" w:cs="Times New Roman"/>
              <w:sz w:val="24"/>
              <w:szCs w:val="24"/>
            </w:rPr>
            <m:t>a)</m:t>
          </m:r>
        </m:oMath>
      </m:oMathPara>
    </w:p>
    <w:p w:rsidR="00ED4FA6" w:rsidRPr="006B74E6" w:rsidRDefault="00ED4FA6" w:rsidP="00684E47">
      <w:pPr>
        <w:spacing w:line="360" w:lineRule="auto"/>
        <w:jc w:val="both"/>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VENT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est</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=γVENT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act</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……………………………………………………………………….(2</m:t>
          </m:r>
          <m:r>
            <m:rPr>
              <m:sty m:val="bi"/>
            </m:rPr>
            <w:rPr>
              <w:rFonts w:ascii="Cambria Math" w:hAnsi="Cambria Math" w:cs="Times New Roman"/>
              <w:sz w:val="24"/>
              <w:szCs w:val="24"/>
            </w:rPr>
            <m:t>b)</m:t>
          </m:r>
        </m:oMath>
      </m:oMathPara>
    </w:p>
    <w:p w:rsidR="002A2D96" w:rsidRPr="00684E47" w:rsidRDefault="00684E47" w:rsidP="00684E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B6706">
        <w:rPr>
          <w:rFonts w:ascii="Times New Roman" w:hAnsi="Times New Roman" w:cs="Times New Roman"/>
          <w:bCs/>
          <w:sz w:val="24"/>
          <w:szCs w:val="24"/>
        </w:rPr>
        <w:t xml:space="preserve">Where </w:t>
      </w:r>
      <m:oMath>
        <m:r>
          <m:rPr>
            <m:sty m:val="bi"/>
          </m:rPr>
          <w:rPr>
            <w:rFonts w:ascii="Cambria Math" w:hAnsi="Cambria Math" w:cs="Times New Roman"/>
            <w:sz w:val="24"/>
            <w:szCs w:val="24"/>
          </w:rPr>
          <m:t>I</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CUest</m:t>
            </m:r>
          </m:e>
          <m:sub>
            <m:r>
              <m:rPr>
                <m:sty m:val="bi"/>
              </m:rPr>
              <w:rPr>
                <w:rFonts w:ascii="Cambria Math" w:hAnsi="Cambria Math" w:cs="Times New Roman"/>
                <w:sz w:val="24"/>
                <w:szCs w:val="24"/>
              </w:rPr>
              <m:t>it</m:t>
            </m:r>
          </m:sub>
        </m:sSub>
      </m:oMath>
      <w:r w:rsidR="002B6706">
        <w:rPr>
          <w:rFonts w:ascii="Times New Roman" w:eastAsiaTheme="minorEastAsia" w:hAnsi="Times New Roman" w:cs="Times New Roman"/>
          <w:b/>
          <w:bCs/>
          <w:sz w:val="24"/>
          <w:szCs w:val="24"/>
        </w:rPr>
        <w:t xml:space="preserve"> </w:t>
      </w:r>
      <w:r w:rsidR="002B6706" w:rsidRPr="002B6706">
        <w:rPr>
          <w:rFonts w:ascii="Times New Roman" w:eastAsiaTheme="minorEastAsia" w:hAnsi="Times New Roman" w:cs="Times New Roman"/>
          <w:bCs/>
          <w:sz w:val="24"/>
          <w:szCs w:val="24"/>
        </w:rPr>
        <w:t>and</w:t>
      </w:r>
      <w:r w:rsidR="002B6706">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VENT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est</m:t>
            </m:r>
          </m:e>
          <m:sub>
            <m:r>
              <m:rPr>
                <m:sty m:val="bi"/>
              </m:rPr>
              <w:rPr>
                <w:rFonts w:ascii="Cambria Math" w:hAnsi="Cambria Math" w:cs="Times New Roman"/>
                <w:sz w:val="24"/>
                <w:szCs w:val="24"/>
              </w:rPr>
              <m:t>it</m:t>
            </m:r>
          </m:sub>
        </m:sSub>
      </m:oMath>
      <w:r w:rsidR="002B6706">
        <w:rPr>
          <w:rFonts w:ascii="Times New Roman" w:eastAsiaTheme="minorEastAsia" w:hAnsi="Times New Roman" w:cs="Times New Roman"/>
          <w:b/>
          <w:bCs/>
          <w:sz w:val="24"/>
          <w:szCs w:val="24"/>
        </w:rPr>
        <w:t xml:space="preserve"> </w:t>
      </w:r>
      <w:r w:rsidR="006852C0">
        <w:rPr>
          <w:rFonts w:ascii="Times New Roman" w:eastAsiaTheme="minorEastAsia" w:hAnsi="Times New Roman" w:cs="Times New Roman"/>
          <w:bCs/>
          <w:sz w:val="24"/>
          <w:szCs w:val="24"/>
        </w:rPr>
        <w:t xml:space="preserve">denote the estimated </w:t>
      </w:r>
      <w:r w:rsidR="006852C0">
        <w:rPr>
          <w:rFonts w:ascii="Times New Roman" w:hAnsi="Times New Roman" w:cs="Times New Roman"/>
          <w:bCs/>
          <w:sz w:val="24"/>
          <w:szCs w:val="24"/>
        </w:rPr>
        <w:t>ICU beds &amp;</w:t>
      </w:r>
      <w:r w:rsidR="002B6706">
        <w:rPr>
          <w:rFonts w:ascii="Times New Roman" w:hAnsi="Times New Roman" w:cs="Times New Roman"/>
          <w:bCs/>
          <w:sz w:val="24"/>
          <w:szCs w:val="24"/>
        </w:rPr>
        <w:t xml:space="preserve"> ventilators based on the actual number </w:t>
      </w:r>
      <w:r w:rsidR="002A2D96">
        <w:rPr>
          <w:rFonts w:ascii="Times New Roman" w:hAnsi="Times New Roman" w:cs="Times New Roman"/>
          <w:bCs/>
          <w:sz w:val="24"/>
          <w:szCs w:val="24"/>
        </w:rPr>
        <w:t>rep</w:t>
      </w:r>
      <w:r w:rsidR="00240C87">
        <w:rPr>
          <w:rFonts w:ascii="Times New Roman" w:hAnsi="Times New Roman" w:cs="Times New Roman"/>
          <w:bCs/>
          <w:sz w:val="24"/>
          <w:szCs w:val="24"/>
        </w:rPr>
        <w:t>orted at country levels before</w:t>
      </w:r>
      <w:r w:rsidR="002A2D96">
        <w:rPr>
          <w:rFonts w:ascii="Times New Roman" w:hAnsi="Times New Roman" w:cs="Times New Roman"/>
          <w:bCs/>
          <w:sz w:val="24"/>
          <w:szCs w:val="24"/>
        </w:rPr>
        <w:t xml:space="preserve"> the inception of the pandemic.</w:t>
      </w:r>
      <w:r>
        <w:rPr>
          <w:rFonts w:ascii="Times New Roman" w:hAnsi="Times New Roman" w:cs="Times New Roman"/>
          <w:bCs/>
          <w:sz w:val="24"/>
          <w:szCs w:val="24"/>
        </w:rPr>
        <w:t xml:space="preserve"> </w:t>
      </w:r>
      <m:oMath>
        <m:r>
          <m:rPr>
            <m:sty m:val="bi"/>
          </m:rPr>
          <w:rPr>
            <w:rFonts w:ascii="Cambria Math" w:hAnsi="Cambria Math" w:cs="Times New Roman"/>
            <w:sz w:val="24"/>
            <w:szCs w:val="24"/>
          </w:rPr>
          <m:t>I</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CUact</m:t>
            </m:r>
          </m:e>
          <m:sub>
            <m:r>
              <m:rPr>
                <m:sty m:val="bi"/>
              </m:rPr>
              <w:rPr>
                <w:rFonts w:ascii="Cambria Math" w:hAnsi="Cambria Math" w:cs="Times New Roman"/>
                <w:sz w:val="24"/>
                <w:szCs w:val="24"/>
              </w:rPr>
              <m:t>it</m:t>
            </m:r>
          </m:sub>
        </m:sSub>
      </m:oMath>
      <w:r w:rsidR="00602546">
        <w:rPr>
          <w:rFonts w:ascii="Times New Roman" w:eastAsiaTheme="minorEastAsia" w:hAnsi="Times New Roman" w:cs="Times New Roman"/>
          <w:b/>
          <w:bCs/>
          <w:sz w:val="24"/>
          <w:szCs w:val="24"/>
        </w:rPr>
        <w:t xml:space="preserve"> </w:t>
      </w:r>
      <w:proofErr w:type="gramStart"/>
      <w:r w:rsidR="002A2D96" w:rsidRPr="002A2D96">
        <w:rPr>
          <w:rFonts w:ascii="Times New Roman" w:eastAsiaTheme="minorEastAsia" w:hAnsi="Times New Roman" w:cs="Times New Roman"/>
          <w:bCs/>
          <w:sz w:val="24"/>
          <w:szCs w:val="24"/>
        </w:rPr>
        <w:t>and</w:t>
      </w:r>
      <w:proofErr w:type="gramEnd"/>
      <w:r w:rsidR="002A2D96">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VENT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act</m:t>
            </m:r>
          </m:e>
          <m:sub>
            <m:r>
              <m:rPr>
                <m:sty m:val="bi"/>
              </m:rPr>
              <w:rPr>
                <w:rFonts w:ascii="Cambria Math" w:hAnsi="Cambria Math" w:cs="Times New Roman"/>
                <w:sz w:val="24"/>
                <w:szCs w:val="24"/>
              </w:rPr>
              <m:t>it</m:t>
            </m:r>
          </m:sub>
        </m:sSub>
      </m:oMath>
      <w:r w:rsidR="002A2D96">
        <w:rPr>
          <w:rFonts w:ascii="Times New Roman" w:eastAsiaTheme="minorEastAsia" w:hAnsi="Times New Roman" w:cs="Times New Roman"/>
          <w:b/>
          <w:bCs/>
          <w:sz w:val="24"/>
          <w:szCs w:val="24"/>
        </w:rPr>
        <w:t xml:space="preserve"> </w:t>
      </w:r>
      <w:r w:rsidR="002A2D96" w:rsidRPr="002A2D96">
        <w:rPr>
          <w:rFonts w:ascii="Times New Roman" w:eastAsiaTheme="minorEastAsia" w:hAnsi="Times New Roman" w:cs="Times New Roman"/>
          <w:bCs/>
          <w:sz w:val="24"/>
          <w:szCs w:val="24"/>
        </w:rPr>
        <w:t>are the</w:t>
      </w:r>
      <w:r w:rsidR="002A2D96">
        <w:rPr>
          <w:rFonts w:ascii="Times New Roman" w:eastAsiaTheme="minorEastAsia" w:hAnsi="Times New Roman" w:cs="Times New Roman"/>
          <w:b/>
          <w:bCs/>
          <w:sz w:val="24"/>
          <w:szCs w:val="24"/>
        </w:rPr>
        <w:t xml:space="preserve"> </w:t>
      </w:r>
      <w:r w:rsidR="002A2D96" w:rsidRPr="002A2D96">
        <w:rPr>
          <w:rFonts w:ascii="Times New Roman" w:eastAsiaTheme="minorEastAsia" w:hAnsi="Times New Roman" w:cs="Times New Roman"/>
          <w:bCs/>
          <w:sz w:val="24"/>
          <w:szCs w:val="24"/>
        </w:rPr>
        <w:t>actual number</w:t>
      </w:r>
      <w:r w:rsidR="002A2D96">
        <w:rPr>
          <w:rFonts w:ascii="Times New Roman" w:eastAsiaTheme="minorEastAsia" w:hAnsi="Times New Roman" w:cs="Times New Roman"/>
          <w:bCs/>
          <w:sz w:val="24"/>
          <w:szCs w:val="24"/>
        </w:rPr>
        <w:t>s</w:t>
      </w:r>
      <w:r w:rsidR="002A2D96" w:rsidRPr="002A2D96">
        <w:rPr>
          <w:rFonts w:ascii="Times New Roman" w:eastAsiaTheme="minorEastAsia" w:hAnsi="Times New Roman" w:cs="Times New Roman"/>
          <w:bCs/>
          <w:sz w:val="24"/>
          <w:szCs w:val="24"/>
        </w:rPr>
        <w:t xml:space="preserve"> whereas</w:t>
      </w:r>
      <w:r w:rsidR="002A2D96">
        <w:rPr>
          <w:rFonts w:ascii="Times New Roman" w:eastAsiaTheme="minorEastAsia" w:hAnsi="Times New Roman" w:cs="Times New Roman"/>
          <w:bCs/>
          <w:sz w:val="24"/>
          <w:szCs w:val="24"/>
        </w:rPr>
        <w:t xml:space="preserve"> </w:t>
      </w:r>
      <m:oMath>
        <m:r>
          <m:rPr>
            <m:sty m:val="bi"/>
          </m:rPr>
          <w:rPr>
            <w:rFonts w:ascii="Cambria Math" w:hAnsi="Cambria Math" w:cs="Times New Roman"/>
            <w:sz w:val="24"/>
            <w:szCs w:val="24"/>
          </w:rPr>
          <m:t>γ</m:t>
        </m:r>
      </m:oMath>
      <w:r w:rsidR="002A2D96">
        <w:rPr>
          <w:rFonts w:ascii="Times New Roman" w:eastAsiaTheme="minorEastAsia" w:hAnsi="Times New Roman" w:cs="Times New Roman"/>
          <w:bCs/>
          <w:sz w:val="24"/>
          <w:szCs w:val="24"/>
        </w:rPr>
        <w:t xml:space="preserve"> is the assume</w:t>
      </w:r>
      <w:r w:rsidR="003B775A">
        <w:rPr>
          <w:rFonts w:ascii="Times New Roman" w:eastAsiaTheme="minorEastAsia" w:hAnsi="Times New Roman" w:cs="Times New Roman"/>
          <w:bCs/>
          <w:sz w:val="24"/>
          <w:szCs w:val="24"/>
        </w:rPr>
        <w:t>d proportionate increase on a 3-</w:t>
      </w:r>
      <w:r w:rsidR="002A2D96">
        <w:rPr>
          <w:rFonts w:ascii="Times New Roman" w:eastAsiaTheme="minorEastAsia" w:hAnsi="Times New Roman" w:cs="Times New Roman"/>
          <w:bCs/>
          <w:sz w:val="24"/>
          <w:szCs w:val="24"/>
        </w:rPr>
        <w:t>month basis.</w:t>
      </w:r>
      <w:r w:rsidR="00F634D1">
        <w:rPr>
          <w:rFonts w:ascii="Times New Roman" w:eastAsiaTheme="minorEastAsia" w:hAnsi="Times New Roman" w:cs="Times New Roman"/>
          <w:bCs/>
          <w:sz w:val="24"/>
          <w:szCs w:val="24"/>
        </w:rPr>
        <w:t xml:space="preserve"> The surge capacity is subsequently computed as follows:</w:t>
      </w:r>
    </w:p>
    <w:p w:rsidR="00520302" w:rsidRPr="006B74E6" w:rsidRDefault="00520302" w:rsidP="00520302">
      <w:pPr>
        <w:spacing w:after="0" w:line="360" w:lineRule="auto"/>
        <w:jc w:val="both"/>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I</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CUsur</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CP</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-I</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CUest</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…………………………………………………………………….(3</m:t>
          </m:r>
          <m:r>
            <m:rPr>
              <m:sty m:val="bi"/>
            </m:rPr>
            <w:rPr>
              <w:rFonts w:ascii="Cambria Math" w:hAnsi="Cambria Math" w:cs="Times New Roman"/>
              <w:sz w:val="24"/>
              <w:szCs w:val="24"/>
            </w:rPr>
            <m:t>a)</m:t>
          </m:r>
        </m:oMath>
      </m:oMathPara>
    </w:p>
    <w:p w:rsidR="00684E47" w:rsidRDefault="00520302" w:rsidP="00684E47">
      <w:pPr>
        <w:spacing w:line="360" w:lineRule="auto"/>
        <w:jc w:val="both"/>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VENT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sur</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CP</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-VENT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est</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……………………………………………………………….(3</m:t>
          </m:r>
          <m:r>
            <m:rPr>
              <m:sty m:val="bi"/>
            </m:rPr>
            <w:rPr>
              <w:rFonts w:ascii="Cambria Math" w:hAnsi="Cambria Math" w:cs="Times New Roman"/>
              <w:sz w:val="24"/>
              <w:szCs w:val="24"/>
            </w:rPr>
            <m:t>b)</m:t>
          </m:r>
        </m:oMath>
      </m:oMathPara>
    </w:p>
    <w:p w:rsidR="00111240" w:rsidRDefault="00684E47" w:rsidP="00111240">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 xml:space="preserve">    </w:t>
      </w:r>
      <w:r w:rsidR="008A4B4D">
        <w:rPr>
          <w:rFonts w:ascii="Times New Roman" w:eastAsiaTheme="minorEastAsia" w:hAnsi="Times New Roman" w:cs="Times New Roman"/>
          <w:bCs/>
          <w:sz w:val="24"/>
          <w:szCs w:val="24"/>
        </w:rPr>
        <w:t xml:space="preserve">Whereas, </w:t>
      </w:r>
      <m:oMath>
        <m:r>
          <m:rPr>
            <m:sty m:val="bi"/>
          </m:rPr>
          <w:rPr>
            <w:rFonts w:ascii="Cambria Math" w:hAnsi="Cambria Math" w:cs="Times New Roman"/>
            <w:sz w:val="24"/>
            <w:szCs w:val="24"/>
          </w:rPr>
          <m:t>I</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CUsur</m:t>
            </m:r>
          </m:e>
          <m:sub>
            <m:r>
              <m:rPr>
                <m:sty m:val="bi"/>
              </m:rPr>
              <w:rPr>
                <w:rFonts w:ascii="Cambria Math" w:hAnsi="Cambria Math" w:cs="Times New Roman"/>
                <w:sz w:val="24"/>
                <w:szCs w:val="24"/>
              </w:rPr>
              <m:t>it</m:t>
            </m:r>
          </m:sub>
        </m:sSub>
      </m:oMath>
      <w:r w:rsidR="008A4B4D">
        <w:rPr>
          <w:rFonts w:ascii="Times New Roman" w:eastAsiaTheme="minorEastAsia" w:hAnsi="Times New Roman" w:cs="Times New Roman"/>
          <w:b/>
          <w:bCs/>
          <w:sz w:val="24"/>
          <w:szCs w:val="24"/>
        </w:rPr>
        <w:t xml:space="preserve"> </w:t>
      </w:r>
      <w:r w:rsidR="008A4B4D" w:rsidRPr="008A4B4D">
        <w:rPr>
          <w:rFonts w:ascii="Times New Roman" w:eastAsiaTheme="minorEastAsia" w:hAnsi="Times New Roman" w:cs="Times New Roman"/>
          <w:bCs/>
          <w:sz w:val="24"/>
          <w:szCs w:val="24"/>
        </w:rPr>
        <w:t>and</w:t>
      </w:r>
      <w:r w:rsidR="008A4B4D">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VENT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sur</m:t>
            </m:r>
          </m:e>
          <m:sub>
            <m:r>
              <m:rPr>
                <m:sty m:val="bi"/>
              </m:rPr>
              <w:rPr>
                <w:rFonts w:ascii="Cambria Math" w:hAnsi="Cambria Math" w:cs="Times New Roman"/>
                <w:sz w:val="24"/>
                <w:szCs w:val="24"/>
              </w:rPr>
              <m:t>it</m:t>
            </m:r>
          </m:sub>
        </m:sSub>
      </m:oMath>
      <w:r w:rsidR="008A4B4D">
        <w:rPr>
          <w:rFonts w:ascii="Times New Roman" w:eastAsiaTheme="minorEastAsia" w:hAnsi="Times New Roman" w:cs="Times New Roman"/>
          <w:b/>
          <w:bCs/>
          <w:sz w:val="24"/>
          <w:szCs w:val="24"/>
        </w:rPr>
        <w:t xml:space="preserve"> </w:t>
      </w:r>
      <w:r w:rsidR="008A4B4D" w:rsidRPr="008A4B4D">
        <w:rPr>
          <w:rFonts w:ascii="Times New Roman" w:eastAsiaTheme="minorEastAsia" w:hAnsi="Times New Roman" w:cs="Times New Roman"/>
          <w:bCs/>
          <w:sz w:val="24"/>
          <w:szCs w:val="24"/>
        </w:rPr>
        <w:t xml:space="preserve">represent </w:t>
      </w:r>
      <w:r w:rsidR="008A4B4D">
        <w:rPr>
          <w:rFonts w:ascii="Times New Roman" w:eastAsiaTheme="minorEastAsia" w:hAnsi="Times New Roman" w:cs="Times New Roman"/>
          <w:bCs/>
          <w:sz w:val="24"/>
          <w:szCs w:val="24"/>
        </w:rPr>
        <w:t>estimated ICU bed and ventilator surge capacity respectively.</w:t>
      </w:r>
      <w:r w:rsidR="0083080E">
        <w:rPr>
          <w:rFonts w:ascii="Times New Roman" w:eastAsiaTheme="minorEastAsia" w:hAnsi="Times New Roman" w:cs="Times New Roman"/>
          <w:bCs/>
          <w:sz w:val="24"/>
          <w:szCs w:val="24"/>
        </w:rPr>
        <w:t xml:space="preserve"> In computing these estimates, we also assume that any COVID-19 patient requiring intensive medical care services will not be admitted for more than 30 days. This paves room for any incoming COVID-19 patients in need of the same ICU services.</w:t>
      </w:r>
    </w:p>
    <w:p w:rsidR="00240C87" w:rsidRPr="00111240" w:rsidRDefault="005C0FAA" w:rsidP="00111240">
      <w:pPr>
        <w:spacing w:line="360" w:lineRule="auto"/>
        <w:jc w:val="both"/>
        <w:rPr>
          <w:rFonts w:ascii="Times New Roman" w:eastAsiaTheme="minorEastAsia" w:hAnsi="Times New Roman" w:cs="Times New Roman"/>
          <w:b/>
          <w:bCs/>
          <w:sz w:val="24"/>
          <w:szCs w:val="24"/>
        </w:rPr>
      </w:pPr>
      <w:r>
        <w:rPr>
          <w:rFonts w:ascii="Times New Roman" w:hAnsi="Times New Roman" w:cs="Times New Roman"/>
          <w:bCs/>
          <w:sz w:val="24"/>
          <w:szCs w:val="24"/>
        </w:rPr>
        <w:t>W</w:t>
      </w:r>
      <w:r w:rsidR="00602546">
        <w:rPr>
          <w:rFonts w:ascii="Times New Roman" w:hAnsi="Times New Roman" w:cs="Times New Roman"/>
          <w:bCs/>
          <w:sz w:val="24"/>
          <w:szCs w:val="24"/>
        </w:rPr>
        <w:t>e presented these estimates</w:t>
      </w:r>
      <w:r>
        <w:rPr>
          <w:rFonts w:ascii="Times New Roman" w:hAnsi="Times New Roman" w:cs="Times New Roman"/>
          <w:bCs/>
          <w:sz w:val="24"/>
          <w:szCs w:val="24"/>
        </w:rPr>
        <w:t xml:space="preserve"> in </w:t>
      </w:r>
      <w:r w:rsidRPr="00A62C95">
        <w:rPr>
          <w:rFonts w:ascii="Times New Roman" w:hAnsi="Times New Roman" w:cs="Times New Roman"/>
          <w:bCs/>
          <w:sz w:val="24"/>
          <w:szCs w:val="24"/>
        </w:rPr>
        <w:t>Table 2.</w:t>
      </w:r>
      <w:r>
        <w:rPr>
          <w:rFonts w:ascii="Times New Roman" w:hAnsi="Times New Roman" w:cs="Times New Roman"/>
          <w:bCs/>
          <w:sz w:val="24"/>
          <w:szCs w:val="24"/>
        </w:rPr>
        <w:t xml:space="preserve"> </w:t>
      </w:r>
    </w:p>
    <w:p w:rsidR="00DB60D9" w:rsidRPr="00DB60D9" w:rsidRDefault="00DB60D9" w:rsidP="00850113">
      <w:pPr>
        <w:spacing w:after="0" w:line="360" w:lineRule="auto"/>
        <w:jc w:val="both"/>
        <w:rPr>
          <w:rFonts w:ascii="Times New Roman" w:hAnsi="Times New Roman" w:cs="Times New Roman"/>
          <w:b/>
          <w:bCs/>
          <w:sz w:val="24"/>
          <w:szCs w:val="24"/>
        </w:rPr>
      </w:pPr>
      <w:proofErr w:type="gramStart"/>
      <w:r w:rsidRPr="00A62C95">
        <w:rPr>
          <w:rFonts w:ascii="Times New Roman" w:hAnsi="Times New Roman" w:cs="Times New Roman"/>
          <w:b/>
          <w:bCs/>
          <w:sz w:val="24"/>
          <w:szCs w:val="24"/>
        </w:rPr>
        <w:t>Table 2.</w:t>
      </w:r>
      <w:proofErr w:type="gramEnd"/>
      <w:r w:rsidRPr="00DB60D9">
        <w:rPr>
          <w:rFonts w:ascii="Times New Roman" w:hAnsi="Times New Roman" w:cs="Times New Roman"/>
          <w:b/>
          <w:bCs/>
          <w:sz w:val="24"/>
          <w:szCs w:val="24"/>
        </w:rPr>
        <w:t xml:space="preserve"> Hospital surge capacity estimates for the selected EAC countries</w:t>
      </w:r>
    </w:p>
    <w:tbl>
      <w:tblPr>
        <w:tblStyle w:val="TableGrid"/>
        <w:tblW w:w="9738" w:type="dxa"/>
        <w:tblLook w:val="04A0" w:firstRow="1" w:lastRow="0" w:firstColumn="1" w:lastColumn="0" w:noHBand="0" w:noVBand="1"/>
      </w:tblPr>
      <w:tblGrid>
        <w:gridCol w:w="1011"/>
        <w:gridCol w:w="2607"/>
        <w:gridCol w:w="1170"/>
        <w:gridCol w:w="1260"/>
        <w:gridCol w:w="1260"/>
        <w:gridCol w:w="1170"/>
        <w:gridCol w:w="1260"/>
      </w:tblGrid>
      <w:tr w:rsidR="00A524C7" w:rsidTr="00A524C7">
        <w:tc>
          <w:tcPr>
            <w:tcW w:w="1011" w:type="dxa"/>
          </w:tcPr>
          <w:p w:rsidR="00EC27E6" w:rsidRPr="00891CBB" w:rsidRDefault="00D77B35" w:rsidP="00850113">
            <w:pPr>
              <w:spacing w:line="360" w:lineRule="auto"/>
              <w:jc w:val="both"/>
              <w:rPr>
                <w:rFonts w:ascii="Times New Roman" w:hAnsi="Times New Roman" w:cs="Times New Roman"/>
                <w:b/>
                <w:bCs/>
              </w:rPr>
            </w:pPr>
            <w:r w:rsidRPr="00891CBB">
              <w:rPr>
                <w:rFonts w:ascii="Times New Roman" w:hAnsi="Times New Roman" w:cs="Times New Roman"/>
                <w:b/>
                <w:bCs/>
              </w:rPr>
              <w:t>Country</w:t>
            </w:r>
          </w:p>
        </w:tc>
        <w:tc>
          <w:tcPr>
            <w:tcW w:w="2607" w:type="dxa"/>
          </w:tcPr>
          <w:p w:rsidR="00EC27E6" w:rsidRPr="00891CBB" w:rsidRDefault="00D77B35" w:rsidP="00850113">
            <w:pPr>
              <w:spacing w:line="360" w:lineRule="auto"/>
              <w:jc w:val="both"/>
              <w:rPr>
                <w:rFonts w:ascii="Times New Roman" w:hAnsi="Times New Roman" w:cs="Times New Roman"/>
                <w:b/>
                <w:bCs/>
              </w:rPr>
            </w:pPr>
            <w:r w:rsidRPr="00891CBB">
              <w:rPr>
                <w:rFonts w:ascii="Times New Roman" w:hAnsi="Times New Roman" w:cs="Times New Roman"/>
                <w:b/>
                <w:bCs/>
              </w:rPr>
              <w:t>Indicators</w:t>
            </w:r>
          </w:p>
        </w:tc>
        <w:tc>
          <w:tcPr>
            <w:tcW w:w="1170" w:type="dxa"/>
          </w:tcPr>
          <w:p w:rsidR="00EC27E6" w:rsidRPr="00891CBB" w:rsidRDefault="00EC27E6" w:rsidP="00850113">
            <w:pPr>
              <w:spacing w:line="360" w:lineRule="auto"/>
              <w:jc w:val="both"/>
              <w:rPr>
                <w:rFonts w:ascii="Times New Roman" w:hAnsi="Times New Roman" w:cs="Times New Roman"/>
                <w:b/>
                <w:bCs/>
              </w:rPr>
            </w:pPr>
            <w:r w:rsidRPr="00891CBB">
              <w:rPr>
                <w:rFonts w:ascii="Times New Roman" w:hAnsi="Times New Roman" w:cs="Times New Roman"/>
                <w:b/>
                <w:bCs/>
              </w:rPr>
              <w:t>Mar-May 2020</w:t>
            </w:r>
          </w:p>
        </w:tc>
        <w:tc>
          <w:tcPr>
            <w:tcW w:w="1260" w:type="dxa"/>
          </w:tcPr>
          <w:p w:rsidR="00EC27E6" w:rsidRPr="00891CBB" w:rsidRDefault="00EC27E6" w:rsidP="00850113">
            <w:pPr>
              <w:spacing w:line="360" w:lineRule="auto"/>
              <w:jc w:val="both"/>
              <w:rPr>
                <w:rFonts w:ascii="Times New Roman" w:hAnsi="Times New Roman" w:cs="Times New Roman"/>
                <w:b/>
                <w:bCs/>
              </w:rPr>
            </w:pPr>
            <w:r w:rsidRPr="00891CBB">
              <w:rPr>
                <w:rFonts w:ascii="Times New Roman" w:hAnsi="Times New Roman" w:cs="Times New Roman"/>
                <w:b/>
                <w:bCs/>
              </w:rPr>
              <w:t>Jun-Aug 2020</w:t>
            </w:r>
          </w:p>
        </w:tc>
        <w:tc>
          <w:tcPr>
            <w:tcW w:w="1260" w:type="dxa"/>
          </w:tcPr>
          <w:p w:rsidR="00EC27E6" w:rsidRPr="00891CBB" w:rsidRDefault="00D77B35" w:rsidP="00850113">
            <w:pPr>
              <w:spacing w:line="360" w:lineRule="auto"/>
              <w:jc w:val="both"/>
              <w:rPr>
                <w:rFonts w:ascii="Times New Roman" w:hAnsi="Times New Roman" w:cs="Times New Roman"/>
                <w:b/>
                <w:bCs/>
              </w:rPr>
            </w:pPr>
            <w:r w:rsidRPr="00891CBB">
              <w:rPr>
                <w:rFonts w:ascii="Times New Roman" w:hAnsi="Times New Roman" w:cs="Times New Roman"/>
                <w:b/>
                <w:bCs/>
              </w:rPr>
              <w:t>Sep-Nov 2020</w:t>
            </w:r>
          </w:p>
        </w:tc>
        <w:tc>
          <w:tcPr>
            <w:tcW w:w="1170" w:type="dxa"/>
          </w:tcPr>
          <w:p w:rsidR="00EC27E6" w:rsidRPr="00891CBB" w:rsidRDefault="00D77B35" w:rsidP="00850113">
            <w:pPr>
              <w:spacing w:line="360" w:lineRule="auto"/>
              <w:jc w:val="both"/>
              <w:rPr>
                <w:rFonts w:ascii="Times New Roman" w:hAnsi="Times New Roman" w:cs="Times New Roman"/>
                <w:b/>
                <w:bCs/>
              </w:rPr>
            </w:pPr>
            <w:r w:rsidRPr="00891CBB">
              <w:rPr>
                <w:rFonts w:ascii="Times New Roman" w:hAnsi="Times New Roman" w:cs="Times New Roman"/>
                <w:b/>
                <w:bCs/>
              </w:rPr>
              <w:t>Dec-Feb 2021</w:t>
            </w:r>
          </w:p>
        </w:tc>
        <w:tc>
          <w:tcPr>
            <w:tcW w:w="1260" w:type="dxa"/>
          </w:tcPr>
          <w:p w:rsidR="00EC27E6" w:rsidRPr="00891CBB" w:rsidRDefault="00D77B35" w:rsidP="00850113">
            <w:pPr>
              <w:spacing w:line="360" w:lineRule="auto"/>
              <w:jc w:val="both"/>
              <w:rPr>
                <w:rFonts w:ascii="Times New Roman" w:hAnsi="Times New Roman" w:cs="Times New Roman"/>
                <w:b/>
                <w:bCs/>
              </w:rPr>
            </w:pPr>
            <w:r w:rsidRPr="00891CBB">
              <w:rPr>
                <w:rFonts w:ascii="Times New Roman" w:hAnsi="Times New Roman" w:cs="Times New Roman"/>
                <w:b/>
                <w:bCs/>
              </w:rPr>
              <w:t>Mar-May 2021</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r w:rsidRPr="00891CBB">
              <w:rPr>
                <w:rFonts w:ascii="Times New Roman" w:hAnsi="Times New Roman" w:cs="Times New Roman"/>
                <w:b/>
                <w:bCs/>
              </w:rPr>
              <w:t>Kenya</w:t>
            </w: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Confirmed Covid cases</w:t>
            </w:r>
          </w:p>
        </w:tc>
        <w:tc>
          <w:tcPr>
            <w:tcW w:w="117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1962</w:t>
            </w:r>
          </w:p>
        </w:tc>
        <w:tc>
          <w:tcPr>
            <w:tcW w:w="126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32239</w:t>
            </w:r>
          </w:p>
        </w:tc>
        <w:tc>
          <w:tcPr>
            <w:tcW w:w="126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49417</w:t>
            </w:r>
          </w:p>
        </w:tc>
        <w:tc>
          <w:tcPr>
            <w:tcW w:w="117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22355</w:t>
            </w:r>
          </w:p>
        </w:tc>
        <w:tc>
          <w:tcPr>
            <w:tcW w:w="126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64762</w:t>
            </w:r>
          </w:p>
        </w:tc>
      </w:tr>
      <w:tr w:rsidR="00A524C7" w:rsidTr="00A524C7">
        <w:tc>
          <w:tcPr>
            <w:tcW w:w="1011" w:type="dxa"/>
          </w:tcPr>
          <w:p w:rsidR="00A524C7" w:rsidRPr="00891CBB" w:rsidRDefault="00A524C7" w:rsidP="00850113">
            <w:pPr>
              <w:spacing w:line="360" w:lineRule="auto"/>
              <w:jc w:val="both"/>
              <w:rPr>
                <w:rFonts w:ascii="Times New Roman" w:hAnsi="Times New Roman" w:cs="Times New Roman"/>
                <w:b/>
                <w:bCs/>
              </w:rPr>
            </w:pPr>
          </w:p>
        </w:tc>
        <w:tc>
          <w:tcPr>
            <w:tcW w:w="2607" w:type="dxa"/>
          </w:tcPr>
          <w:p w:rsidR="00A524C7" w:rsidRPr="00D77B35" w:rsidRDefault="00A524C7" w:rsidP="00850113">
            <w:pPr>
              <w:spacing w:line="360" w:lineRule="auto"/>
              <w:jc w:val="both"/>
              <w:rPr>
                <w:rFonts w:ascii="Times New Roman" w:hAnsi="Times New Roman" w:cs="Times New Roman"/>
                <w:bCs/>
              </w:rPr>
            </w:pPr>
            <w:r>
              <w:rPr>
                <w:rFonts w:ascii="Times New Roman" w:hAnsi="Times New Roman" w:cs="Times New Roman"/>
                <w:bCs/>
              </w:rPr>
              <w:t>Estimated critical patients</w:t>
            </w:r>
          </w:p>
        </w:tc>
        <w:tc>
          <w:tcPr>
            <w:tcW w:w="1170" w:type="dxa"/>
          </w:tcPr>
          <w:p w:rsidR="00A524C7" w:rsidRDefault="00A524C7" w:rsidP="00850113">
            <w:pPr>
              <w:spacing w:line="360" w:lineRule="auto"/>
              <w:jc w:val="both"/>
              <w:rPr>
                <w:rFonts w:ascii="Times New Roman" w:hAnsi="Times New Roman" w:cs="Times New Roman"/>
                <w:bCs/>
              </w:rPr>
            </w:pPr>
            <w:r>
              <w:rPr>
                <w:rFonts w:ascii="Times New Roman" w:hAnsi="Times New Roman" w:cs="Times New Roman"/>
                <w:bCs/>
              </w:rPr>
              <w:t>294</w:t>
            </w:r>
          </w:p>
        </w:tc>
        <w:tc>
          <w:tcPr>
            <w:tcW w:w="1260" w:type="dxa"/>
          </w:tcPr>
          <w:p w:rsidR="00A524C7" w:rsidRDefault="004B6729" w:rsidP="00850113">
            <w:pPr>
              <w:spacing w:line="360" w:lineRule="auto"/>
              <w:jc w:val="both"/>
              <w:rPr>
                <w:rFonts w:ascii="Times New Roman" w:hAnsi="Times New Roman" w:cs="Times New Roman"/>
                <w:bCs/>
              </w:rPr>
            </w:pPr>
            <w:r>
              <w:rPr>
                <w:rFonts w:ascii="Times New Roman" w:hAnsi="Times New Roman" w:cs="Times New Roman"/>
                <w:bCs/>
              </w:rPr>
              <w:t>4836</w:t>
            </w:r>
          </w:p>
        </w:tc>
        <w:tc>
          <w:tcPr>
            <w:tcW w:w="1260" w:type="dxa"/>
          </w:tcPr>
          <w:p w:rsidR="00A524C7" w:rsidRDefault="00C66B9C" w:rsidP="00850113">
            <w:pPr>
              <w:spacing w:line="360" w:lineRule="auto"/>
              <w:jc w:val="both"/>
              <w:rPr>
                <w:rFonts w:ascii="Times New Roman" w:hAnsi="Times New Roman" w:cs="Times New Roman"/>
                <w:bCs/>
              </w:rPr>
            </w:pPr>
            <w:r>
              <w:rPr>
                <w:rFonts w:ascii="Times New Roman" w:hAnsi="Times New Roman" w:cs="Times New Roman"/>
                <w:bCs/>
              </w:rPr>
              <w:t>7413</w:t>
            </w:r>
          </w:p>
        </w:tc>
        <w:tc>
          <w:tcPr>
            <w:tcW w:w="1170" w:type="dxa"/>
          </w:tcPr>
          <w:p w:rsidR="00A524C7" w:rsidRDefault="00A524C7" w:rsidP="00850113">
            <w:pPr>
              <w:spacing w:line="360" w:lineRule="auto"/>
              <w:jc w:val="both"/>
              <w:rPr>
                <w:rFonts w:ascii="Times New Roman" w:hAnsi="Times New Roman" w:cs="Times New Roman"/>
                <w:bCs/>
              </w:rPr>
            </w:pPr>
            <w:r>
              <w:rPr>
                <w:rFonts w:ascii="Times New Roman" w:hAnsi="Times New Roman" w:cs="Times New Roman"/>
                <w:bCs/>
              </w:rPr>
              <w:t>3353</w:t>
            </w:r>
          </w:p>
        </w:tc>
        <w:tc>
          <w:tcPr>
            <w:tcW w:w="1260" w:type="dxa"/>
          </w:tcPr>
          <w:p w:rsidR="00A524C7" w:rsidRDefault="00A524C7" w:rsidP="00850113">
            <w:pPr>
              <w:spacing w:line="360" w:lineRule="auto"/>
              <w:jc w:val="both"/>
              <w:rPr>
                <w:rFonts w:ascii="Times New Roman" w:hAnsi="Times New Roman" w:cs="Times New Roman"/>
                <w:bCs/>
              </w:rPr>
            </w:pPr>
            <w:r>
              <w:rPr>
                <w:rFonts w:ascii="Times New Roman" w:hAnsi="Times New Roman" w:cs="Times New Roman"/>
                <w:bCs/>
              </w:rPr>
              <w:t>9714</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Number of ICU beds</w:t>
            </w:r>
          </w:p>
        </w:tc>
        <w:tc>
          <w:tcPr>
            <w:tcW w:w="1170" w:type="dxa"/>
          </w:tcPr>
          <w:p w:rsidR="00EC27E6" w:rsidRPr="00D77B35" w:rsidRDefault="004D7E24" w:rsidP="00850113">
            <w:pPr>
              <w:spacing w:line="360" w:lineRule="auto"/>
              <w:jc w:val="both"/>
              <w:rPr>
                <w:rFonts w:ascii="Times New Roman" w:hAnsi="Times New Roman" w:cs="Times New Roman"/>
                <w:bCs/>
              </w:rPr>
            </w:pPr>
            <w:r>
              <w:rPr>
                <w:rFonts w:ascii="Times New Roman" w:hAnsi="Times New Roman" w:cs="Times New Roman"/>
                <w:bCs/>
              </w:rPr>
              <w:t>596</w:t>
            </w:r>
          </w:p>
        </w:tc>
        <w:tc>
          <w:tcPr>
            <w:tcW w:w="1260" w:type="dxa"/>
          </w:tcPr>
          <w:p w:rsidR="00EC27E6" w:rsidRPr="00D77B35" w:rsidRDefault="004D7E24" w:rsidP="00850113">
            <w:pPr>
              <w:spacing w:line="360" w:lineRule="auto"/>
              <w:jc w:val="both"/>
              <w:rPr>
                <w:rFonts w:ascii="Times New Roman" w:hAnsi="Times New Roman" w:cs="Times New Roman"/>
                <w:bCs/>
              </w:rPr>
            </w:pPr>
            <w:r>
              <w:rPr>
                <w:rFonts w:ascii="Times New Roman" w:hAnsi="Times New Roman" w:cs="Times New Roman"/>
                <w:bCs/>
              </w:rPr>
              <w:t>674</w:t>
            </w:r>
          </w:p>
        </w:tc>
        <w:tc>
          <w:tcPr>
            <w:tcW w:w="1260" w:type="dxa"/>
          </w:tcPr>
          <w:p w:rsidR="00EC27E6" w:rsidRPr="00D77B35" w:rsidRDefault="004D7E24" w:rsidP="00850113">
            <w:pPr>
              <w:spacing w:line="360" w:lineRule="auto"/>
              <w:jc w:val="both"/>
              <w:rPr>
                <w:rFonts w:ascii="Times New Roman" w:hAnsi="Times New Roman" w:cs="Times New Roman"/>
                <w:bCs/>
              </w:rPr>
            </w:pPr>
            <w:r>
              <w:rPr>
                <w:rFonts w:ascii="Times New Roman" w:hAnsi="Times New Roman" w:cs="Times New Roman"/>
                <w:bCs/>
              </w:rPr>
              <w:t>752</w:t>
            </w:r>
          </w:p>
        </w:tc>
        <w:tc>
          <w:tcPr>
            <w:tcW w:w="1170" w:type="dxa"/>
          </w:tcPr>
          <w:p w:rsidR="00EC27E6" w:rsidRPr="00D77B35" w:rsidRDefault="004D7E24" w:rsidP="00850113">
            <w:pPr>
              <w:spacing w:line="360" w:lineRule="auto"/>
              <w:jc w:val="both"/>
              <w:rPr>
                <w:rFonts w:ascii="Times New Roman" w:hAnsi="Times New Roman" w:cs="Times New Roman"/>
                <w:bCs/>
              </w:rPr>
            </w:pPr>
            <w:r>
              <w:rPr>
                <w:rFonts w:ascii="Times New Roman" w:hAnsi="Times New Roman" w:cs="Times New Roman"/>
                <w:bCs/>
              </w:rPr>
              <w:t>830</w:t>
            </w:r>
          </w:p>
        </w:tc>
        <w:tc>
          <w:tcPr>
            <w:tcW w:w="1260" w:type="dxa"/>
          </w:tcPr>
          <w:p w:rsidR="00EC27E6" w:rsidRPr="00D77B35" w:rsidRDefault="004D7E24" w:rsidP="00850113">
            <w:pPr>
              <w:spacing w:line="360" w:lineRule="auto"/>
              <w:jc w:val="both"/>
              <w:rPr>
                <w:rFonts w:ascii="Times New Roman" w:hAnsi="Times New Roman" w:cs="Times New Roman"/>
                <w:bCs/>
              </w:rPr>
            </w:pPr>
            <w:r>
              <w:rPr>
                <w:rFonts w:ascii="Times New Roman" w:hAnsi="Times New Roman" w:cs="Times New Roman"/>
                <w:bCs/>
              </w:rPr>
              <w:t>908</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Number of ventilators</w:t>
            </w:r>
          </w:p>
        </w:tc>
        <w:tc>
          <w:tcPr>
            <w:tcW w:w="1170" w:type="dxa"/>
          </w:tcPr>
          <w:p w:rsidR="00EC27E6" w:rsidRPr="00D77B35" w:rsidRDefault="00A67B9E" w:rsidP="00850113">
            <w:pPr>
              <w:spacing w:line="360" w:lineRule="auto"/>
              <w:jc w:val="both"/>
              <w:rPr>
                <w:rFonts w:ascii="Times New Roman" w:hAnsi="Times New Roman" w:cs="Times New Roman"/>
                <w:bCs/>
              </w:rPr>
            </w:pPr>
            <w:r>
              <w:rPr>
                <w:rFonts w:ascii="Times New Roman" w:hAnsi="Times New Roman" w:cs="Times New Roman"/>
                <w:bCs/>
              </w:rPr>
              <w:t>298</w:t>
            </w:r>
          </w:p>
        </w:tc>
        <w:tc>
          <w:tcPr>
            <w:tcW w:w="1260" w:type="dxa"/>
          </w:tcPr>
          <w:p w:rsidR="00EC27E6" w:rsidRPr="00D77B35" w:rsidRDefault="00A67B9E" w:rsidP="00850113">
            <w:pPr>
              <w:spacing w:line="360" w:lineRule="auto"/>
              <w:jc w:val="both"/>
              <w:rPr>
                <w:rFonts w:ascii="Times New Roman" w:hAnsi="Times New Roman" w:cs="Times New Roman"/>
                <w:bCs/>
              </w:rPr>
            </w:pPr>
            <w:r>
              <w:rPr>
                <w:rFonts w:ascii="Times New Roman" w:hAnsi="Times New Roman" w:cs="Times New Roman"/>
                <w:bCs/>
              </w:rPr>
              <w:t>337</w:t>
            </w:r>
          </w:p>
        </w:tc>
        <w:tc>
          <w:tcPr>
            <w:tcW w:w="1260" w:type="dxa"/>
          </w:tcPr>
          <w:p w:rsidR="00EC27E6" w:rsidRPr="00D77B35" w:rsidRDefault="00A67B9E" w:rsidP="00850113">
            <w:pPr>
              <w:spacing w:line="360" w:lineRule="auto"/>
              <w:jc w:val="both"/>
              <w:rPr>
                <w:rFonts w:ascii="Times New Roman" w:hAnsi="Times New Roman" w:cs="Times New Roman"/>
                <w:bCs/>
              </w:rPr>
            </w:pPr>
            <w:r>
              <w:rPr>
                <w:rFonts w:ascii="Times New Roman" w:hAnsi="Times New Roman" w:cs="Times New Roman"/>
                <w:bCs/>
              </w:rPr>
              <w:t>435</w:t>
            </w:r>
          </w:p>
        </w:tc>
        <w:tc>
          <w:tcPr>
            <w:tcW w:w="1170" w:type="dxa"/>
          </w:tcPr>
          <w:p w:rsidR="00EC27E6" w:rsidRPr="00D77B35" w:rsidRDefault="00A67B9E" w:rsidP="00850113">
            <w:pPr>
              <w:spacing w:line="360" w:lineRule="auto"/>
              <w:jc w:val="both"/>
              <w:rPr>
                <w:rFonts w:ascii="Times New Roman" w:hAnsi="Times New Roman" w:cs="Times New Roman"/>
                <w:bCs/>
              </w:rPr>
            </w:pPr>
            <w:r>
              <w:rPr>
                <w:rFonts w:ascii="Times New Roman" w:hAnsi="Times New Roman" w:cs="Times New Roman"/>
                <w:bCs/>
              </w:rPr>
              <w:t>474</w:t>
            </w:r>
          </w:p>
        </w:tc>
        <w:tc>
          <w:tcPr>
            <w:tcW w:w="1260" w:type="dxa"/>
          </w:tcPr>
          <w:p w:rsidR="00EC27E6" w:rsidRPr="00D77B35" w:rsidRDefault="00A67B9E" w:rsidP="00850113">
            <w:pPr>
              <w:spacing w:line="360" w:lineRule="auto"/>
              <w:jc w:val="both"/>
              <w:rPr>
                <w:rFonts w:ascii="Times New Roman" w:hAnsi="Times New Roman" w:cs="Times New Roman"/>
                <w:bCs/>
              </w:rPr>
            </w:pPr>
            <w:r>
              <w:rPr>
                <w:rFonts w:ascii="Times New Roman" w:hAnsi="Times New Roman" w:cs="Times New Roman"/>
                <w:bCs/>
              </w:rPr>
              <w:t>513</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ICU bed surge</w:t>
            </w:r>
            <w:r w:rsidR="00EB0310">
              <w:rPr>
                <w:rFonts w:ascii="Times New Roman" w:hAnsi="Times New Roman" w:cs="Times New Roman"/>
                <w:bCs/>
              </w:rPr>
              <w:t xml:space="preserve"> capacity</w:t>
            </w:r>
          </w:p>
        </w:tc>
        <w:tc>
          <w:tcPr>
            <w:tcW w:w="1170" w:type="dxa"/>
          </w:tcPr>
          <w:p w:rsidR="00EC27E6" w:rsidRPr="00EB0310" w:rsidRDefault="00A524C7" w:rsidP="00850113">
            <w:pPr>
              <w:spacing w:line="360" w:lineRule="auto"/>
              <w:jc w:val="both"/>
              <w:rPr>
                <w:rFonts w:ascii="Times New Roman" w:hAnsi="Times New Roman" w:cs="Times New Roman"/>
                <w:b/>
                <w:bCs/>
              </w:rPr>
            </w:pPr>
            <w:r w:rsidRPr="00EB0310">
              <w:rPr>
                <w:rFonts w:ascii="Times New Roman" w:hAnsi="Times New Roman" w:cs="Times New Roman"/>
                <w:b/>
                <w:bCs/>
              </w:rPr>
              <w:t>(302)</w:t>
            </w:r>
          </w:p>
        </w:tc>
        <w:tc>
          <w:tcPr>
            <w:tcW w:w="1260" w:type="dxa"/>
          </w:tcPr>
          <w:p w:rsidR="00EC27E6" w:rsidRPr="00EB0310" w:rsidRDefault="004B6729" w:rsidP="00850113">
            <w:pPr>
              <w:spacing w:line="360" w:lineRule="auto"/>
              <w:jc w:val="both"/>
              <w:rPr>
                <w:rFonts w:ascii="Times New Roman" w:hAnsi="Times New Roman" w:cs="Times New Roman"/>
                <w:b/>
                <w:bCs/>
              </w:rPr>
            </w:pPr>
            <w:r>
              <w:rPr>
                <w:rFonts w:ascii="Times New Roman" w:hAnsi="Times New Roman" w:cs="Times New Roman"/>
                <w:b/>
                <w:bCs/>
              </w:rPr>
              <w:t>4162</w:t>
            </w:r>
          </w:p>
        </w:tc>
        <w:tc>
          <w:tcPr>
            <w:tcW w:w="1260" w:type="dxa"/>
          </w:tcPr>
          <w:p w:rsidR="00EC27E6" w:rsidRPr="00EB0310" w:rsidRDefault="00C66B9C" w:rsidP="00850113">
            <w:pPr>
              <w:spacing w:line="360" w:lineRule="auto"/>
              <w:jc w:val="both"/>
              <w:rPr>
                <w:rFonts w:ascii="Times New Roman" w:hAnsi="Times New Roman" w:cs="Times New Roman"/>
                <w:b/>
                <w:bCs/>
              </w:rPr>
            </w:pPr>
            <w:r>
              <w:rPr>
                <w:rFonts w:ascii="Times New Roman" w:hAnsi="Times New Roman" w:cs="Times New Roman"/>
                <w:b/>
                <w:bCs/>
              </w:rPr>
              <w:t>6661</w:t>
            </w:r>
          </w:p>
        </w:tc>
        <w:tc>
          <w:tcPr>
            <w:tcW w:w="1170" w:type="dxa"/>
          </w:tcPr>
          <w:p w:rsidR="00EC27E6" w:rsidRPr="00EB0310" w:rsidRDefault="00897FEB" w:rsidP="00850113">
            <w:pPr>
              <w:spacing w:line="360" w:lineRule="auto"/>
              <w:jc w:val="both"/>
              <w:rPr>
                <w:rFonts w:ascii="Times New Roman" w:hAnsi="Times New Roman" w:cs="Times New Roman"/>
                <w:b/>
                <w:bCs/>
              </w:rPr>
            </w:pPr>
            <w:r w:rsidRPr="00EB0310">
              <w:rPr>
                <w:rFonts w:ascii="Times New Roman" w:hAnsi="Times New Roman" w:cs="Times New Roman"/>
                <w:b/>
                <w:bCs/>
              </w:rPr>
              <w:t>2523</w:t>
            </w:r>
          </w:p>
        </w:tc>
        <w:tc>
          <w:tcPr>
            <w:tcW w:w="1260" w:type="dxa"/>
          </w:tcPr>
          <w:p w:rsidR="00EC27E6" w:rsidRPr="00EB0310" w:rsidRDefault="00897FEB" w:rsidP="00850113">
            <w:pPr>
              <w:spacing w:line="360" w:lineRule="auto"/>
              <w:jc w:val="both"/>
              <w:rPr>
                <w:rFonts w:ascii="Times New Roman" w:hAnsi="Times New Roman" w:cs="Times New Roman"/>
                <w:b/>
                <w:bCs/>
              </w:rPr>
            </w:pPr>
            <w:r w:rsidRPr="00EB0310">
              <w:rPr>
                <w:rFonts w:ascii="Times New Roman" w:hAnsi="Times New Roman" w:cs="Times New Roman"/>
                <w:b/>
                <w:bCs/>
              </w:rPr>
              <w:t>8806</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Ventilator surge</w:t>
            </w:r>
            <w:r w:rsidR="00EB0310">
              <w:rPr>
                <w:rFonts w:ascii="Times New Roman" w:hAnsi="Times New Roman" w:cs="Times New Roman"/>
                <w:bCs/>
              </w:rPr>
              <w:t xml:space="preserve"> </w:t>
            </w:r>
          </w:p>
        </w:tc>
        <w:tc>
          <w:tcPr>
            <w:tcW w:w="1170" w:type="dxa"/>
          </w:tcPr>
          <w:p w:rsidR="00EC27E6" w:rsidRPr="00EB0310" w:rsidRDefault="00A524C7" w:rsidP="00850113">
            <w:pPr>
              <w:spacing w:line="360" w:lineRule="auto"/>
              <w:jc w:val="both"/>
              <w:rPr>
                <w:rFonts w:ascii="Times New Roman" w:hAnsi="Times New Roman" w:cs="Times New Roman"/>
                <w:b/>
                <w:bCs/>
              </w:rPr>
            </w:pPr>
            <w:r w:rsidRPr="00EB0310">
              <w:rPr>
                <w:rFonts w:ascii="Times New Roman" w:hAnsi="Times New Roman" w:cs="Times New Roman"/>
                <w:b/>
                <w:bCs/>
              </w:rPr>
              <w:t>(4)</w:t>
            </w:r>
          </w:p>
        </w:tc>
        <w:tc>
          <w:tcPr>
            <w:tcW w:w="1260" w:type="dxa"/>
          </w:tcPr>
          <w:p w:rsidR="00EC27E6" w:rsidRPr="00EB0310" w:rsidRDefault="004B6729" w:rsidP="00850113">
            <w:pPr>
              <w:spacing w:line="360" w:lineRule="auto"/>
              <w:jc w:val="both"/>
              <w:rPr>
                <w:rFonts w:ascii="Times New Roman" w:hAnsi="Times New Roman" w:cs="Times New Roman"/>
                <w:b/>
                <w:bCs/>
              </w:rPr>
            </w:pPr>
            <w:r>
              <w:rPr>
                <w:rFonts w:ascii="Times New Roman" w:hAnsi="Times New Roman" w:cs="Times New Roman"/>
                <w:b/>
                <w:bCs/>
              </w:rPr>
              <w:t>4499</w:t>
            </w:r>
          </w:p>
        </w:tc>
        <w:tc>
          <w:tcPr>
            <w:tcW w:w="1260" w:type="dxa"/>
          </w:tcPr>
          <w:p w:rsidR="00EC27E6" w:rsidRPr="00EB0310" w:rsidRDefault="00C66B9C" w:rsidP="00850113">
            <w:pPr>
              <w:spacing w:line="360" w:lineRule="auto"/>
              <w:jc w:val="both"/>
              <w:rPr>
                <w:rFonts w:ascii="Times New Roman" w:hAnsi="Times New Roman" w:cs="Times New Roman"/>
                <w:b/>
                <w:bCs/>
              </w:rPr>
            </w:pPr>
            <w:r>
              <w:rPr>
                <w:rFonts w:ascii="Times New Roman" w:hAnsi="Times New Roman" w:cs="Times New Roman"/>
                <w:b/>
                <w:bCs/>
              </w:rPr>
              <w:t>6978</w:t>
            </w:r>
          </w:p>
        </w:tc>
        <w:tc>
          <w:tcPr>
            <w:tcW w:w="1170" w:type="dxa"/>
          </w:tcPr>
          <w:p w:rsidR="00EC27E6" w:rsidRPr="00EB0310" w:rsidRDefault="00897FEB" w:rsidP="00850113">
            <w:pPr>
              <w:spacing w:line="360" w:lineRule="auto"/>
              <w:jc w:val="both"/>
              <w:rPr>
                <w:rFonts w:ascii="Times New Roman" w:hAnsi="Times New Roman" w:cs="Times New Roman"/>
                <w:b/>
                <w:bCs/>
              </w:rPr>
            </w:pPr>
            <w:r w:rsidRPr="00EB0310">
              <w:rPr>
                <w:rFonts w:ascii="Times New Roman" w:hAnsi="Times New Roman" w:cs="Times New Roman"/>
                <w:b/>
                <w:bCs/>
              </w:rPr>
              <w:t>2879</w:t>
            </w:r>
          </w:p>
        </w:tc>
        <w:tc>
          <w:tcPr>
            <w:tcW w:w="1260" w:type="dxa"/>
          </w:tcPr>
          <w:p w:rsidR="00EC27E6" w:rsidRPr="00EB0310" w:rsidRDefault="00897FEB" w:rsidP="00850113">
            <w:pPr>
              <w:spacing w:line="360" w:lineRule="auto"/>
              <w:jc w:val="both"/>
              <w:rPr>
                <w:rFonts w:ascii="Times New Roman" w:hAnsi="Times New Roman" w:cs="Times New Roman"/>
                <w:b/>
                <w:bCs/>
              </w:rPr>
            </w:pPr>
            <w:r w:rsidRPr="00EB0310">
              <w:rPr>
                <w:rFonts w:ascii="Times New Roman" w:hAnsi="Times New Roman" w:cs="Times New Roman"/>
                <w:b/>
                <w:bCs/>
              </w:rPr>
              <w:t>9201</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r w:rsidRPr="00891CBB">
              <w:rPr>
                <w:rFonts w:ascii="Times New Roman" w:hAnsi="Times New Roman" w:cs="Times New Roman"/>
                <w:b/>
                <w:bCs/>
              </w:rPr>
              <w:t>Rwanda</w:t>
            </w: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Confirmed Covid cases</w:t>
            </w:r>
          </w:p>
        </w:tc>
        <w:tc>
          <w:tcPr>
            <w:tcW w:w="117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613</w:t>
            </w:r>
          </w:p>
        </w:tc>
        <w:tc>
          <w:tcPr>
            <w:tcW w:w="126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3593</w:t>
            </w:r>
          </w:p>
        </w:tc>
        <w:tc>
          <w:tcPr>
            <w:tcW w:w="126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1871</w:t>
            </w:r>
          </w:p>
        </w:tc>
        <w:tc>
          <w:tcPr>
            <w:tcW w:w="117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12916</w:t>
            </w:r>
          </w:p>
        </w:tc>
        <w:tc>
          <w:tcPr>
            <w:tcW w:w="1260" w:type="dxa"/>
          </w:tcPr>
          <w:p w:rsidR="00EC27E6" w:rsidRPr="00D77B35" w:rsidRDefault="00EF5B7E" w:rsidP="00850113">
            <w:pPr>
              <w:spacing w:line="360" w:lineRule="auto"/>
              <w:jc w:val="both"/>
              <w:rPr>
                <w:rFonts w:ascii="Times New Roman" w:hAnsi="Times New Roman" w:cs="Times New Roman"/>
                <w:bCs/>
              </w:rPr>
            </w:pPr>
            <w:r>
              <w:rPr>
                <w:rFonts w:ascii="Times New Roman" w:hAnsi="Times New Roman" w:cs="Times New Roman"/>
                <w:bCs/>
              </w:rPr>
              <w:t>8173</w:t>
            </w:r>
          </w:p>
        </w:tc>
      </w:tr>
      <w:tr w:rsidR="0053278B" w:rsidTr="00A524C7">
        <w:tc>
          <w:tcPr>
            <w:tcW w:w="1011" w:type="dxa"/>
          </w:tcPr>
          <w:p w:rsidR="0053278B" w:rsidRPr="00891CBB" w:rsidRDefault="0053278B" w:rsidP="00850113">
            <w:pPr>
              <w:spacing w:line="360" w:lineRule="auto"/>
              <w:jc w:val="both"/>
              <w:rPr>
                <w:rFonts w:ascii="Times New Roman" w:hAnsi="Times New Roman" w:cs="Times New Roman"/>
                <w:b/>
                <w:bCs/>
              </w:rPr>
            </w:pPr>
          </w:p>
        </w:tc>
        <w:tc>
          <w:tcPr>
            <w:tcW w:w="2607" w:type="dxa"/>
          </w:tcPr>
          <w:p w:rsidR="0053278B" w:rsidRPr="00D77B35" w:rsidRDefault="0053278B" w:rsidP="00850113">
            <w:pPr>
              <w:spacing w:line="360" w:lineRule="auto"/>
              <w:jc w:val="both"/>
              <w:rPr>
                <w:rFonts w:ascii="Times New Roman" w:hAnsi="Times New Roman" w:cs="Times New Roman"/>
                <w:bCs/>
              </w:rPr>
            </w:pPr>
            <w:r>
              <w:rPr>
                <w:rFonts w:ascii="Times New Roman" w:hAnsi="Times New Roman" w:cs="Times New Roman"/>
                <w:bCs/>
              </w:rPr>
              <w:t>Estimated critical patients</w:t>
            </w:r>
          </w:p>
        </w:tc>
        <w:tc>
          <w:tcPr>
            <w:tcW w:w="1170" w:type="dxa"/>
          </w:tcPr>
          <w:p w:rsidR="0053278B" w:rsidRDefault="007E02C1" w:rsidP="00850113">
            <w:pPr>
              <w:spacing w:line="360" w:lineRule="auto"/>
              <w:jc w:val="both"/>
              <w:rPr>
                <w:rFonts w:ascii="Times New Roman" w:hAnsi="Times New Roman" w:cs="Times New Roman"/>
                <w:bCs/>
              </w:rPr>
            </w:pPr>
            <w:r>
              <w:rPr>
                <w:rFonts w:ascii="Times New Roman" w:hAnsi="Times New Roman" w:cs="Times New Roman"/>
                <w:bCs/>
              </w:rPr>
              <w:t>92</w:t>
            </w:r>
          </w:p>
        </w:tc>
        <w:tc>
          <w:tcPr>
            <w:tcW w:w="1260" w:type="dxa"/>
          </w:tcPr>
          <w:p w:rsidR="0053278B" w:rsidRDefault="007E02C1" w:rsidP="00850113">
            <w:pPr>
              <w:spacing w:line="360" w:lineRule="auto"/>
              <w:jc w:val="both"/>
              <w:rPr>
                <w:rFonts w:ascii="Times New Roman" w:hAnsi="Times New Roman" w:cs="Times New Roman"/>
                <w:bCs/>
              </w:rPr>
            </w:pPr>
            <w:r>
              <w:rPr>
                <w:rFonts w:ascii="Times New Roman" w:hAnsi="Times New Roman" w:cs="Times New Roman"/>
                <w:bCs/>
              </w:rPr>
              <w:t>539</w:t>
            </w:r>
          </w:p>
        </w:tc>
        <w:tc>
          <w:tcPr>
            <w:tcW w:w="1260" w:type="dxa"/>
          </w:tcPr>
          <w:p w:rsidR="0053278B" w:rsidRDefault="007E02C1" w:rsidP="00850113">
            <w:pPr>
              <w:spacing w:line="360" w:lineRule="auto"/>
              <w:jc w:val="both"/>
              <w:rPr>
                <w:rFonts w:ascii="Times New Roman" w:hAnsi="Times New Roman" w:cs="Times New Roman"/>
                <w:bCs/>
              </w:rPr>
            </w:pPr>
            <w:r>
              <w:rPr>
                <w:rFonts w:ascii="Times New Roman" w:hAnsi="Times New Roman" w:cs="Times New Roman"/>
                <w:bCs/>
              </w:rPr>
              <w:t>281</w:t>
            </w:r>
          </w:p>
        </w:tc>
        <w:tc>
          <w:tcPr>
            <w:tcW w:w="1170" w:type="dxa"/>
          </w:tcPr>
          <w:p w:rsidR="0053278B" w:rsidRDefault="007E02C1" w:rsidP="00850113">
            <w:pPr>
              <w:spacing w:line="360" w:lineRule="auto"/>
              <w:jc w:val="both"/>
              <w:rPr>
                <w:rFonts w:ascii="Times New Roman" w:hAnsi="Times New Roman" w:cs="Times New Roman"/>
                <w:bCs/>
              </w:rPr>
            </w:pPr>
            <w:r>
              <w:rPr>
                <w:rFonts w:ascii="Times New Roman" w:hAnsi="Times New Roman" w:cs="Times New Roman"/>
                <w:bCs/>
              </w:rPr>
              <w:t>1937</w:t>
            </w:r>
          </w:p>
        </w:tc>
        <w:tc>
          <w:tcPr>
            <w:tcW w:w="1260" w:type="dxa"/>
          </w:tcPr>
          <w:p w:rsidR="0053278B" w:rsidRDefault="007E02C1" w:rsidP="00850113">
            <w:pPr>
              <w:spacing w:line="360" w:lineRule="auto"/>
              <w:jc w:val="both"/>
              <w:rPr>
                <w:rFonts w:ascii="Times New Roman" w:hAnsi="Times New Roman" w:cs="Times New Roman"/>
                <w:bCs/>
              </w:rPr>
            </w:pPr>
            <w:r>
              <w:rPr>
                <w:rFonts w:ascii="Times New Roman" w:hAnsi="Times New Roman" w:cs="Times New Roman"/>
                <w:bCs/>
              </w:rPr>
              <w:t>1226</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4C04BD">
            <w:pPr>
              <w:spacing w:line="360" w:lineRule="auto"/>
              <w:jc w:val="both"/>
              <w:rPr>
                <w:rFonts w:ascii="Times New Roman" w:hAnsi="Times New Roman" w:cs="Times New Roman"/>
                <w:bCs/>
              </w:rPr>
            </w:pPr>
            <w:r w:rsidRPr="00D77B35">
              <w:rPr>
                <w:rFonts w:ascii="Times New Roman" w:hAnsi="Times New Roman" w:cs="Times New Roman"/>
                <w:bCs/>
              </w:rPr>
              <w:t>Number of ICU beds</w:t>
            </w:r>
          </w:p>
        </w:tc>
        <w:tc>
          <w:tcPr>
            <w:tcW w:w="1170" w:type="dxa"/>
          </w:tcPr>
          <w:p w:rsidR="00EC27E6" w:rsidRPr="00D77B35" w:rsidRDefault="00275EF2" w:rsidP="00850113">
            <w:pPr>
              <w:spacing w:line="360" w:lineRule="auto"/>
              <w:jc w:val="both"/>
              <w:rPr>
                <w:rFonts w:ascii="Times New Roman" w:hAnsi="Times New Roman" w:cs="Times New Roman"/>
                <w:bCs/>
              </w:rPr>
            </w:pPr>
            <w:r>
              <w:rPr>
                <w:rFonts w:ascii="Times New Roman" w:hAnsi="Times New Roman" w:cs="Times New Roman"/>
                <w:bCs/>
              </w:rPr>
              <w:t>58</w:t>
            </w:r>
          </w:p>
        </w:tc>
        <w:tc>
          <w:tcPr>
            <w:tcW w:w="126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66</w:t>
            </w:r>
          </w:p>
        </w:tc>
        <w:tc>
          <w:tcPr>
            <w:tcW w:w="126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74</w:t>
            </w:r>
          </w:p>
        </w:tc>
        <w:tc>
          <w:tcPr>
            <w:tcW w:w="117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82</w:t>
            </w:r>
          </w:p>
        </w:tc>
        <w:tc>
          <w:tcPr>
            <w:tcW w:w="126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90</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Number of ventilators</w:t>
            </w:r>
          </w:p>
        </w:tc>
        <w:tc>
          <w:tcPr>
            <w:tcW w:w="1170" w:type="dxa"/>
          </w:tcPr>
          <w:p w:rsidR="00EC27E6" w:rsidRPr="00D77B35" w:rsidRDefault="00275EF2" w:rsidP="00850113">
            <w:pPr>
              <w:spacing w:line="360" w:lineRule="auto"/>
              <w:jc w:val="both"/>
              <w:rPr>
                <w:rFonts w:ascii="Times New Roman" w:hAnsi="Times New Roman" w:cs="Times New Roman"/>
                <w:bCs/>
              </w:rPr>
            </w:pPr>
            <w:r>
              <w:rPr>
                <w:rFonts w:ascii="Times New Roman" w:hAnsi="Times New Roman" w:cs="Times New Roman"/>
                <w:bCs/>
              </w:rPr>
              <w:t>53</w:t>
            </w:r>
          </w:p>
        </w:tc>
        <w:tc>
          <w:tcPr>
            <w:tcW w:w="126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60</w:t>
            </w:r>
          </w:p>
        </w:tc>
        <w:tc>
          <w:tcPr>
            <w:tcW w:w="126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67</w:t>
            </w:r>
          </w:p>
        </w:tc>
        <w:tc>
          <w:tcPr>
            <w:tcW w:w="117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74</w:t>
            </w:r>
          </w:p>
        </w:tc>
        <w:tc>
          <w:tcPr>
            <w:tcW w:w="1260" w:type="dxa"/>
          </w:tcPr>
          <w:p w:rsidR="00EC27E6" w:rsidRPr="00D77B35" w:rsidRDefault="007E02C1" w:rsidP="00850113">
            <w:pPr>
              <w:spacing w:line="360" w:lineRule="auto"/>
              <w:jc w:val="both"/>
              <w:rPr>
                <w:rFonts w:ascii="Times New Roman" w:hAnsi="Times New Roman" w:cs="Times New Roman"/>
                <w:bCs/>
              </w:rPr>
            </w:pPr>
            <w:r>
              <w:rPr>
                <w:rFonts w:ascii="Times New Roman" w:hAnsi="Times New Roman" w:cs="Times New Roman"/>
                <w:bCs/>
              </w:rPr>
              <w:t>81</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ICU bed surge</w:t>
            </w:r>
            <w:r w:rsidR="00EB0310">
              <w:rPr>
                <w:rFonts w:ascii="Times New Roman" w:hAnsi="Times New Roman" w:cs="Times New Roman"/>
                <w:bCs/>
              </w:rPr>
              <w:t xml:space="preserve"> capacity</w:t>
            </w:r>
          </w:p>
        </w:tc>
        <w:tc>
          <w:tcPr>
            <w:tcW w:w="117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34</w:t>
            </w:r>
          </w:p>
        </w:tc>
        <w:tc>
          <w:tcPr>
            <w:tcW w:w="126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473</w:t>
            </w:r>
          </w:p>
        </w:tc>
        <w:tc>
          <w:tcPr>
            <w:tcW w:w="126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207</w:t>
            </w:r>
          </w:p>
        </w:tc>
        <w:tc>
          <w:tcPr>
            <w:tcW w:w="117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1855</w:t>
            </w:r>
          </w:p>
        </w:tc>
        <w:tc>
          <w:tcPr>
            <w:tcW w:w="126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1136</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EC27E6" w:rsidP="00850113">
            <w:pPr>
              <w:spacing w:line="360" w:lineRule="auto"/>
              <w:jc w:val="both"/>
              <w:rPr>
                <w:rFonts w:ascii="Times New Roman" w:hAnsi="Times New Roman" w:cs="Times New Roman"/>
                <w:bCs/>
              </w:rPr>
            </w:pPr>
            <w:r w:rsidRPr="00D77B35">
              <w:rPr>
                <w:rFonts w:ascii="Times New Roman" w:hAnsi="Times New Roman" w:cs="Times New Roman"/>
                <w:bCs/>
              </w:rPr>
              <w:t>Ventilator surge</w:t>
            </w:r>
          </w:p>
        </w:tc>
        <w:tc>
          <w:tcPr>
            <w:tcW w:w="117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39</w:t>
            </w:r>
          </w:p>
        </w:tc>
        <w:tc>
          <w:tcPr>
            <w:tcW w:w="126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479</w:t>
            </w:r>
          </w:p>
        </w:tc>
        <w:tc>
          <w:tcPr>
            <w:tcW w:w="126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214</w:t>
            </w:r>
          </w:p>
        </w:tc>
        <w:tc>
          <w:tcPr>
            <w:tcW w:w="117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1863</w:t>
            </w:r>
          </w:p>
        </w:tc>
        <w:tc>
          <w:tcPr>
            <w:tcW w:w="1260" w:type="dxa"/>
          </w:tcPr>
          <w:p w:rsidR="00EC27E6" w:rsidRPr="002671B7" w:rsidRDefault="003B6A47" w:rsidP="00850113">
            <w:pPr>
              <w:spacing w:line="360" w:lineRule="auto"/>
              <w:jc w:val="both"/>
              <w:rPr>
                <w:rFonts w:ascii="Times New Roman" w:hAnsi="Times New Roman" w:cs="Times New Roman"/>
                <w:b/>
                <w:bCs/>
              </w:rPr>
            </w:pPr>
            <w:r w:rsidRPr="002671B7">
              <w:rPr>
                <w:rFonts w:ascii="Times New Roman" w:hAnsi="Times New Roman" w:cs="Times New Roman"/>
                <w:b/>
                <w:bCs/>
              </w:rPr>
              <w:t>1145</w:t>
            </w:r>
          </w:p>
        </w:tc>
      </w:tr>
      <w:tr w:rsidR="00A524C7" w:rsidTr="00A524C7">
        <w:tc>
          <w:tcPr>
            <w:tcW w:w="1011" w:type="dxa"/>
          </w:tcPr>
          <w:p w:rsidR="00EC27E6" w:rsidRPr="00891CBB" w:rsidRDefault="00D77B35" w:rsidP="00850113">
            <w:pPr>
              <w:spacing w:line="360" w:lineRule="auto"/>
              <w:jc w:val="both"/>
              <w:rPr>
                <w:rFonts w:ascii="Times New Roman" w:hAnsi="Times New Roman" w:cs="Times New Roman"/>
                <w:b/>
                <w:bCs/>
              </w:rPr>
            </w:pPr>
            <w:r w:rsidRPr="00891CBB">
              <w:rPr>
                <w:rFonts w:ascii="Times New Roman" w:hAnsi="Times New Roman" w:cs="Times New Roman"/>
                <w:b/>
                <w:bCs/>
              </w:rPr>
              <w:t>South Sudan</w:t>
            </w: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Confirmed Covid cases</w:t>
            </w:r>
          </w:p>
        </w:tc>
        <w:tc>
          <w:tcPr>
            <w:tcW w:w="1170" w:type="dxa"/>
          </w:tcPr>
          <w:p w:rsidR="00EC27E6" w:rsidRPr="00D77B35" w:rsidRDefault="00C16111" w:rsidP="00850113">
            <w:pPr>
              <w:spacing w:line="360" w:lineRule="auto"/>
              <w:jc w:val="both"/>
              <w:rPr>
                <w:rFonts w:ascii="Times New Roman" w:hAnsi="Times New Roman" w:cs="Times New Roman"/>
                <w:bCs/>
              </w:rPr>
            </w:pPr>
            <w:r>
              <w:rPr>
                <w:rFonts w:ascii="Times New Roman" w:hAnsi="Times New Roman" w:cs="Times New Roman"/>
                <w:bCs/>
              </w:rPr>
              <w:t>994</w:t>
            </w:r>
          </w:p>
        </w:tc>
        <w:tc>
          <w:tcPr>
            <w:tcW w:w="1260" w:type="dxa"/>
          </w:tcPr>
          <w:p w:rsidR="00EC27E6" w:rsidRPr="00D77B35" w:rsidRDefault="00C16111" w:rsidP="00850113">
            <w:pPr>
              <w:spacing w:line="360" w:lineRule="auto"/>
              <w:jc w:val="both"/>
              <w:rPr>
                <w:rFonts w:ascii="Times New Roman" w:hAnsi="Times New Roman" w:cs="Times New Roman"/>
                <w:bCs/>
              </w:rPr>
            </w:pPr>
            <w:r>
              <w:rPr>
                <w:rFonts w:ascii="Times New Roman" w:hAnsi="Times New Roman" w:cs="Times New Roman"/>
                <w:bCs/>
              </w:rPr>
              <w:t>1525</w:t>
            </w:r>
          </w:p>
        </w:tc>
        <w:tc>
          <w:tcPr>
            <w:tcW w:w="1260" w:type="dxa"/>
          </w:tcPr>
          <w:p w:rsidR="00EC27E6" w:rsidRPr="00D77B35" w:rsidRDefault="00C16111" w:rsidP="00850113">
            <w:pPr>
              <w:spacing w:line="360" w:lineRule="auto"/>
              <w:jc w:val="both"/>
              <w:rPr>
                <w:rFonts w:ascii="Times New Roman" w:hAnsi="Times New Roman" w:cs="Times New Roman"/>
                <w:bCs/>
              </w:rPr>
            </w:pPr>
            <w:r>
              <w:rPr>
                <w:rFonts w:ascii="Times New Roman" w:hAnsi="Times New Roman" w:cs="Times New Roman"/>
                <w:bCs/>
              </w:rPr>
              <w:t>590</w:t>
            </w:r>
          </w:p>
        </w:tc>
        <w:tc>
          <w:tcPr>
            <w:tcW w:w="1170" w:type="dxa"/>
          </w:tcPr>
          <w:p w:rsidR="00EC27E6" w:rsidRPr="00D77B35" w:rsidRDefault="00C16111" w:rsidP="00850113">
            <w:pPr>
              <w:spacing w:line="360" w:lineRule="auto"/>
              <w:jc w:val="both"/>
              <w:rPr>
                <w:rFonts w:ascii="Times New Roman" w:hAnsi="Times New Roman" w:cs="Times New Roman"/>
                <w:bCs/>
              </w:rPr>
            </w:pPr>
            <w:r>
              <w:rPr>
                <w:rFonts w:ascii="Times New Roman" w:hAnsi="Times New Roman" w:cs="Times New Roman"/>
                <w:bCs/>
              </w:rPr>
              <w:t>4901</w:t>
            </w:r>
          </w:p>
        </w:tc>
        <w:tc>
          <w:tcPr>
            <w:tcW w:w="1260" w:type="dxa"/>
          </w:tcPr>
          <w:p w:rsidR="00EC27E6" w:rsidRPr="00D77B35" w:rsidRDefault="00C16111" w:rsidP="00850113">
            <w:pPr>
              <w:spacing w:line="360" w:lineRule="auto"/>
              <w:jc w:val="both"/>
              <w:rPr>
                <w:rFonts w:ascii="Times New Roman" w:hAnsi="Times New Roman" w:cs="Times New Roman"/>
                <w:bCs/>
              </w:rPr>
            </w:pPr>
            <w:r>
              <w:rPr>
                <w:rFonts w:ascii="Times New Roman" w:hAnsi="Times New Roman" w:cs="Times New Roman"/>
                <w:bCs/>
              </w:rPr>
              <w:t>2678</w:t>
            </w:r>
          </w:p>
        </w:tc>
      </w:tr>
      <w:tr w:rsidR="00404CA9" w:rsidTr="00A524C7">
        <w:tc>
          <w:tcPr>
            <w:tcW w:w="1011" w:type="dxa"/>
          </w:tcPr>
          <w:p w:rsidR="00404CA9" w:rsidRPr="00891CBB" w:rsidRDefault="00404CA9" w:rsidP="00850113">
            <w:pPr>
              <w:spacing w:line="360" w:lineRule="auto"/>
              <w:jc w:val="both"/>
              <w:rPr>
                <w:rFonts w:ascii="Times New Roman" w:hAnsi="Times New Roman" w:cs="Times New Roman"/>
                <w:b/>
                <w:bCs/>
              </w:rPr>
            </w:pPr>
          </w:p>
        </w:tc>
        <w:tc>
          <w:tcPr>
            <w:tcW w:w="2607" w:type="dxa"/>
          </w:tcPr>
          <w:p w:rsidR="00404CA9" w:rsidRPr="00D77B35" w:rsidRDefault="00404CA9" w:rsidP="00850113">
            <w:pPr>
              <w:spacing w:line="360" w:lineRule="auto"/>
              <w:jc w:val="both"/>
              <w:rPr>
                <w:rFonts w:ascii="Times New Roman" w:hAnsi="Times New Roman" w:cs="Times New Roman"/>
                <w:bCs/>
              </w:rPr>
            </w:pPr>
            <w:r>
              <w:rPr>
                <w:rFonts w:ascii="Times New Roman" w:hAnsi="Times New Roman" w:cs="Times New Roman"/>
                <w:bCs/>
              </w:rPr>
              <w:t>Estimated critical patients</w:t>
            </w:r>
          </w:p>
        </w:tc>
        <w:tc>
          <w:tcPr>
            <w:tcW w:w="1170" w:type="dxa"/>
          </w:tcPr>
          <w:p w:rsidR="00404CA9" w:rsidRDefault="00150FDC" w:rsidP="00850113">
            <w:pPr>
              <w:spacing w:line="360" w:lineRule="auto"/>
              <w:jc w:val="both"/>
              <w:rPr>
                <w:rFonts w:ascii="Times New Roman" w:hAnsi="Times New Roman" w:cs="Times New Roman"/>
                <w:bCs/>
              </w:rPr>
            </w:pPr>
            <w:r>
              <w:rPr>
                <w:rFonts w:ascii="Times New Roman" w:hAnsi="Times New Roman" w:cs="Times New Roman"/>
                <w:bCs/>
              </w:rPr>
              <w:t>149</w:t>
            </w:r>
          </w:p>
        </w:tc>
        <w:tc>
          <w:tcPr>
            <w:tcW w:w="1260" w:type="dxa"/>
          </w:tcPr>
          <w:p w:rsidR="00404CA9" w:rsidRDefault="00150FDC" w:rsidP="00850113">
            <w:pPr>
              <w:spacing w:line="360" w:lineRule="auto"/>
              <w:jc w:val="both"/>
              <w:rPr>
                <w:rFonts w:ascii="Times New Roman" w:hAnsi="Times New Roman" w:cs="Times New Roman"/>
                <w:bCs/>
              </w:rPr>
            </w:pPr>
            <w:r>
              <w:rPr>
                <w:rFonts w:ascii="Times New Roman" w:hAnsi="Times New Roman" w:cs="Times New Roman"/>
                <w:bCs/>
              </w:rPr>
              <w:t>229</w:t>
            </w:r>
          </w:p>
        </w:tc>
        <w:tc>
          <w:tcPr>
            <w:tcW w:w="1260" w:type="dxa"/>
          </w:tcPr>
          <w:p w:rsidR="00404CA9" w:rsidRDefault="00150FDC" w:rsidP="00850113">
            <w:pPr>
              <w:spacing w:line="360" w:lineRule="auto"/>
              <w:jc w:val="both"/>
              <w:rPr>
                <w:rFonts w:ascii="Times New Roman" w:hAnsi="Times New Roman" w:cs="Times New Roman"/>
                <w:bCs/>
              </w:rPr>
            </w:pPr>
            <w:r>
              <w:rPr>
                <w:rFonts w:ascii="Times New Roman" w:hAnsi="Times New Roman" w:cs="Times New Roman"/>
                <w:bCs/>
              </w:rPr>
              <w:t>89</w:t>
            </w:r>
          </w:p>
        </w:tc>
        <w:tc>
          <w:tcPr>
            <w:tcW w:w="1170" w:type="dxa"/>
          </w:tcPr>
          <w:p w:rsidR="00404CA9" w:rsidRDefault="00150FDC" w:rsidP="00850113">
            <w:pPr>
              <w:spacing w:line="360" w:lineRule="auto"/>
              <w:jc w:val="both"/>
              <w:rPr>
                <w:rFonts w:ascii="Times New Roman" w:hAnsi="Times New Roman" w:cs="Times New Roman"/>
                <w:bCs/>
              </w:rPr>
            </w:pPr>
            <w:r>
              <w:rPr>
                <w:rFonts w:ascii="Times New Roman" w:hAnsi="Times New Roman" w:cs="Times New Roman"/>
                <w:bCs/>
              </w:rPr>
              <w:t>735</w:t>
            </w:r>
          </w:p>
        </w:tc>
        <w:tc>
          <w:tcPr>
            <w:tcW w:w="1260" w:type="dxa"/>
          </w:tcPr>
          <w:p w:rsidR="00404CA9" w:rsidRDefault="00150FDC" w:rsidP="00850113">
            <w:pPr>
              <w:spacing w:line="360" w:lineRule="auto"/>
              <w:jc w:val="both"/>
              <w:rPr>
                <w:rFonts w:ascii="Times New Roman" w:hAnsi="Times New Roman" w:cs="Times New Roman"/>
                <w:bCs/>
              </w:rPr>
            </w:pPr>
            <w:r>
              <w:rPr>
                <w:rFonts w:ascii="Times New Roman" w:hAnsi="Times New Roman" w:cs="Times New Roman"/>
                <w:bCs/>
              </w:rPr>
              <w:t>402</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Number of ICU beds</w:t>
            </w:r>
          </w:p>
        </w:tc>
        <w:tc>
          <w:tcPr>
            <w:tcW w:w="117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28</w:t>
            </w:r>
          </w:p>
        </w:tc>
        <w:tc>
          <w:tcPr>
            <w:tcW w:w="126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32</w:t>
            </w:r>
          </w:p>
        </w:tc>
        <w:tc>
          <w:tcPr>
            <w:tcW w:w="126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36</w:t>
            </w:r>
          </w:p>
        </w:tc>
        <w:tc>
          <w:tcPr>
            <w:tcW w:w="117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40</w:t>
            </w:r>
          </w:p>
        </w:tc>
        <w:tc>
          <w:tcPr>
            <w:tcW w:w="126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44</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Number of ventilators</w:t>
            </w:r>
          </w:p>
        </w:tc>
        <w:tc>
          <w:tcPr>
            <w:tcW w:w="117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5</w:t>
            </w:r>
          </w:p>
        </w:tc>
        <w:tc>
          <w:tcPr>
            <w:tcW w:w="126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6</w:t>
            </w:r>
          </w:p>
        </w:tc>
        <w:tc>
          <w:tcPr>
            <w:tcW w:w="126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7</w:t>
            </w:r>
          </w:p>
        </w:tc>
        <w:tc>
          <w:tcPr>
            <w:tcW w:w="117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8</w:t>
            </w:r>
          </w:p>
        </w:tc>
        <w:tc>
          <w:tcPr>
            <w:tcW w:w="1260" w:type="dxa"/>
          </w:tcPr>
          <w:p w:rsidR="00EC27E6" w:rsidRPr="00D77B35" w:rsidRDefault="009C7936" w:rsidP="00850113">
            <w:pPr>
              <w:spacing w:line="360" w:lineRule="auto"/>
              <w:jc w:val="both"/>
              <w:rPr>
                <w:rFonts w:ascii="Times New Roman" w:hAnsi="Times New Roman" w:cs="Times New Roman"/>
                <w:bCs/>
              </w:rPr>
            </w:pPr>
            <w:r>
              <w:rPr>
                <w:rFonts w:ascii="Times New Roman" w:hAnsi="Times New Roman" w:cs="Times New Roman"/>
                <w:bCs/>
              </w:rPr>
              <w:t>9</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ICU bed surge</w:t>
            </w:r>
            <w:r w:rsidR="00EB0310">
              <w:rPr>
                <w:rFonts w:ascii="Times New Roman" w:hAnsi="Times New Roman" w:cs="Times New Roman"/>
                <w:bCs/>
              </w:rPr>
              <w:t xml:space="preserve"> capacity</w:t>
            </w:r>
          </w:p>
        </w:tc>
        <w:tc>
          <w:tcPr>
            <w:tcW w:w="117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121</w:t>
            </w:r>
          </w:p>
        </w:tc>
        <w:tc>
          <w:tcPr>
            <w:tcW w:w="126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197</w:t>
            </w:r>
          </w:p>
        </w:tc>
        <w:tc>
          <w:tcPr>
            <w:tcW w:w="126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53</w:t>
            </w:r>
          </w:p>
        </w:tc>
        <w:tc>
          <w:tcPr>
            <w:tcW w:w="117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695</w:t>
            </w:r>
          </w:p>
        </w:tc>
        <w:tc>
          <w:tcPr>
            <w:tcW w:w="126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358</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Ventilator surge</w:t>
            </w:r>
          </w:p>
        </w:tc>
        <w:tc>
          <w:tcPr>
            <w:tcW w:w="117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144</w:t>
            </w:r>
          </w:p>
        </w:tc>
        <w:tc>
          <w:tcPr>
            <w:tcW w:w="126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223</w:t>
            </w:r>
          </w:p>
        </w:tc>
        <w:tc>
          <w:tcPr>
            <w:tcW w:w="126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82</w:t>
            </w:r>
          </w:p>
        </w:tc>
        <w:tc>
          <w:tcPr>
            <w:tcW w:w="117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727</w:t>
            </w:r>
          </w:p>
        </w:tc>
        <w:tc>
          <w:tcPr>
            <w:tcW w:w="1260" w:type="dxa"/>
          </w:tcPr>
          <w:p w:rsidR="00EC27E6" w:rsidRPr="004C04BD" w:rsidRDefault="002D7023" w:rsidP="00850113">
            <w:pPr>
              <w:spacing w:line="360" w:lineRule="auto"/>
              <w:jc w:val="both"/>
              <w:rPr>
                <w:rFonts w:ascii="Times New Roman" w:hAnsi="Times New Roman" w:cs="Times New Roman"/>
                <w:b/>
                <w:bCs/>
              </w:rPr>
            </w:pPr>
            <w:r w:rsidRPr="004C04BD">
              <w:rPr>
                <w:rFonts w:ascii="Times New Roman" w:hAnsi="Times New Roman" w:cs="Times New Roman"/>
                <w:b/>
                <w:bCs/>
              </w:rPr>
              <w:t>393</w:t>
            </w:r>
          </w:p>
        </w:tc>
      </w:tr>
      <w:tr w:rsidR="00A524C7" w:rsidTr="00A524C7">
        <w:tc>
          <w:tcPr>
            <w:tcW w:w="1011" w:type="dxa"/>
          </w:tcPr>
          <w:p w:rsidR="00EC27E6" w:rsidRPr="00891CBB" w:rsidRDefault="00D77B35" w:rsidP="00850113">
            <w:pPr>
              <w:spacing w:line="360" w:lineRule="auto"/>
              <w:jc w:val="both"/>
              <w:rPr>
                <w:rFonts w:ascii="Times New Roman" w:hAnsi="Times New Roman" w:cs="Times New Roman"/>
                <w:b/>
                <w:bCs/>
              </w:rPr>
            </w:pPr>
            <w:r w:rsidRPr="00891CBB">
              <w:rPr>
                <w:rFonts w:ascii="Times New Roman" w:hAnsi="Times New Roman" w:cs="Times New Roman"/>
                <w:b/>
                <w:bCs/>
              </w:rPr>
              <w:t>Uganda</w:t>
            </w: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Confirmed Covid cases</w:t>
            </w:r>
          </w:p>
        </w:tc>
        <w:tc>
          <w:tcPr>
            <w:tcW w:w="1170" w:type="dxa"/>
          </w:tcPr>
          <w:p w:rsidR="00EC27E6" w:rsidRPr="00D77B35" w:rsidRDefault="00E92041" w:rsidP="00850113">
            <w:pPr>
              <w:spacing w:line="360" w:lineRule="auto"/>
              <w:jc w:val="both"/>
              <w:rPr>
                <w:rFonts w:ascii="Times New Roman" w:hAnsi="Times New Roman" w:cs="Times New Roman"/>
                <w:bCs/>
              </w:rPr>
            </w:pPr>
            <w:r>
              <w:rPr>
                <w:rFonts w:ascii="Times New Roman" w:hAnsi="Times New Roman" w:cs="Times New Roman"/>
                <w:bCs/>
              </w:rPr>
              <w:t>458</w:t>
            </w:r>
          </w:p>
        </w:tc>
        <w:tc>
          <w:tcPr>
            <w:tcW w:w="1260" w:type="dxa"/>
          </w:tcPr>
          <w:p w:rsidR="00EC27E6" w:rsidRPr="00D77B35" w:rsidRDefault="00E92041" w:rsidP="00850113">
            <w:pPr>
              <w:spacing w:line="360" w:lineRule="auto"/>
              <w:jc w:val="both"/>
              <w:rPr>
                <w:rFonts w:ascii="Times New Roman" w:hAnsi="Times New Roman" w:cs="Times New Roman"/>
                <w:bCs/>
              </w:rPr>
            </w:pPr>
            <w:r>
              <w:rPr>
                <w:rFonts w:ascii="Times New Roman" w:hAnsi="Times New Roman" w:cs="Times New Roman"/>
                <w:bCs/>
              </w:rPr>
              <w:t>2514</w:t>
            </w:r>
          </w:p>
        </w:tc>
        <w:tc>
          <w:tcPr>
            <w:tcW w:w="1260" w:type="dxa"/>
          </w:tcPr>
          <w:p w:rsidR="00EC27E6" w:rsidRPr="00D77B35" w:rsidRDefault="00E92041" w:rsidP="00850113">
            <w:pPr>
              <w:spacing w:line="360" w:lineRule="auto"/>
              <w:jc w:val="both"/>
              <w:rPr>
                <w:rFonts w:ascii="Times New Roman" w:hAnsi="Times New Roman" w:cs="Times New Roman"/>
                <w:bCs/>
              </w:rPr>
            </w:pPr>
            <w:r>
              <w:rPr>
                <w:rFonts w:ascii="Times New Roman" w:hAnsi="Times New Roman" w:cs="Times New Roman"/>
                <w:bCs/>
              </w:rPr>
              <w:t>17487</w:t>
            </w:r>
          </w:p>
        </w:tc>
        <w:tc>
          <w:tcPr>
            <w:tcW w:w="1170" w:type="dxa"/>
          </w:tcPr>
          <w:p w:rsidR="00EC27E6" w:rsidRPr="00D77B35" w:rsidRDefault="00E92041" w:rsidP="00850113">
            <w:pPr>
              <w:spacing w:line="360" w:lineRule="auto"/>
              <w:jc w:val="both"/>
              <w:rPr>
                <w:rFonts w:ascii="Times New Roman" w:hAnsi="Times New Roman" w:cs="Times New Roman"/>
                <w:bCs/>
              </w:rPr>
            </w:pPr>
            <w:r>
              <w:rPr>
                <w:rFonts w:ascii="Times New Roman" w:hAnsi="Times New Roman" w:cs="Times New Roman"/>
                <w:bCs/>
              </w:rPr>
              <w:t>19908</w:t>
            </w:r>
          </w:p>
        </w:tc>
        <w:tc>
          <w:tcPr>
            <w:tcW w:w="1260" w:type="dxa"/>
          </w:tcPr>
          <w:p w:rsidR="00EC27E6" w:rsidRPr="00D77B35" w:rsidRDefault="00E92041" w:rsidP="00850113">
            <w:pPr>
              <w:spacing w:line="360" w:lineRule="auto"/>
              <w:jc w:val="both"/>
              <w:rPr>
                <w:rFonts w:ascii="Times New Roman" w:hAnsi="Times New Roman" w:cs="Times New Roman"/>
                <w:bCs/>
              </w:rPr>
            </w:pPr>
            <w:r>
              <w:rPr>
                <w:rFonts w:ascii="Times New Roman" w:hAnsi="Times New Roman" w:cs="Times New Roman"/>
                <w:bCs/>
              </w:rPr>
              <w:t>6780</w:t>
            </w:r>
          </w:p>
        </w:tc>
      </w:tr>
      <w:tr w:rsidR="00404CA9" w:rsidTr="00A524C7">
        <w:tc>
          <w:tcPr>
            <w:tcW w:w="1011" w:type="dxa"/>
          </w:tcPr>
          <w:p w:rsidR="00404CA9" w:rsidRPr="00891CBB" w:rsidRDefault="00404CA9" w:rsidP="00850113">
            <w:pPr>
              <w:spacing w:line="360" w:lineRule="auto"/>
              <w:jc w:val="both"/>
              <w:rPr>
                <w:rFonts w:ascii="Times New Roman" w:hAnsi="Times New Roman" w:cs="Times New Roman"/>
                <w:b/>
                <w:bCs/>
              </w:rPr>
            </w:pPr>
          </w:p>
        </w:tc>
        <w:tc>
          <w:tcPr>
            <w:tcW w:w="2607" w:type="dxa"/>
          </w:tcPr>
          <w:p w:rsidR="00404CA9" w:rsidRPr="00D77B35" w:rsidRDefault="00404CA9" w:rsidP="00850113">
            <w:pPr>
              <w:spacing w:line="360" w:lineRule="auto"/>
              <w:jc w:val="both"/>
              <w:rPr>
                <w:rFonts w:ascii="Times New Roman" w:hAnsi="Times New Roman" w:cs="Times New Roman"/>
                <w:bCs/>
              </w:rPr>
            </w:pPr>
            <w:r>
              <w:rPr>
                <w:rFonts w:ascii="Times New Roman" w:hAnsi="Times New Roman" w:cs="Times New Roman"/>
                <w:bCs/>
              </w:rPr>
              <w:t>Estimated critical patients</w:t>
            </w:r>
          </w:p>
        </w:tc>
        <w:tc>
          <w:tcPr>
            <w:tcW w:w="1170" w:type="dxa"/>
          </w:tcPr>
          <w:p w:rsidR="00404CA9" w:rsidRDefault="004C04BD" w:rsidP="00850113">
            <w:pPr>
              <w:spacing w:line="360" w:lineRule="auto"/>
              <w:jc w:val="both"/>
              <w:rPr>
                <w:rFonts w:ascii="Times New Roman" w:hAnsi="Times New Roman" w:cs="Times New Roman"/>
                <w:bCs/>
              </w:rPr>
            </w:pPr>
            <w:r>
              <w:rPr>
                <w:rFonts w:ascii="Times New Roman" w:hAnsi="Times New Roman" w:cs="Times New Roman"/>
                <w:bCs/>
              </w:rPr>
              <w:t>69</w:t>
            </w:r>
          </w:p>
        </w:tc>
        <w:tc>
          <w:tcPr>
            <w:tcW w:w="1260" w:type="dxa"/>
          </w:tcPr>
          <w:p w:rsidR="00404CA9" w:rsidRDefault="004C04BD" w:rsidP="00850113">
            <w:pPr>
              <w:spacing w:line="360" w:lineRule="auto"/>
              <w:jc w:val="both"/>
              <w:rPr>
                <w:rFonts w:ascii="Times New Roman" w:hAnsi="Times New Roman" w:cs="Times New Roman"/>
                <w:bCs/>
              </w:rPr>
            </w:pPr>
            <w:r>
              <w:rPr>
                <w:rFonts w:ascii="Times New Roman" w:hAnsi="Times New Roman" w:cs="Times New Roman"/>
                <w:bCs/>
              </w:rPr>
              <w:t>377</w:t>
            </w:r>
          </w:p>
        </w:tc>
        <w:tc>
          <w:tcPr>
            <w:tcW w:w="1260" w:type="dxa"/>
          </w:tcPr>
          <w:p w:rsidR="00404CA9" w:rsidRDefault="004C04BD" w:rsidP="00850113">
            <w:pPr>
              <w:spacing w:line="360" w:lineRule="auto"/>
              <w:jc w:val="both"/>
              <w:rPr>
                <w:rFonts w:ascii="Times New Roman" w:hAnsi="Times New Roman" w:cs="Times New Roman"/>
                <w:bCs/>
              </w:rPr>
            </w:pPr>
            <w:r>
              <w:rPr>
                <w:rFonts w:ascii="Times New Roman" w:hAnsi="Times New Roman" w:cs="Times New Roman"/>
                <w:bCs/>
              </w:rPr>
              <w:t>2623</w:t>
            </w:r>
          </w:p>
        </w:tc>
        <w:tc>
          <w:tcPr>
            <w:tcW w:w="1170" w:type="dxa"/>
          </w:tcPr>
          <w:p w:rsidR="00404CA9" w:rsidRDefault="004C04BD" w:rsidP="00850113">
            <w:pPr>
              <w:spacing w:line="360" w:lineRule="auto"/>
              <w:jc w:val="both"/>
              <w:rPr>
                <w:rFonts w:ascii="Times New Roman" w:hAnsi="Times New Roman" w:cs="Times New Roman"/>
                <w:bCs/>
              </w:rPr>
            </w:pPr>
            <w:r>
              <w:rPr>
                <w:rFonts w:ascii="Times New Roman" w:hAnsi="Times New Roman" w:cs="Times New Roman"/>
                <w:bCs/>
              </w:rPr>
              <w:t>2986</w:t>
            </w:r>
          </w:p>
        </w:tc>
        <w:tc>
          <w:tcPr>
            <w:tcW w:w="1260" w:type="dxa"/>
          </w:tcPr>
          <w:p w:rsidR="00404CA9" w:rsidRDefault="00D16CF6" w:rsidP="00850113">
            <w:pPr>
              <w:spacing w:line="360" w:lineRule="auto"/>
              <w:jc w:val="both"/>
              <w:rPr>
                <w:rFonts w:ascii="Times New Roman" w:hAnsi="Times New Roman" w:cs="Times New Roman"/>
                <w:bCs/>
              </w:rPr>
            </w:pPr>
            <w:r>
              <w:rPr>
                <w:rFonts w:ascii="Times New Roman" w:hAnsi="Times New Roman" w:cs="Times New Roman"/>
                <w:bCs/>
              </w:rPr>
              <w:t>1017</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Number of ICU beds</w:t>
            </w:r>
          </w:p>
        </w:tc>
        <w:tc>
          <w:tcPr>
            <w:tcW w:w="117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63</w:t>
            </w:r>
          </w:p>
        </w:tc>
        <w:tc>
          <w:tcPr>
            <w:tcW w:w="126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71</w:t>
            </w:r>
          </w:p>
        </w:tc>
        <w:tc>
          <w:tcPr>
            <w:tcW w:w="126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79</w:t>
            </w:r>
          </w:p>
        </w:tc>
        <w:tc>
          <w:tcPr>
            <w:tcW w:w="117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87</w:t>
            </w:r>
          </w:p>
        </w:tc>
        <w:tc>
          <w:tcPr>
            <w:tcW w:w="126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95</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Number of ventilators</w:t>
            </w:r>
          </w:p>
        </w:tc>
        <w:tc>
          <w:tcPr>
            <w:tcW w:w="117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115</w:t>
            </w:r>
          </w:p>
        </w:tc>
        <w:tc>
          <w:tcPr>
            <w:tcW w:w="126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130</w:t>
            </w:r>
          </w:p>
        </w:tc>
        <w:tc>
          <w:tcPr>
            <w:tcW w:w="126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145</w:t>
            </w:r>
          </w:p>
        </w:tc>
        <w:tc>
          <w:tcPr>
            <w:tcW w:w="117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160</w:t>
            </w:r>
          </w:p>
        </w:tc>
        <w:tc>
          <w:tcPr>
            <w:tcW w:w="1260" w:type="dxa"/>
          </w:tcPr>
          <w:p w:rsidR="00EC27E6" w:rsidRPr="00D77B35" w:rsidRDefault="00D16CF6" w:rsidP="00850113">
            <w:pPr>
              <w:spacing w:line="360" w:lineRule="auto"/>
              <w:jc w:val="both"/>
              <w:rPr>
                <w:rFonts w:ascii="Times New Roman" w:hAnsi="Times New Roman" w:cs="Times New Roman"/>
                <w:bCs/>
              </w:rPr>
            </w:pPr>
            <w:r>
              <w:rPr>
                <w:rFonts w:ascii="Times New Roman" w:hAnsi="Times New Roman" w:cs="Times New Roman"/>
                <w:bCs/>
              </w:rPr>
              <w:t>175</w:t>
            </w:r>
          </w:p>
        </w:tc>
      </w:tr>
      <w:tr w:rsidR="00A524C7" w:rsidTr="00A524C7">
        <w:tc>
          <w:tcPr>
            <w:tcW w:w="1011" w:type="dxa"/>
          </w:tcPr>
          <w:p w:rsidR="00EC27E6" w:rsidRPr="00891CBB" w:rsidRDefault="00EC27E6" w:rsidP="00850113">
            <w:pPr>
              <w:spacing w:line="360" w:lineRule="auto"/>
              <w:jc w:val="both"/>
              <w:rPr>
                <w:rFonts w:ascii="Times New Roman" w:hAnsi="Times New Roman" w:cs="Times New Roman"/>
                <w:b/>
                <w:bCs/>
              </w:rPr>
            </w:pPr>
          </w:p>
        </w:tc>
        <w:tc>
          <w:tcPr>
            <w:tcW w:w="2607" w:type="dxa"/>
          </w:tcPr>
          <w:p w:rsidR="00EC27E6"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ICU bed surge</w:t>
            </w:r>
            <w:r w:rsidR="00EB0310">
              <w:rPr>
                <w:rFonts w:ascii="Times New Roman" w:hAnsi="Times New Roman" w:cs="Times New Roman"/>
                <w:bCs/>
              </w:rPr>
              <w:t xml:space="preserve"> capacity</w:t>
            </w:r>
          </w:p>
        </w:tc>
        <w:tc>
          <w:tcPr>
            <w:tcW w:w="1170" w:type="dxa"/>
          </w:tcPr>
          <w:p w:rsidR="00EC27E6"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6</w:t>
            </w:r>
          </w:p>
        </w:tc>
        <w:tc>
          <w:tcPr>
            <w:tcW w:w="1260" w:type="dxa"/>
          </w:tcPr>
          <w:p w:rsidR="00EC27E6"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306</w:t>
            </w:r>
          </w:p>
        </w:tc>
        <w:tc>
          <w:tcPr>
            <w:tcW w:w="1260" w:type="dxa"/>
          </w:tcPr>
          <w:p w:rsidR="00EC27E6"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2544</w:t>
            </w:r>
          </w:p>
        </w:tc>
        <w:tc>
          <w:tcPr>
            <w:tcW w:w="1170" w:type="dxa"/>
          </w:tcPr>
          <w:p w:rsidR="00EC27E6"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2899</w:t>
            </w:r>
          </w:p>
        </w:tc>
        <w:tc>
          <w:tcPr>
            <w:tcW w:w="1260" w:type="dxa"/>
          </w:tcPr>
          <w:p w:rsidR="00EC27E6"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922</w:t>
            </w:r>
          </w:p>
        </w:tc>
      </w:tr>
      <w:tr w:rsidR="00A524C7" w:rsidTr="00A524C7">
        <w:tc>
          <w:tcPr>
            <w:tcW w:w="1011" w:type="dxa"/>
          </w:tcPr>
          <w:p w:rsidR="00D77B35" w:rsidRPr="00891CBB" w:rsidRDefault="00D77B35" w:rsidP="00850113">
            <w:pPr>
              <w:spacing w:line="360" w:lineRule="auto"/>
              <w:jc w:val="both"/>
              <w:rPr>
                <w:rFonts w:ascii="Times New Roman" w:hAnsi="Times New Roman" w:cs="Times New Roman"/>
                <w:b/>
                <w:bCs/>
              </w:rPr>
            </w:pPr>
          </w:p>
        </w:tc>
        <w:tc>
          <w:tcPr>
            <w:tcW w:w="2607" w:type="dxa"/>
          </w:tcPr>
          <w:p w:rsidR="00D77B35" w:rsidRPr="00D77B35" w:rsidRDefault="00D77B35" w:rsidP="00850113">
            <w:pPr>
              <w:spacing w:line="360" w:lineRule="auto"/>
              <w:jc w:val="both"/>
              <w:rPr>
                <w:rFonts w:ascii="Times New Roman" w:hAnsi="Times New Roman" w:cs="Times New Roman"/>
                <w:bCs/>
              </w:rPr>
            </w:pPr>
            <w:r w:rsidRPr="00D77B35">
              <w:rPr>
                <w:rFonts w:ascii="Times New Roman" w:hAnsi="Times New Roman" w:cs="Times New Roman"/>
                <w:bCs/>
              </w:rPr>
              <w:t>Ventilator surge</w:t>
            </w:r>
          </w:p>
        </w:tc>
        <w:tc>
          <w:tcPr>
            <w:tcW w:w="1170" w:type="dxa"/>
          </w:tcPr>
          <w:p w:rsidR="00D77B35"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(46)</w:t>
            </w:r>
          </w:p>
        </w:tc>
        <w:tc>
          <w:tcPr>
            <w:tcW w:w="1260" w:type="dxa"/>
          </w:tcPr>
          <w:p w:rsidR="00D77B35"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247</w:t>
            </w:r>
          </w:p>
        </w:tc>
        <w:tc>
          <w:tcPr>
            <w:tcW w:w="1260" w:type="dxa"/>
          </w:tcPr>
          <w:p w:rsidR="00D77B35"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2478</w:t>
            </w:r>
          </w:p>
        </w:tc>
        <w:tc>
          <w:tcPr>
            <w:tcW w:w="1170" w:type="dxa"/>
          </w:tcPr>
          <w:p w:rsidR="00D77B35"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2826</w:t>
            </w:r>
          </w:p>
        </w:tc>
        <w:tc>
          <w:tcPr>
            <w:tcW w:w="1260" w:type="dxa"/>
          </w:tcPr>
          <w:p w:rsidR="00D77B35" w:rsidRPr="00D16CF6" w:rsidRDefault="00D16CF6" w:rsidP="00850113">
            <w:pPr>
              <w:spacing w:line="360" w:lineRule="auto"/>
              <w:jc w:val="both"/>
              <w:rPr>
                <w:rFonts w:ascii="Times New Roman" w:hAnsi="Times New Roman" w:cs="Times New Roman"/>
                <w:b/>
                <w:bCs/>
              </w:rPr>
            </w:pPr>
            <w:r w:rsidRPr="00D16CF6">
              <w:rPr>
                <w:rFonts w:ascii="Times New Roman" w:hAnsi="Times New Roman" w:cs="Times New Roman"/>
                <w:b/>
                <w:bCs/>
              </w:rPr>
              <w:t>842</w:t>
            </w:r>
          </w:p>
        </w:tc>
      </w:tr>
    </w:tbl>
    <w:p w:rsidR="00EC27E6" w:rsidRPr="00FC2D41" w:rsidRDefault="00D77B35" w:rsidP="00850113">
      <w:pPr>
        <w:spacing w:after="0" w:line="360" w:lineRule="auto"/>
        <w:jc w:val="both"/>
        <w:rPr>
          <w:rFonts w:ascii="Times New Roman" w:hAnsi="Times New Roman" w:cs="Times New Roman"/>
          <w:bCs/>
          <w:sz w:val="24"/>
          <w:szCs w:val="24"/>
        </w:rPr>
      </w:pPr>
      <w:r w:rsidRPr="00AF0BFD">
        <w:rPr>
          <w:rFonts w:ascii="Times New Roman" w:hAnsi="Times New Roman" w:cs="Times New Roman"/>
          <w:b/>
          <w:bCs/>
          <w:sz w:val="24"/>
          <w:szCs w:val="24"/>
        </w:rPr>
        <w:t>Source</w:t>
      </w:r>
      <w:r>
        <w:rPr>
          <w:rFonts w:ascii="Times New Roman" w:hAnsi="Times New Roman" w:cs="Times New Roman"/>
          <w:bCs/>
          <w:sz w:val="24"/>
          <w:szCs w:val="24"/>
        </w:rPr>
        <w:t>: Author’s computed estimates</w:t>
      </w:r>
    </w:p>
    <w:p w:rsidR="00850113" w:rsidRDefault="00613E2B" w:rsidP="00111240">
      <w:pPr>
        <w:spacing w:line="36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Notes: </w:t>
      </w:r>
      <w:r w:rsidRPr="00A62C95">
        <w:rPr>
          <w:rFonts w:ascii="Times New Roman" w:hAnsi="Times New Roman" w:cs="Times New Roman"/>
          <w:bCs/>
          <w:i/>
          <w:sz w:val="24"/>
          <w:szCs w:val="24"/>
        </w:rPr>
        <w:t>Table 2</w:t>
      </w:r>
      <w:r w:rsidRPr="00613E2B">
        <w:rPr>
          <w:rFonts w:ascii="Times New Roman" w:hAnsi="Times New Roman" w:cs="Times New Roman"/>
          <w:bCs/>
          <w:i/>
          <w:sz w:val="24"/>
          <w:szCs w:val="24"/>
        </w:rPr>
        <w:t xml:space="preserve"> shows the ICU bed surge and ventilator surge capacity estimates. </w:t>
      </w:r>
      <w:proofErr w:type="gramStart"/>
      <w:r w:rsidR="00CC3E04">
        <w:rPr>
          <w:rFonts w:ascii="Times New Roman" w:hAnsi="Times New Roman" w:cs="Times New Roman"/>
          <w:bCs/>
          <w:i/>
          <w:sz w:val="24"/>
          <w:szCs w:val="24"/>
        </w:rPr>
        <w:t>Note that t</w:t>
      </w:r>
      <w:r w:rsidRPr="00613E2B">
        <w:rPr>
          <w:rFonts w:ascii="Times New Roman" w:hAnsi="Times New Roman" w:cs="Times New Roman"/>
          <w:bCs/>
          <w:i/>
          <w:sz w:val="24"/>
          <w:szCs w:val="24"/>
        </w:rPr>
        <w:t>hese are modeled based on the actual monthly number of confirmed COVID-19 cases, the</w:t>
      </w:r>
      <w:r w:rsidR="00C13AC7">
        <w:rPr>
          <w:rFonts w:ascii="Times New Roman" w:hAnsi="Times New Roman" w:cs="Times New Roman"/>
          <w:bCs/>
          <w:i/>
          <w:sz w:val="24"/>
          <w:szCs w:val="24"/>
        </w:rPr>
        <w:t xml:space="preserve"> actual number of ICU beds &amp; </w:t>
      </w:r>
      <w:r w:rsidRPr="00613E2B">
        <w:rPr>
          <w:rFonts w:ascii="Times New Roman" w:hAnsi="Times New Roman" w:cs="Times New Roman"/>
          <w:bCs/>
          <w:i/>
          <w:sz w:val="24"/>
          <w:szCs w:val="24"/>
        </w:rPr>
        <w:t>the actual number of ventilators across the selected EAC countries.</w:t>
      </w:r>
      <w:proofErr w:type="gramEnd"/>
    </w:p>
    <w:p w:rsidR="002C7C34" w:rsidRPr="002C7C34" w:rsidRDefault="00111240" w:rsidP="00111240">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2C7C34" w:rsidRPr="002C7C34">
        <w:rPr>
          <w:rFonts w:ascii="Times New Roman" w:hAnsi="Times New Roman" w:cs="Times New Roman"/>
          <w:bCs/>
          <w:sz w:val="24"/>
          <w:szCs w:val="24"/>
        </w:rPr>
        <w:t xml:space="preserve">The </w:t>
      </w:r>
      <w:r w:rsidR="002C7C34">
        <w:rPr>
          <w:rFonts w:ascii="Times New Roman" w:hAnsi="Times New Roman" w:cs="Times New Roman"/>
          <w:bCs/>
          <w:sz w:val="24"/>
          <w:szCs w:val="24"/>
        </w:rPr>
        <w:t xml:space="preserve">results in </w:t>
      </w:r>
      <w:r w:rsidR="002C7C34" w:rsidRPr="00A62C95">
        <w:rPr>
          <w:rFonts w:ascii="Times New Roman" w:hAnsi="Times New Roman" w:cs="Times New Roman"/>
          <w:bCs/>
          <w:sz w:val="24"/>
          <w:szCs w:val="24"/>
        </w:rPr>
        <w:t>Table 2</w:t>
      </w:r>
      <w:r w:rsidR="002C7C34">
        <w:rPr>
          <w:rFonts w:ascii="Times New Roman" w:hAnsi="Times New Roman" w:cs="Times New Roman"/>
          <w:bCs/>
          <w:sz w:val="24"/>
          <w:szCs w:val="24"/>
        </w:rPr>
        <w:t xml:space="preserve"> reveal</w:t>
      </w:r>
      <w:r w:rsidR="00C13AC7">
        <w:rPr>
          <w:rFonts w:ascii="Times New Roman" w:hAnsi="Times New Roman" w:cs="Times New Roman"/>
          <w:bCs/>
          <w:sz w:val="24"/>
          <w:szCs w:val="24"/>
        </w:rPr>
        <w:t>ed</w:t>
      </w:r>
      <w:r w:rsidR="002C7C34">
        <w:rPr>
          <w:rFonts w:ascii="Times New Roman" w:hAnsi="Times New Roman" w:cs="Times New Roman"/>
          <w:bCs/>
          <w:sz w:val="24"/>
          <w:szCs w:val="24"/>
        </w:rPr>
        <w:t xml:space="preserve"> th</w:t>
      </w:r>
      <w:r w:rsidR="006666C0">
        <w:rPr>
          <w:rFonts w:ascii="Times New Roman" w:hAnsi="Times New Roman" w:cs="Times New Roman"/>
          <w:bCs/>
          <w:sz w:val="24"/>
          <w:szCs w:val="24"/>
        </w:rPr>
        <w:t>at the capacity of hospitals across the EAC region to absorb the increases in the cas</w:t>
      </w:r>
      <w:r w:rsidR="00C13AC7">
        <w:rPr>
          <w:rFonts w:ascii="Times New Roman" w:hAnsi="Times New Roman" w:cs="Times New Roman"/>
          <w:bCs/>
          <w:sz w:val="24"/>
          <w:szCs w:val="24"/>
        </w:rPr>
        <w:t>eload stemming from COVID-19 was constrained by oxygen availability with</w:t>
      </w:r>
      <w:r w:rsidR="006666C0">
        <w:rPr>
          <w:rFonts w:ascii="Times New Roman" w:hAnsi="Times New Roman" w:cs="Times New Roman"/>
          <w:bCs/>
          <w:sz w:val="24"/>
          <w:szCs w:val="24"/>
        </w:rPr>
        <w:t xml:space="preserve"> most of the ICU beds lacking the requisite number of ventilators to </w:t>
      </w:r>
      <w:r w:rsidR="00D777DC">
        <w:rPr>
          <w:rFonts w:ascii="Times New Roman" w:hAnsi="Times New Roman" w:cs="Times New Roman"/>
          <w:bCs/>
          <w:sz w:val="24"/>
          <w:szCs w:val="24"/>
        </w:rPr>
        <w:t>cater</w:t>
      </w:r>
      <w:r w:rsidR="006666C0">
        <w:rPr>
          <w:rFonts w:ascii="Times New Roman" w:hAnsi="Times New Roman" w:cs="Times New Roman"/>
          <w:bCs/>
          <w:sz w:val="24"/>
          <w:szCs w:val="24"/>
        </w:rPr>
        <w:t xml:space="preserve"> for the critically ill patients. More so surprising, is the limited number of ICU beds needed to </w:t>
      </w:r>
      <w:r w:rsidR="00C13AC7">
        <w:rPr>
          <w:rFonts w:ascii="Times New Roman" w:hAnsi="Times New Roman" w:cs="Times New Roman"/>
          <w:bCs/>
          <w:sz w:val="24"/>
          <w:szCs w:val="24"/>
        </w:rPr>
        <w:t xml:space="preserve">absorb the estimated </w:t>
      </w:r>
      <w:r w:rsidR="006666C0">
        <w:rPr>
          <w:rFonts w:ascii="Times New Roman" w:hAnsi="Times New Roman" w:cs="Times New Roman"/>
          <w:bCs/>
          <w:sz w:val="24"/>
          <w:szCs w:val="24"/>
        </w:rPr>
        <w:t>COVID-19 patients expected to r</w:t>
      </w:r>
      <w:r w:rsidR="003B775A">
        <w:rPr>
          <w:rFonts w:ascii="Times New Roman" w:hAnsi="Times New Roman" w:cs="Times New Roman"/>
          <w:bCs/>
          <w:sz w:val="24"/>
          <w:szCs w:val="24"/>
        </w:rPr>
        <w:t xml:space="preserve">equire </w:t>
      </w:r>
      <w:r w:rsidR="006666C0">
        <w:rPr>
          <w:rFonts w:ascii="Times New Roman" w:hAnsi="Times New Roman" w:cs="Times New Roman"/>
          <w:bCs/>
          <w:sz w:val="24"/>
          <w:szCs w:val="24"/>
        </w:rPr>
        <w:t xml:space="preserve">intensive care. </w:t>
      </w:r>
      <w:r w:rsidR="003B775A">
        <w:rPr>
          <w:rFonts w:ascii="Times New Roman" w:hAnsi="Times New Roman" w:cs="Times New Roman"/>
          <w:bCs/>
          <w:sz w:val="24"/>
          <w:szCs w:val="24"/>
        </w:rPr>
        <w:t>In</w:t>
      </w:r>
      <w:r w:rsidR="00D777DC">
        <w:rPr>
          <w:rFonts w:ascii="Times New Roman" w:hAnsi="Times New Roman" w:cs="Times New Roman"/>
          <w:bCs/>
          <w:sz w:val="24"/>
          <w:szCs w:val="24"/>
        </w:rPr>
        <w:t xml:space="preserve"> the case of Kenya and Uganda, hospitals were able to absorb the surge at the early phase of the pandemic probably because of the lower number of people who had contracted the virus by that time. Nonetheless, t</w:t>
      </w:r>
      <w:r w:rsidR="006666C0">
        <w:rPr>
          <w:rFonts w:ascii="Times New Roman" w:hAnsi="Times New Roman" w:cs="Times New Roman"/>
          <w:bCs/>
          <w:sz w:val="24"/>
          <w:szCs w:val="24"/>
        </w:rPr>
        <w:t xml:space="preserve">he general </w:t>
      </w:r>
      <w:r w:rsidR="00D777DC">
        <w:rPr>
          <w:rFonts w:ascii="Times New Roman" w:hAnsi="Times New Roman" w:cs="Times New Roman"/>
          <w:bCs/>
          <w:sz w:val="24"/>
          <w:szCs w:val="24"/>
        </w:rPr>
        <w:t>trend across all the countries reveals</w:t>
      </w:r>
      <w:r w:rsidR="006666C0">
        <w:rPr>
          <w:rFonts w:ascii="Times New Roman" w:hAnsi="Times New Roman" w:cs="Times New Roman"/>
          <w:bCs/>
          <w:sz w:val="24"/>
          <w:szCs w:val="24"/>
        </w:rPr>
        <w:t xml:space="preserve"> the presence of significant gaps in their hospitals’ ability to</w:t>
      </w:r>
      <w:r w:rsidR="00C13AC7">
        <w:rPr>
          <w:rFonts w:ascii="Times New Roman" w:hAnsi="Times New Roman" w:cs="Times New Roman"/>
          <w:bCs/>
          <w:sz w:val="24"/>
          <w:szCs w:val="24"/>
        </w:rPr>
        <w:t>wards accommodating</w:t>
      </w:r>
      <w:r w:rsidR="006666C0">
        <w:rPr>
          <w:rFonts w:ascii="Times New Roman" w:hAnsi="Times New Roman" w:cs="Times New Roman"/>
          <w:bCs/>
          <w:sz w:val="24"/>
          <w:szCs w:val="24"/>
        </w:rPr>
        <w:t xml:space="preserve"> a potential surge </w:t>
      </w:r>
      <w:r w:rsidR="00D777DC">
        <w:rPr>
          <w:rFonts w:ascii="Times New Roman" w:hAnsi="Times New Roman" w:cs="Times New Roman"/>
          <w:bCs/>
          <w:sz w:val="24"/>
          <w:szCs w:val="24"/>
        </w:rPr>
        <w:t>in the caseload resulting from COVID-19.</w:t>
      </w:r>
    </w:p>
    <w:p w:rsidR="00850113" w:rsidRPr="006A755B" w:rsidRDefault="00ED7257" w:rsidP="0011124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3.2 Social welfare e</w:t>
      </w:r>
      <w:r w:rsidR="00992DB4">
        <w:rPr>
          <w:rFonts w:ascii="Times New Roman" w:hAnsi="Times New Roman" w:cs="Times New Roman"/>
          <w:b/>
          <w:bCs/>
          <w:sz w:val="24"/>
          <w:szCs w:val="24"/>
        </w:rPr>
        <w:t>stimation</w:t>
      </w:r>
    </w:p>
    <w:p w:rsidR="00AF7E2B" w:rsidRDefault="00AF7E2B" w:rsidP="00AF7E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0BE0" w:rsidRPr="006A755B">
        <w:rPr>
          <w:rFonts w:ascii="Times New Roman" w:hAnsi="Times New Roman" w:cs="Times New Roman"/>
          <w:sz w:val="24"/>
          <w:szCs w:val="24"/>
        </w:rPr>
        <w:t>Th</w:t>
      </w:r>
      <w:r w:rsidR="00EE0BE0">
        <w:rPr>
          <w:rFonts w:ascii="Times New Roman" w:hAnsi="Times New Roman" w:cs="Times New Roman"/>
          <w:sz w:val="24"/>
          <w:szCs w:val="24"/>
        </w:rPr>
        <w:t xml:space="preserve">is study proposes to employ </w:t>
      </w:r>
      <w:r w:rsidR="00EE0BE0" w:rsidRPr="002D0B21">
        <w:rPr>
          <w:rFonts w:ascii="Times New Roman" w:hAnsi="Times New Roman" w:cs="Times New Roman"/>
          <w:sz w:val="24"/>
          <w:szCs w:val="24"/>
        </w:rPr>
        <w:t xml:space="preserve">panel ARDL developed by Pesaran </w:t>
      </w:r>
      <w:r w:rsidR="00CC3E04" w:rsidRPr="003C52F4">
        <w:rPr>
          <w:rFonts w:ascii="Times New Roman" w:hAnsi="Times New Roman" w:cs="Times New Roman"/>
          <w:i/>
          <w:sz w:val="24"/>
          <w:szCs w:val="24"/>
        </w:rPr>
        <w:t>et al.</w:t>
      </w:r>
      <w:r w:rsidR="00CC3E04">
        <w:rPr>
          <w:rFonts w:ascii="Times New Roman" w:hAnsi="Times New Roman" w:cs="Times New Roman"/>
          <w:sz w:val="24"/>
          <w:szCs w:val="24"/>
        </w:rPr>
        <w:t xml:space="preserve"> </w:t>
      </w:r>
      <w:r w:rsidR="00EE0BE0" w:rsidRPr="002D0B21">
        <w:rPr>
          <w:rFonts w:ascii="Times New Roman" w:hAnsi="Times New Roman" w:cs="Times New Roman"/>
          <w:sz w:val="24"/>
          <w:szCs w:val="24"/>
        </w:rPr>
        <w:t>(1999).</w:t>
      </w:r>
      <w:r w:rsidR="00EE0BE0" w:rsidRPr="005F450F">
        <w:t xml:space="preserve"> </w:t>
      </w:r>
      <w:r w:rsidR="00EE0BE0" w:rsidRPr="005F450F">
        <w:rPr>
          <w:rFonts w:ascii="Times New Roman" w:hAnsi="Times New Roman" w:cs="Times New Roman"/>
          <w:sz w:val="24"/>
          <w:szCs w:val="24"/>
        </w:rPr>
        <w:t>The choice of this dynamic panel ARDL model is informed by</w:t>
      </w:r>
      <w:r w:rsidR="00EE0BE0" w:rsidRPr="005A3C68">
        <w:t xml:space="preserve"> </w:t>
      </w:r>
      <w:r w:rsidR="00EE0BE0">
        <w:rPr>
          <w:rFonts w:ascii="Times New Roman" w:hAnsi="Times New Roman" w:cs="Times New Roman"/>
          <w:sz w:val="24"/>
          <w:szCs w:val="24"/>
        </w:rPr>
        <w:t>t</w:t>
      </w:r>
      <w:r w:rsidR="00EE0BE0" w:rsidRPr="005A3C68">
        <w:rPr>
          <w:rFonts w:ascii="Times New Roman" w:hAnsi="Times New Roman" w:cs="Times New Roman"/>
          <w:sz w:val="24"/>
          <w:szCs w:val="24"/>
        </w:rPr>
        <w:t xml:space="preserve">he recency of the coronavirus </w:t>
      </w:r>
      <w:r w:rsidR="00EE0BE0">
        <w:rPr>
          <w:rFonts w:ascii="Times New Roman" w:hAnsi="Times New Roman" w:cs="Times New Roman"/>
          <w:sz w:val="24"/>
          <w:szCs w:val="24"/>
        </w:rPr>
        <w:t>pandemic resulting</w:t>
      </w:r>
      <w:r w:rsidR="00EE0BE0" w:rsidRPr="005F450F">
        <w:rPr>
          <w:rFonts w:ascii="Times New Roman" w:hAnsi="Times New Roman" w:cs="Times New Roman"/>
          <w:sz w:val="24"/>
          <w:szCs w:val="24"/>
        </w:rPr>
        <w:t xml:space="preserve"> </w:t>
      </w:r>
      <w:r w:rsidR="00EE0BE0">
        <w:rPr>
          <w:rFonts w:ascii="Times New Roman" w:hAnsi="Times New Roman" w:cs="Times New Roman"/>
          <w:sz w:val="24"/>
          <w:szCs w:val="24"/>
        </w:rPr>
        <w:t xml:space="preserve">in </w:t>
      </w:r>
      <w:r w:rsidR="00C10CF8">
        <w:rPr>
          <w:rFonts w:ascii="Times New Roman" w:hAnsi="Times New Roman" w:cs="Times New Roman"/>
          <w:sz w:val="24"/>
          <w:szCs w:val="24"/>
        </w:rPr>
        <w:t>a shorter time dimension (T=15</w:t>
      </w:r>
      <w:r w:rsidR="00EE0BE0" w:rsidRPr="005F450F">
        <w:rPr>
          <w:rFonts w:ascii="Times New Roman" w:hAnsi="Times New Roman" w:cs="Times New Roman"/>
          <w:sz w:val="24"/>
          <w:szCs w:val="24"/>
        </w:rPr>
        <w:t>) but a multiple country-case dimension (N=</w:t>
      </w:r>
      <w:r w:rsidR="00651E83">
        <w:rPr>
          <w:rFonts w:ascii="Times New Roman" w:hAnsi="Times New Roman" w:cs="Times New Roman"/>
          <w:sz w:val="24"/>
          <w:szCs w:val="24"/>
        </w:rPr>
        <w:t>4</w:t>
      </w:r>
      <w:r w:rsidR="00EE0BE0" w:rsidRPr="005F450F">
        <w:rPr>
          <w:rFonts w:ascii="Times New Roman" w:hAnsi="Times New Roman" w:cs="Times New Roman"/>
          <w:sz w:val="24"/>
          <w:szCs w:val="24"/>
        </w:rPr>
        <w:t>)</w:t>
      </w:r>
      <w:r w:rsidR="00EE0BE0">
        <w:rPr>
          <w:rFonts w:ascii="Times New Roman" w:hAnsi="Times New Roman" w:cs="Times New Roman"/>
          <w:sz w:val="24"/>
          <w:szCs w:val="24"/>
        </w:rPr>
        <w:t xml:space="preserve">. </w:t>
      </w:r>
      <w:r w:rsidR="00EE0BE0" w:rsidRPr="00EB29BF">
        <w:rPr>
          <w:rFonts w:ascii="Times New Roman" w:hAnsi="Times New Roman" w:cs="Times New Roman"/>
          <w:sz w:val="24"/>
          <w:szCs w:val="24"/>
        </w:rPr>
        <w:t>Hausman</w:t>
      </w:r>
      <w:r w:rsidR="00787BA3">
        <w:rPr>
          <w:rFonts w:ascii="Times New Roman" w:hAnsi="Times New Roman" w:cs="Times New Roman"/>
          <w:sz w:val="24"/>
          <w:szCs w:val="24"/>
        </w:rPr>
        <w:t>’s</w:t>
      </w:r>
      <w:r w:rsidR="00EE0BE0" w:rsidRPr="00EB29BF">
        <w:rPr>
          <w:rFonts w:ascii="Times New Roman" w:hAnsi="Times New Roman" w:cs="Times New Roman"/>
          <w:sz w:val="24"/>
          <w:szCs w:val="24"/>
        </w:rPr>
        <w:t xml:space="preserve"> (1978) </w:t>
      </w:r>
      <w:r w:rsidR="00EE0BE0">
        <w:rPr>
          <w:rFonts w:ascii="Times New Roman" w:hAnsi="Times New Roman" w:cs="Times New Roman"/>
          <w:sz w:val="24"/>
          <w:szCs w:val="24"/>
        </w:rPr>
        <w:t>t</w:t>
      </w:r>
      <w:r w:rsidR="00EE0BE0" w:rsidRPr="00EB29BF">
        <w:rPr>
          <w:rFonts w:ascii="Times New Roman" w:hAnsi="Times New Roman" w:cs="Times New Roman"/>
          <w:sz w:val="24"/>
          <w:szCs w:val="24"/>
        </w:rPr>
        <w:t>est would be used</w:t>
      </w:r>
      <w:r w:rsidR="00EE0BE0">
        <w:rPr>
          <w:rFonts w:ascii="Times New Roman" w:hAnsi="Times New Roman" w:cs="Times New Roman"/>
          <w:sz w:val="24"/>
          <w:szCs w:val="24"/>
        </w:rPr>
        <w:t xml:space="preserve"> to establish the technique to </w:t>
      </w:r>
      <w:r w:rsidR="00787BA3">
        <w:rPr>
          <w:rFonts w:ascii="Times New Roman" w:hAnsi="Times New Roman" w:cs="Times New Roman"/>
          <w:sz w:val="24"/>
          <w:szCs w:val="24"/>
        </w:rPr>
        <w:t xml:space="preserve">be </w:t>
      </w:r>
      <w:r w:rsidR="00EE0BE0">
        <w:rPr>
          <w:rFonts w:ascii="Times New Roman" w:hAnsi="Times New Roman" w:cs="Times New Roman"/>
          <w:sz w:val="24"/>
          <w:szCs w:val="24"/>
        </w:rPr>
        <w:t>used</w:t>
      </w:r>
      <w:r w:rsidR="00EE0BE0" w:rsidRPr="00EB29BF">
        <w:rPr>
          <w:rFonts w:ascii="Times New Roman" w:hAnsi="Times New Roman" w:cs="Times New Roman"/>
          <w:sz w:val="24"/>
          <w:szCs w:val="24"/>
        </w:rPr>
        <w:t xml:space="preserve">, whether the Mean </w:t>
      </w:r>
      <w:r w:rsidR="008F0535">
        <w:rPr>
          <w:rFonts w:ascii="Times New Roman" w:hAnsi="Times New Roman" w:cs="Times New Roman"/>
          <w:sz w:val="24"/>
          <w:szCs w:val="24"/>
        </w:rPr>
        <w:t xml:space="preserve">Group (MG) or </w:t>
      </w:r>
      <w:r w:rsidR="00EE0BE0" w:rsidRPr="00EB29BF">
        <w:rPr>
          <w:rFonts w:ascii="Times New Roman" w:hAnsi="Times New Roman" w:cs="Times New Roman"/>
          <w:sz w:val="24"/>
          <w:szCs w:val="24"/>
        </w:rPr>
        <w:t>the Pooled Mean Group</w:t>
      </w:r>
      <w:r w:rsidR="005C5029">
        <w:rPr>
          <w:rFonts w:ascii="Times New Roman" w:hAnsi="Times New Roman" w:cs="Times New Roman"/>
          <w:sz w:val="24"/>
          <w:szCs w:val="24"/>
        </w:rPr>
        <w:t xml:space="preserve"> (PMG)</w:t>
      </w:r>
      <w:r w:rsidR="008F0535">
        <w:rPr>
          <w:rFonts w:ascii="Times New Roman" w:hAnsi="Times New Roman" w:cs="Times New Roman"/>
          <w:sz w:val="24"/>
          <w:szCs w:val="24"/>
        </w:rPr>
        <w:t>.</w:t>
      </w:r>
    </w:p>
    <w:p w:rsidR="008B3CC0" w:rsidRDefault="00AF7E2B" w:rsidP="00AF7E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CC0">
        <w:rPr>
          <w:rFonts w:ascii="Times New Roman" w:hAnsi="Times New Roman" w:cs="Times New Roman"/>
          <w:sz w:val="24"/>
          <w:szCs w:val="24"/>
        </w:rPr>
        <w:t>T</w:t>
      </w:r>
      <w:r w:rsidR="00EE0BE0" w:rsidRPr="00A0727F">
        <w:rPr>
          <w:rFonts w:ascii="Times New Roman" w:hAnsi="Times New Roman" w:cs="Times New Roman"/>
          <w:sz w:val="24"/>
          <w:szCs w:val="24"/>
        </w:rPr>
        <w:t xml:space="preserve">o examine the impact of relevant </w:t>
      </w:r>
      <w:r w:rsidR="00F147C9">
        <w:rPr>
          <w:rFonts w:ascii="Times New Roman" w:hAnsi="Times New Roman" w:cs="Times New Roman"/>
          <w:sz w:val="24"/>
          <w:szCs w:val="24"/>
        </w:rPr>
        <w:t xml:space="preserve">variables on </w:t>
      </w:r>
      <w:r w:rsidR="00240C87">
        <w:rPr>
          <w:rFonts w:ascii="Times New Roman" w:hAnsi="Times New Roman" w:cs="Times New Roman"/>
          <w:sz w:val="24"/>
          <w:szCs w:val="24"/>
        </w:rPr>
        <w:t xml:space="preserve">the </w:t>
      </w:r>
      <w:r w:rsidR="008B3CC0">
        <w:rPr>
          <w:rFonts w:ascii="Times New Roman" w:hAnsi="Times New Roman" w:cs="Times New Roman"/>
          <w:sz w:val="24"/>
          <w:szCs w:val="24"/>
        </w:rPr>
        <w:t>Consumer Price Index</w:t>
      </w:r>
      <w:r w:rsidR="00F147C9">
        <w:rPr>
          <w:rFonts w:ascii="Times New Roman" w:hAnsi="Times New Roman" w:cs="Times New Roman"/>
          <w:sz w:val="24"/>
          <w:szCs w:val="24"/>
        </w:rPr>
        <w:t xml:space="preserve"> (CPI)</w:t>
      </w:r>
      <w:r w:rsidR="008B3CC0">
        <w:rPr>
          <w:rFonts w:ascii="Times New Roman" w:hAnsi="Times New Roman" w:cs="Times New Roman"/>
          <w:sz w:val="24"/>
          <w:szCs w:val="24"/>
        </w:rPr>
        <w:t>, we begin by specifying the following model:</w:t>
      </w:r>
    </w:p>
    <w:p w:rsidR="00AF7E2B" w:rsidRDefault="006473EA" w:rsidP="00AF7E2B">
      <w:pPr>
        <w:spacing w:line="360" w:lineRule="auto"/>
        <w:jc w:val="both"/>
        <w:rPr>
          <w:rFonts w:ascii="Times New Roman" w:eastAsiaTheme="minorEastAsia" w:hAnsi="Times New Roman" w:cs="Times New Roman"/>
          <w:b/>
          <w:sz w:val="24"/>
          <w:szCs w:val="24"/>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π</m:t>
            </m:r>
          </m:e>
          <m:sub>
            <m:r>
              <m:rPr>
                <m:sty m:val="bi"/>
              </m:rPr>
              <w:rPr>
                <w:rFonts w:ascii="Cambria Math" w:eastAsiaTheme="minorEastAsia" w:hAnsi="Cambria Math" w:cs="Times New Roman"/>
                <w:sz w:val="24"/>
                <w:szCs w:val="24"/>
              </w:rPr>
              <m:t>i,t</m:t>
            </m:r>
          </m:sub>
        </m:sSub>
        <m:r>
          <m:rPr>
            <m:sty m:val="bi"/>
          </m:rPr>
          <w:rPr>
            <w:rFonts w:ascii="Cambria Math" w:eastAsiaTheme="minorEastAsia" w:hAnsi="Cambria Math" w:cs="Times New Roman"/>
            <w:sz w:val="24"/>
            <w:szCs w:val="24"/>
          </w:rPr>
          <m:t>=</m:t>
        </m:r>
        <m:nary>
          <m:naryPr>
            <m:chr m:val="∑"/>
            <m:limLoc m:val="subSup"/>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j=1</m:t>
            </m:r>
          </m:sub>
          <m:sup>
            <m:r>
              <m:rPr>
                <m:sty m:val="bi"/>
              </m:rPr>
              <w:rPr>
                <w:rFonts w:ascii="Cambria Math" w:eastAsiaTheme="minorEastAsia" w:hAnsi="Cambria Math" w:cs="Times New Roman"/>
                <w:sz w:val="24"/>
                <w:szCs w:val="24"/>
              </w:rPr>
              <m:t>p</m:t>
            </m:r>
          </m:sup>
          <m:e>
            <m:sSub>
              <m:sSubPr>
                <m:ctrlPr>
                  <w:rPr>
                    <w:rFonts w:ascii="Cambria Math" w:eastAsiaTheme="minorEastAsia" w:hAnsi="Cambria Math" w:cs="Times New Roman"/>
                    <w:b/>
                    <w:i/>
                    <w:sz w:val="24"/>
                    <w:szCs w:val="24"/>
                  </w:rPr>
                </m:ctrlPr>
              </m:sSubPr>
              <m:e>
                <m:sSub>
                  <m:sSubPr>
                    <m:ctrlPr>
                      <w:rPr>
                        <w:rFonts w:ascii="Cambria Math" w:eastAsia="Calibri" w:hAnsi="Cambria Math" w:cs="Times New Roman"/>
                        <w:b/>
                        <w:bCs/>
                        <w:i/>
                        <w:noProof/>
                        <w:sz w:val="24"/>
                        <w:szCs w:val="24"/>
                      </w:rPr>
                    </m:ctrlPr>
                  </m:sSubPr>
                  <m:e>
                    <m:r>
                      <m:rPr>
                        <m:sty m:val="bi"/>
                      </m:rPr>
                      <w:rPr>
                        <w:rFonts w:ascii="Cambria Math" w:eastAsia="Calibri" w:hAnsi="Cambria Math" w:cs="Times New Roman"/>
                        <w:noProof/>
                        <w:sz w:val="24"/>
                        <w:szCs w:val="24"/>
                      </w:rPr>
                      <m:t>λ</m:t>
                    </m:r>
                  </m:e>
                  <m:sub>
                    <m:r>
                      <m:rPr>
                        <m:sty m:val="bi"/>
                      </m:rPr>
                      <w:rPr>
                        <w:rFonts w:ascii="Cambria Math" w:eastAsia="Calibri" w:hAnsi="Cambria Math" w:cs="Times New Roman"/>
                        <w:noProof/>
                        <w:sz w:val="24"/>
                        <w:szCs w:val="24"/>
                      </w:rPr>
                      <m:t>ij</m:t>
                    </m:r>
                  </m:sub>
                </m:sSub>
                <m:r>
                  <m:rPr>
                    <m:sty m:val="bi"/>
                  </m:rPr>
                  <w:rPr>
                    <w:rFonts w:ascii="Cambria Math" w:eastAsiaTheme="minorEastAsia" w:hAnsi="Cambria Math" w:cs="Times New Roman"/>
                    <w:sz w:val="24"/>
                    <w:szCs w:val="24"/>
                  </w:rPr>
                  <m:t>π</m:t>
                </m:r>
              </m:e>
              <m:sub>
                <m:r>
                  <m:rPr>
                    <m:sty m:val="bi"/>
                  </m:rPr>
                  <w:rPr>
                    <w:rFonts w:ascii="Cambria Math" w:eastAsiaTheme="minorEastAsia" w:hAnsi="Cambria Math" w:cs="Times New Roman"/>
                    <w:sz w:val="24"/>
                    <w:szCs w:val="24"/>
                  </w:rPr>
                  <m:t>i,t-j</m:t>
                </m:r>
              </m:sub>
            </m:sSub>
          </m:e>
        </m:nary>
        <m:r>
          <m:rPr>
            <m:sty m:val="bi"/>
          </m:rPr>
          <w:rPr>
            <w:rFonts w:ascii="Cambria Math" w:eastAsiaTheme="minorEastAsia" w:hAnsi="Cambria Math" w:cs="Times New Roman"/>
            <w:sz w:val="24"/>
            <w:szCs w:val="24"/>
          </w:rPr>
          <m:t>+</m:t>
        </m:r>
        <m:nary>
          <m:naryPr>
            <m:chr m:val="∑"/>
            <m:limLoc m:val="subSup"/>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j=0</m:t>
            </m:r>
          </m:sub>
          <m:sup>
            <m:r>
              <m:rPr>
                <m:sty m:val="bi"/>
              </m:rPr>
              <w:rPr>
                <w:rFonts w:ascii="Cambria Math" w:eastAsiaTheme="minorEastAsia" w:hAnsi="Cambria Math" w:cs="Times New Roman"/>
                <w:sz w:val="24"/>
                <w:szCs w:val="24"/>
              </w:rPr>
              <m:t>q</m:t>
            </m:r>
          </m:sup>
          <m:e>
            <m:sSub>
              <m:sSubPr>
                <m:ctrlPr>
                  <w:rPr>
                    <w:rFonts w:ascii="Cambria Math" w:eastAsiaTheme="minorEastAsia" w:hAnsi="Cambria Math" w:cs="Times New Roman"/>
                    <w:b/>
                    <w:i/>
                    <w:sz w:val="24"/>
                    <w:szCs w:val="24"/>
                  </w:rPr>
                </m:ctrlPr>
              </m:sSubPr>
              <m:e>
                <m:sSub>
                  <m:sSubPr>
                    <m:ctrlPr>
                      <w:rPr>
                        <w:rFonts w:ascii="Cambria Math" w:eastAsia="Calibri" w:hAnsi="Cambria Math" w:cs="Times New Roman"/>
                        <w:b/>
                        <w:bCs/>
                        <w:i/>
                        <w:noProof/>
                        <w:sz w:val="24"/>
                        <w:szCs w:val="24"/>
                      </w:rPr>
                    </m:ctrlPr>
                  </m:sSubPr>
                  <m:e>
                    <m:r>
                      <m:rPr>
                        <m:sty m:val="bi"/>
                      </m:rPr>
                      <w:rPr>
                        <w:rFonts w:ascii="Cambria Math" w:eastAsia="Calibri" w:hAnsi="Cambria Math" w:cs="Times New Roman"/>
                        <w:noProof/>
                        <w:sz w:val="24"/>
                        <w:szCs w:val="24"/>
                      </w:rPr>
                      <m:t>ρ</m:t>
                    </m:r>
                  </m:e>
                  <m:sub>
                    <m:r>
                      <m:rPr>
                        <m:sty m:val="bi"/>
                      </m:rPr>
                      <w:rPr>
                        <w:rFonts w:ascii="Cambria Math" w:eastAsia="Calibri" w:hAnsi="Cambria Math" w:cs="Times New Roman"/>
                        <w:noProof/>
                        <w:sz w:val="24"/>
                        <w:szCs w:val="24"/>
                      </w:rPr>
                      <m:t>ij</m:t>
                    </m:r>
                  </m:sub>
                </m:sSub>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i,t-j</m:t>
                </m:r>
              </m:sub>
            </m:sSub>
          </m:e>
        </m:nary>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Calibri" w:hAnsi="Cambria Math" w:cs="Times New Roman"/>
                <w:noProof/>
                <w:sz w:val="24"/>
                <w:szCs w:val="24"/>
              </w:rPr>
              <m:t>u</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it</m:t>
            </m:r>
          </m:sub>
        </m:sSub>
        <m:r>
          <m:rPr>
            <m:sty m:val="bi"/>
          </m:rPr>
          <w:rPr>
            <w:rFonts w:ascii="Cambria Math" w:eastAsiaTheme="minorEastAsia" w:hAnsi="Cambria Math" w:cs="Times New Roman"/>
            <w:sz w:val="24"/>
            <w:szCs w:val="24"/>
          </w:rPr>
          <m:t>……………………………………………………</m:t>
        </m:r>
      </m:oMath>
      <w:r w:rsidR="00AD36F8">
        <w:rPr>
          <w:rFonts w:ascii="Times New Roman" w:eastAsiaTheme="minorEastAsia" w:hAnsi="Times New Roman" w:cs="Times New Roman"/>
          <w:b/>
          <w:sz w:val="24"/>
          <w:szCs w:val="24"/>
        </w:rPr>
        <w:t>(4</w:t>
      </w:r>
      <w:r w:rsidR="00585F84" w:rsidRPr="00585F84">
        <w:rPr>
          <w:rFonts w:ascii="Times New Roman" w:eastAsiaTheme="minorEastAsia" w:hAnsi="Times New Roman" w:cs="Times New Roman"/>
          <w:b/>
          <w:sz w:val="24"/>
          <w:szCs w:val="24"/>
        </w:rPr>
        <w:t>)</w:t>
      </w:r>
      <w:r w:rsidR="00D377CA">
        <w:rPr>
          <w:rFonts w:ascii="Times New Roman" w:eastAsiaTheme="minorEastAsia" w:hAnsi="Times New Roman" w:cs="Times New Roman"/>
          <w:b/>
          <w:sz w:val="24"/>
          <w:szCs w:val="24"/>
        </w:rPr>
        <w:t xml:space="preserve"> </w:t>
      </w:r>
      <w:r w:rsidR="00AF7E2B">
        <w:rPr>
          <w:rFonts w:ascii="Times New Roman" w:eastAsiaTheme="minorEastAsia" w:hAnsi="Times New Roman" w:cs="Times New Roman"/>
          <w:b/>
          <w:sz w:val="24"/>
          <w:szCs w:val="24"/>
        </w:rPr>
        <w:t xml:space="preserve"> </w:t>
      </w:r>
    </w:p>
    <w:p w:rsidR="00EE0BE0" w:rsidRPr="00D377CA" w:rsidRDefault="00AF7E2B" w:rsidP="00AF7E2B">
      <w:pPr>
        <w:spacing w:line="360" w:lineRule="auto"/>
        <w:jc w:val="both"/>
        <w:rPr>
          <w:rFonts w:ascii="Times New Roman" w:hAnsi="Times New Roman" w:cs="Times New Roman"/>
          <w:b/>
          <w:sz w:val="24"/>
          <w:szCs w:val="24"/>
        </w:rPr>
      </w:pPr>
      <w:r>
        <w:rPr>
          <w:rFonts w:ascii="Times New Roman" w:eastAsiaTheme="minorEastAsia" w:hAnsi="Times New Roman" w:cs="Times New Roman"/>
          <w:sz w:val="24"/>
          <w:szCs w:val="24"/>
        </w:rPr>
        <w:t xml:space="preserve">    </w:t>
      </w:r>
      <w:r w:rsidR="00EE0BE0">
        <w:rPr>
          <w:rFonts w:ascii="Times New Roman" w:eastAsiaTheme="minorEastAsia" w:hAnsi="Times New Roman" w:cs="Times New Roman"/>
          <w:sz w:val="24"/>
          <w:szCs w:val="24"/>
        </w:rPr>
        <w:t xml:space="preserve">Where </w:t>
      </w:r>
      <m:oMath>
        <m:sSub>
          <m:sSubPr>
            <m:ctrlPr>
              <w:rPr>
                <w:rFonts w:ascii="Cambria Math" w:eastAsia="Calibri" w:hAnsi="Cambria Math" w:cs="Times New Roman"/>
                <w:bCs/>
                <w:i/>
                <w:noProof/>
                <w:sz w:val="24"/>
                <w:szCs w:val="24"/>
              </w:rPr>
            </m:ctrlPr>
          </m:sSubPr>
          <m:e>
            <m:r>
              <w:rPr>
                <w:rFonts w:ascii="Cambria Math" w:eastAsia="Calibri" w:hAnsi="Cambria Math" w:cs="Times New Roman"/>
                <w:noProof/>
                <w:sz w:val="24"/>
                <w:szCs w:val="24"/>
              </w:rPr>
              <m:t>λ</m:t>
            </m:r>
          </m:e>
          <m:sub>
            <m:r>
              <w:rPr>
                <w:rFonts w:ascii="Cambria Math" w:eastAsia="Calibri" w:hAnsi="Cambria Math" w:cs="Times New Roman"/>
                <w:noProof/>
                <w:sz w:val="24"/>
                <w:szCs w:val="24"/>
              </w:rPr>
              <m:t>ij</m:t>
            </m:r>
          </m:sub>
        </m:sSub>
      </m:oMath>
      <w:r w:rsidR="00EE0BE0">
        <w:rPr>
          <w:rFonts w:ascii="Times New Roman" w:eastAsiaTheme="minorEastAsia" w:hAnsi="Times New Roman" w:cs="Times New Roman"/>
          <w:sz w:val="24"/>
          <w:szCs w:val="24"/>
        </w:rPr>
        <w:t xml:space="preserve"> are the coefficients of lagged dependent variables, </w:t>
      </w:r>
      <m:oMath>
        <m:sSub>
          <m:sSubPr>
            <m:ctrlPr>
              <w:rPr>
                <w:rFonts w:ascii="Cambria Math" w:eastAsia="Calibri" w:hAnsi="Cambria Math" w:cs="Times New Roman"/>
                <w:bCs/>
                <w:i/>
                <w:noProof/>
                <w:sz w:val="24"/>
                <w:szCs w:val="24"/>
              </w:rPr>
            </m:ctrlPr>
          </m:sSubPr>
          <m:e>
            <m:r>
              <w:rPr>
                <w:rFonts w:ascii="Cambria Math" w:eastAsia="Calibri" w:hAnsi="Cambria Math" w:cs="Times New Roman"/>
                <w:noProof/>
                <w:sz w:val="24"/>
                <w:szCs w:val="24"/>
              </w:rPr>
              <m:t>ρ</m:t>
            </m:r>
          </m:e>
          <m:sub>
            <m:r>
              <w:rPr>
                <w:rFonts w:ascii="Cambria Math" w:eastAsia="Calibri" w:hAnsi="Cambria Math" w:cs="Times New Roman"/>
                <w:noProof/>
                <w:sz w:val="24"/>
                <w:szCs w:val="24"/>
              </w:rPr>
              <m:t>ij</m:t>
            </m:r>
          </m:sub>
        </m:sSub>
      </m:oMath>
      <w:r w:rsidR="00EE0BE0" w:rsidRPr="009F2BC5">
        <w:rPr>
          <w:rFonts w:ascii="Times New Roman" w:eastAsia="Times New Roman" w:hAnsi="Times New Roman" w:cs="Times New Roman"/>
          <w:sz w:val="24"/>
          <w:szCs w:val="24"/>
        </w:rPr>
        <w:t xml:space="preserve"> are the </w:t>
      </w:r>
      <w:r w:rsidR="00EE0BE0" w:rsidRPr="009F2BC5">
        <w:rPr>
          <w:rFonts w:ascii="Times New Roman" w:eastAsia="Times New Roman" w:hAnsi="Times New Roman" w:cs="Times New Roman"/>
          <w:bCs/>
          <w:i/>
          <w:sz w:val="24"/>
          <w:szCs w:val="24"/>
        </w:rPr>
        <w:t>(k x1)</w:t>
      </w:r>
      <w:r w:rsidR="00EE0BE0" w:rsidRPr="009F2BC5">
        <w:rPr>
          <w:rFonts w:ascii="Times New Roman" w:eastAsia="Times New Roman" w:hAnsi="Times New Roman" w:cs="Times New Roman"/>
          <w:sz w:val="24"/>
          <w:szCs w:val="24"/>
        </w:rPr>
        <w:t xml:space="preserve"> coefficients vectors</w:t>
      </w:r>
      <w:r w:rsidR="00EE0BE0" w:rsidRPr="006A755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70"/>
            </m:r>
            <m:r>
              <w:rPr>
                <w:rFonts w:ascii="Cambria Math" w:hAnsi="Cambria Math" w:cs="Times New Roman"/>
                <w:sz w:val="24"/>
                <w:szCs w:val="24"/>
              </w:rPr>
              <m:t xml:space="preserve"> </m:t>
            </m:r>
          </m:e>
          <m:sub>
            <m:r>
              <w:rPr>
                <w:rFonts w:ascii="Cambria Math" w:hAnsi="Cambria Math" w:cs="Times New Roman"/>
                <w:sz w:val="24"/>
                <w:szCs w:val="24"/>
              </w:rPr>
              <m:t>it</m:t>
            </m:r>
          </m:sub>
        </m:sSub>
      </m:oMath>
      <w:r w:rsidR="008B3CC0">
        <w:rPr>
          <w:rFonts w:ascii="Times New Roman" w:hAnsi="Times New Roman" w:cs="Times New Roman"/>
          <w:sz w:val="24"/>
          <w:szCs w:val="24"/>
        </w:rPr>
        <w:t xml:space="preserve"> is the Consumer Price Index</w:t>
      </w:r>
      <w:r w:rsidR="00EE0BE0" w:rsidRPr="006A755B">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Sub>
      </m:oMath>
      <w:r w:rsidR="00EE0BE0" w:rsidRPr="006A755B">
        <w:rPr>
          <w:rFonts w:ascii="Times New Roman" w:eastAsiaTheme="minorEastAsia" w:hAnsi="Times New Roman" w:cs="Times New Roman"/>
          <w:sz w:val="24"/>
          <w:szCs w:val="24"/>
        </w:rPr>
        <w:t xml:space="preserve"> </w:t>
      </w:r>
      <w:r w:rsidR="00EE0BE0" w:rsidRPr="006A755B">
        <w:rPr>
          <w:rFonts w:ascii="Times New Roman" w:hAnsi="Times New Roman" w:cs="Times New Roman"/>
          <w:sz w:val="24"/>
          <w:szCs w:val="24"/>
        </w:rPr>
        <w:t>is a</w:t>
      </w:r>
      <w:r w:rsidR="00EE0BE0">
        <w:rPr>
          <w:rFonts w:ascii="Times New Roman" w:hAnsi="Times New Roman" w:cs="Times New Roman"/>
          <w:sz w:val="24"/>
          <w:szCs w:val="24"/>
        </w:rPr>
        <w:t xml:space="preserve"> </w:t>
      </w:r>
      <m:oMath>
        <m:r>
          <w:rPr>
            <w:rFonts w:ascii="Cambria Math" w:hAnsi="Cambria Math" w:cs="Times New Roman"/>
            <w:sz w:val="24"/>
            <w:szCs w:val="24"/>
          </w:rPr>
          <m:t>(k×1)</m:t>
        </m:r>
      </m:oMath>
      <w:r w:rsidR="00EE0BE0" w:rsidRPr="006A755B">
        <w:rPr>
          <w:rFonts w:ascii="Times New Roman" w:hAnsi="Times New Roman" w:cs="Times New Roman"/>
          <w:sz w:val="24"/>
          <w:szCs w:val="24"/>
        </w:rPr>
        <w:t xml:space="preserve"> </w:t>
      </w:r>
      <w:r w:rsidR="00EE0BE0" w:rsidRPr="00651326">
        <w:rPr>
          <w:rFonts w:ascii="Times New Roman" w:hAnsi="Times New Roman" w:cs="Times New Roman"/>
          <w:sz w:val="24"/>
          <w:szCs w:val="24"/>
        </w:rPr>
        <w:t>vector of variables (regressors)</w:t>
      </w:r>
      <w:r w:rsidR="00EE0BE0">
        <w:rPr>
          <w:rFonts w:ascii="Times New Roman" w:hAnsi="Times New Roman" w:cs="Times New Roman"/>
          <w:sz w:val="24"/>
          <w:szCs w:val="24"/>
        </w:rPr>
        <w:t xml:space="preserve"> </w:t>
      </w:r>
      <w:r w:rsidR="00EE0BE0" w:rsidRPr="006A755B">
        <w:rPr>
          <w:rFonts w:ascii="Times New Roman" w:hAnsi="Times New Roman" w:cs="Times New Roman"/>
          <w:sz w:val="24"/>
          <w:szCs w:val="24"/>
        </w:rPr>
        <w:t>indicated in equation</w:t>
      </w:r>
      <w:r w:rsidR="0021245D">
        <w:rPr>
          <w:rFonts w:ascii="Times New Roman" w:hAnsi="Times New Roman" w:cs="Times New Roman"/>
          <w:sz w:val="24"/>
          <w:szCs w:val="24"/>
        </w:rPr>
        <w:t xml:space="preserve"> </w:t>
      </w:r>
      <w:r w:rsidR="00EE0BE0">
        <w:rPr>
          <w:rFonts w:ascii="Times New Roman" w:hAnsi="Times New Roman" w:cs="Times New Roman"/>
          <w:sz w:val="24"/>
          <w:szCs w:val="24"/>
        </w:rPr>
        <w:t>(3)</w:t>
      </w:r>
      <w:r w:rsidR="0021245D">
        <w:rPr>
          <w:rFonts w:ascii="Times New Roman" w:hAnsi="Times New Roman" w:cs="Times New Roman"/>
          <w:sz w:val="24"/>
          <w:szCs w:val="24"/>
        </w:rPr>
        <w:t xml:space="preserve"> </w:t>
      </w:r>
      <w:r w:rsidR="00EE0BE0" w:rsidRPr="006A755B">
        <w:rPr>
          <w:rFonts w:ascii="Times New Roman" w:hAnsi="Times New Roman" w:cs="Times New Roman"/>
          <w:sz w:val="24"/>
          <w:szCs w:val="24"/>
        </w:rPr>
        <w:t xml:space="preserve">and the subscript </w:t>
      </w:r>
      <m:oMath>
        <m:r>
          <w:rPr>
            <w:rFonts w:ascii="Cambria Math" w:hAnsi="Cambria Math" w:cs="Times New Roman"/>
            <w:sz w:val="24"/>
            <w:szCs w:val="24"/>
          </w:rPr>
          <m:t xml:space="preserve">i </m:t>
        </m:r>
        <m:r>
          <w:rPr>
            <w:rFonts w:ascii="Cambria Math" w:hAnsi="Cambria Math" w:cs="Times New Roman"/>
            <w:i/>
            <w:sz w:val="24"/>
            <w:szCs w:val="24"/>
          </w:rPr>
          <w:sym w:font="Symbol" w:char="F03D"/>
        </m:r>
        <m:r>
          <w:rPr>
            <w:rFonts w:ascii="Cambria Math" w:hAnsi="Cambria Math" w:cs="Times New Roman"/>
            <w:sz w:val="24"/>
            <w:szCs w:val="24"/>
          </w:rPr>
          <m:t xml:space="preserve"> 1,2,...N</m:t>
        </m:r>
      </m:oMath>
      <w:r w:rsidR="00EE0BE0" w:rsidRPr="006A755B">
        <w:rPr>
          <w:rFonts w:ascii="Times New Roman" w:hAnsi="Times New Roman" w:cs="Times New Roman"/>
          <w:sz w:val="24"/>
          <w:szCs w:val="24"/>
        </w:rPr>
        <w:t xml:space="preserve"> refers to the cross-sectional unit, i.e., country</w:t>
      </w:r>
      <m:oMath>
        <m:r>
          <w:rPr>
            <w:rFonts w:ascii="Cambria Math" w:hAnsi="Cambria Math" w:cs="Times New Roman"/>
            <w:sz w:val="24"/>
            <w:szCs w:val="24"/>
          </w:rPr>
          <m:t xml:space="preserve">, t </m:t>
        </m:r>
        <m:r>
          <w:rPr>
            <w:rFonts w:ascii="Cambria Math" w:hAnsi="Cambria Math" w:cs="Times New Roman"/>
            <w:i/>
            <w:sz w:val="24"/>
            <w:szCs w:val="24"/>
          </w:rPr>
          <w:sym w:font="Symbol" w:char="F03D"/>
        </m:r>
        <m:r>
          <w:rPr>
            <w:rFonts w:ascii="Cambria Math" w:hAnsi="Cambria Math" w:cs="Times New Roman"/>
            <w:sz w:val="24"/>
            <w:szCs w:val="24"/>
          </w:rPr>
          <m:t xml:space="preserve"> 1, 2,...N</m:t>
        </m:r>
      </m:oMath>
      <w:r w:rsidR="006C0128">
        <w:rPr>
          <w:rFonts w:ascii="Times New Roman" w:hAnsi="Times New Roman" w:cs="Times New Roman"/>
          <w:sz w:val="24"/>
          <w:szCs w:val="24"/>
        </w:rPr>
        <w:t xml:space="preserve"> refers to the time</w:t>
      </w:r>
      <w:r w:rsidR="00EE0BE0" w:rsidRPr="006A755B">
        <w:rPr>
          <w:rFonts w:ascii="Times New Roman" w:hAnsi="Times New Roman" w:cs="Times New Roman"/>
          <w:sz w:val="24"/>
          <w:szCs w:val="24"/>
        </w:rPr>
        <w:t>. The term</w:t>
      </w:r>
      <w:bookmarkStart w:id="7" w:name="_Hlk71938689"/>
      <w:r w:rsidR="009450A1">
        <w:rPr>
          <w:rFonts w:ascii="Times New Roman" w:eastAsiaTheme="minorEastAsia" w:hAnsi="Times New Roman" w:cs="Times New Roman"/>
          <w:sz w:val="24"/>
          <w:szCs w:val="24"/>
        </w:rPr>
        <w:t xml:space="preserve"> </w:t>
      </w: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u</m:t>
            </m:r>
          </m:e>
          <m:sub>
            <m:r>
              <m:rPr>
                <m:sty m:val="bi"/>
              </m:rPr>
              <w:rPr>
                <w:rFonts w:ascii="Cambria Math" w:eastAsia="Times New Roman" w:hAnsi="Cambria Math" w:cs="Times New Roman"/>
                <w:sz w:val="24"/>
                <w:szCs w:val="24"/>
              </w:rPr>
              <m:t>i</m:t>
            </m:r>
          </m:sub>
        </m:sSub>
        <w:bookmarkEnd w:id="7"/>
        <m:r>
          <w:rPr>
            <w:rFonts w:ascii="Cambria Math" w:eastAsia="Times New Roman" w:hAnsi="Cambria Math" w:cs="Times New Roman"/>
            <w:sz w:val="24"/>
            <w:szCs w:val="24"/>
          </w:rPr>
          <m:t xml:space="preserve"> </m:t>
        </m:r>
      </m:oMath>
      <w:r w:rsidR="009450A1">
        <w:rPr>
          <w:rFonts w:ascii="Times New Roman" w:hAnsi="Times New Roman" w:cs="Times New Roman"/>
          <w:sz w:val="24"/>
          <w:szCs w:val="24"/>
        </w:rPr>
        <w:t>allows for cross-</w:t>
      </w:r>
      <w:r w:rsidR="002E74F1">
        <w:rPr>
          <w:rFonts w:ascii="Times New Roman" w:hAnsi="Times New Roman" w:cs="Times New Roman"/>
          <w:sz w:val="24"/>
          <w:szCs w:val="24"/>
        </w:rPr>
        <w:t xml:space="preserve">sectional fixed effects &amp;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 xml:space="preserve"> ε</m:t>
            </m:r>
          </m:e>
          <m:sub>
            <m:r>
              <m:rPr>
                <m:sty m:val="bi"/>
              </m:rPr>
              <w:rPr>
                <w:rFonts w:ascii="Cambria Math" w:hAnsi="Cambria Math" w:cs="Times New Roman"/>
                <w:sz w:val="24"/>
                <w:szCs w:val="24"/>
              </w:rPr>
              <m:t>it</m:t>
            </m:r>
          </m:sub>
        </m:sSub>
      </m:oMath>
      <w:r w:rsidR="002E74F1">
        <w:rPr>
          <w:rFonts w:ascii="Times New Roman" w:hAnsi="Times New Roman" w:cs="Times New Roman"/>
          <w:sz w:val="24"/>
          <w:szCs w:val="24"/>
        </w:rPr>
        <w:t xml:space="preserve"> is the error term. The terms</w:t>
      </w:r>
      <w:r w:rsidR="00EE0BE0" w:rsidRPr="006A755B">
        <w:rPr>
          <w:rFonts w:ascii="Times New Roman" w:hAnsi="Times New Roman" w:cs="Times New Roman"/>
          <w:sz w:val="24"/>
          <w:szCs w:val="24"/>
        </w:rPr>
        <w:t xml:space="preserve"> </w:t>
      </w:r>
      <m:oMath>
        <m:r>
          <m:rPr>
            <m:sty m:val="bi"/>
          </m:rPr>
          <w:rPr>
            <w:rFonts w:ascii="Cambria Math" w:hAnsi="Cambria Math" w:cs="Times New Roman"/>
            <w:sz w:val="24"/>
            <w:szCs w:val="24"/>
          </w:rPr>
          <m:t>p</m:t>
        </m:r>
      </m:oMath>
      <w:r w:rsidR="00EE0BE0">
        <w:rPr>
          <w:rFonts w:ascii="Times New Roman" w:hAnsi="Times New Roman" w:cs="Times New Roman"/>
          <w:sz w:val="24"/>
          <w:szCs w:val="24"/>
        </w:rPr>
        <w:t xml:space="preserve"> and</w:t>
      </w:r>
      <w:r w:rsidR="00EE0BE0" w:rsidRPr="002E74F1">
        <w:rPr>
          <w:rFonts w:ascii="Times New Roman" w:hAnsi="Times New Roman" w:cs="Times New Roman"/>
          <w:b/>
          <w:sz w:val="24"/>
          <w:szCs w:val="24"/>
        </w:rPr>
        <w:t xml:space="preserve"> </w:t>
      </w:r>
      <m:oMath>
        <m:r>
          <m:rPr>
            <m:sty m:val="bi"/>
          </m:rPr>
          <w:rPr>
            <w:rFonts w:ascii="Cambria Math" w:hAnsi="Cambria Math" w:cs="Times New Roman"/>
            <w:sz w:val="24"/>
            <w:szCs w:val="24"/>
          </w:rPr>
          <m:t>q</m:t>
        </m:r>
        <m:r>
          <w:rPr>
            <w:rFonts w:ascii="Cambria Math" w:hAnsi="Cambria Math" w:cs="Times New Roman"/>
            <w:sz w:val="24"/>
            <w:szCs w:val="24"/>
          </w:rPr>
          <m:t xml:space="preserve"> </m:t>
        </m:r>
      </m:oMath>
      <w:r w:rsidR="00EE0BE0">
        <w:rPr>
          <w:rFonts w:ascii="Times New Roman" w:eastAsiaTheme="minorEastAsia" w:hAnsi="Times New Roman" w:cs="Times New Roman"/>
          <w:sz w:val="24"/>
          <w:szCs w:val="24"/>
        </w:rPr>
        <w:t>are the optimal lag orders</w:t>
      </w:r>
      <w:r w:rsidR="00EE0BE0">
        <w:rPr>
          <w:rFonts w:ascii="Times New Roman" w:hAnsi="Times New Roman" w:cs="Times New Roman"/>
          <w:sz w:val="24"/>
          <w:szCs w:val="24"/>
        </w:rPr>
        <w:t>.</w:t>
      </w:r>
      <w:r w:rsidR="00EE0BE0">
        <w:rPr>
          <w:rFonts w:ascii="Times New Roman" w:eastAsia="Times New Roman" w:hAnsi="Times New Roman" w:cs="Times New Roman"/>
          <w:sz w:val="24"/>
          <w:szCs w:val="24"/>
        </w:rPr>
        <w:t xml:space="preserve"> </w:t>
      </w:r>
      <w:r w:rsidR="00EE0BE0" w:rsidRPr="009F2BC5">
        <w:rPr>
          <w:rFonts w:ascii="Times New Roman" w:eastAsia="Times New Roman" w:hAnsi="Times New Roman" w:cs="Times New Roman"/>
          <w:sz w:val="24"/>
          <w:szCs w:val="24"/>
        </w:rPr>
        <w:t xml:space="preserve">The </w:t>
      </w:r>
      <w:r w:rsidR="00EE0BE0" w:rsidRPr="001F4C84">
        <w:rPr>
          <w:rFonts w:ascii="Times New Roman" w:eastAsia="Times New Roman" w:hAnsi="Times New Roman" w:cs="Times New Roman"/>
          <w:b/>
          <w:sz w:val="24"/>
          <w:szCs w:val="24"/>
        </w:rPr>
        <w:t>re-parameterized</w:t>
      </w:r>
      <w:r w:rsidR="00EE0BE0" w:rsidRPr="009F2BC5">
        <w:rPr>
          <w:rFonts w:ascii="Times New Roman" w:eastAsia="Times New Roman" w:hAnsi="Times New Roman" w:cs="Times New Roman"/>
          <w:sz w:val="24"/>
          <w:szCs w:val="24"/>
        </w:rPr>
        <w:t xml:space="preserve"> ARDL model is shown in equation </w:t>
      </w:r>
      <w:r w:rsidR="00F75F76">
        <w:rPr>
          <w:rFonts w:ascii="Times New Roman" w:eastAsia="Times New Roman" w:hAnsi="Times New Roman" w:cs="Times New Roman"/>
          <w:sz w:val="24"/>
          <w:szCs w:val="24"/>
        </w:rPr>
        <w:t>(5</w:t>
      </w:r>
      <w:r w:rsidR="00EE0BE0">
        <w:rPr>
          <w:rFonts w:ascii="Times New Roman" w:eastAsia="Times New Roman" w:hAnsi="Times New Roman" w:cs="Times New Roman"/>
          <w:sz w:val="24"/>
          <w:szCs w:val="24"/>
        </w:rPr>
        <w:t>)</w:t>
      </w:r>
      <w:r w:rsidR="00EE0BE0" w:rsidRPr="009F2BC5">
        <w:rPr>
          <w:rFonts w:ascii="Times New Roman" w:eastAsia="Times New Roman" w:hAnsi="Times New Roman" w:cs="Times New Roman"/>
          <w:sz w:val="24"/>
          <w:szCs w:val="24"/>
        </w:rPr>
        <w:t xml:space="preserve"> and gives the short and long-run coefficients.</w:t>
      </w:r>
    </w:p>
    <w:p w:rsidR="005142E4" w:rsidRDefault="006473EA" w:rsidP="005142E4">
      <w:pPr>
        <w:spacing w:line="360" w:lineRule="auto"/>
        <w:jc w:val="both"/>
        <w:rPr>
          <w:rFonts w:ascii="Times New Roman" w:eastAsia="Times New Roman" w:hAnsi="Times New Roman" w:cs="Times New Roman"/>
          <w:b/>
          <w:bCs/>
          <w:sz w:val="24"/>
          <w:szCs w:val="24"/>
        </w:rPr>
      </w:pPr>
      <m:oMath>
        <m:sSub>
          <m:sSubPr>
            <m:ctrlPr>
              <w:rPr>
                <w:rFonts w:ascii="Cambria Math" w:eastAsia="Times New Roman" w:hAnsi="Cambria Math" w:cs="Times New Roman"/>
                <w:b/>
                <w:bCs/>
                <w:i/>
                <w:sz w:val="24"/>
                <w:szCs w:val="24"/>
              </w:rPr>
            </m:ctrlPr>
          </m:sSubPr>
          <m:e>
            <m:r>
              <m:rPr>
                <m:sty m:val="b"/>
              </m:rPr>
              <w:rPr>
                <w:rFonts w:ascii="Cambria Math" w:eastAsia="Times New Roman" w:hAnsi="Cambria Math" w:cs="Times New Roman"/>
                <w:sz w:val="24"/>
                <w:szCs w:val="24"/>
              </w:rPr>
              <m:t>Δ</m:t>
            </m:r>
            <m:r>
              <m:rPr>
                <m:sty m:val="bi"/>
              </m:rPr>
              <w:rPr>
                <w:rFonts w:ascii="Cambria Math" w:eastAsia="Times New Roman" w:hAnsi="Cambria Math" w:cs="Times New Roman"/>
                <w:sz w:val="24"/>
                <w:szCs w:val="24"/>
              </w:rPr>
              <m:t>π</m:t>
            </m:r>
          </m:e>
          <m:sub>
            <m:r>
              <m:rPr>
                <m:sty m:val="bi"/>
              </m:rPr>
              <w:rPr>
                <w:rFonts w:ascii="Cambria Math" w:eastAsia="Times New Roman" w:hAnsi="Cambria Math" w:cs="Times New Roman"/>
                <w:sz w:val="24"/>
                <w:szCs w:val="24"/>
              </w:rPr>
              <m:t>it</m:t>
            </m:r>
          </m:sub>
        </m:sSub>
        <m:r>
          <m:rPr>
            <m:sty m:val="bi"/>
          </m:rPr>
          <w:rPr>
            <w:rFonts w:ascii="Cambria Math" w:eastAsia="Times New Roman" w:hAnsi="Cambria Math" w:cs="Times New Roman"/>
            <w:sz w:val="24"/>
            <w:szCs w:val="24"/>
          </w:rPr>
          <m:t>=</m:t>
        </m:r>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ϕ</m:t>
            </m:r>
          </m:e>
          <m:sub>
            <m:r>
              <m:rPr>
                <m:sty m:val="bi"/>
              </m:rPr>
              <w:rPr>
                <w:rFonts w:ascii="Cambria Math" w:eastAsia="Times New Roman" w:hAnsi="Cambria Math" w:cs="Times New Roman"/>
                <w:sz w:val="24"/>
                <w:szCs w:val="24"/>
              </w:rPr>
              <m:t>i</m:t>
            </m:r>
          </m:sub>
        </m:sSub>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π</m:t>
            </m:r>
          </m:e>
          <m:sub>
            <m:r>
              <m:rPr>
                <m:sty m:val="bi"/>
              </m:rPr>
              <w:rPr>
                <w:rFonts w:ascii="Cambria Math" w:eastAsia="Times New Roman" w:hAnsi="Cambria Math" w:cs="Times New Roman"/>
                <w:sz w:val="24"/>
                <w:szCs w:val="24"/>
              </w:rPr>
              <m:t>i, t-1</m:t>
            </m:r>
          </m:sub>
        </m:sSub>
        <m:r>
          <m:rPr>
            <m:sty m:val="bi"/>
          </m:rPr>
          <w:rPr>
            <w:rFonts w:ascii="Cambria Math" w:eastAsia="Times New Roman" w:hAnsi="Cambria Math" w:cs="Times New Roman"/>
            <w:sz w:val="24"/>
            <w:szCs w:val="24"/>
          </w:rPr>
          <m:t>+</m:t>
        </m:r>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β</m:t>
            </m:r>
          </m:e>
          <m:sub>
            <m:r>
              <m:rPr>
                <m:sty m:val="bi"/>
              </m:rPr>
              <w:rPr>
                <w:rFonts w:ascii="Cambria Math" w:eastAsia="Times New Roman" w:hAnsi="Cambria Math" w:cs="Times New Roman"/>
                <w:sz w:val="24"/>
                <w:szCs w:val="24"/>
              </w:rPr>
              <m:t>i</m:t>
            </m:r>
          </m:sub>
        </m:sSub>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X</m:t>
            </m:r>
          </m:e>
          <m:sub>
            <m:r>
              <m:rPr>
                <m:sty m:val="bi"/>
              </m:rPr>
              <w:rPr>
                <w:rFonts w:ascii="Cambria Math" w:eastAsia="Times New Roman" w:hAnsi="Cambria Math" w:cs="Times New Roman"/>
                <w:sz w:val="24"/>
                <w:szCs w:val="24"/>
              </w:rPr>
              <m:t>it</m:t>
            </m:r>
          </m:sub>
        </m:sSub>
        <m:r>
          <m:rPr>
            <m:sty m:val="bi"/>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b/>
                <w:bCs/>
                <w:i/>
                <w:sz w:val="24"/>
                <w:szCs w:val="24"/>
              </w:rPr>
            </m:ctrlPr>
          </m:naryPr>
          <m:sub>
            <m:r>
              <m:rPr>
                <m:sty m:val="bi"/>
              </m:rPr>
              <w:rPr>
                <w:rFonts w:ascii="Cambria Math" w:eastAsia="Times New Roman" w:hAnsi="Cambria Math" w:cs="Times New Roman"/>
                <w:sz w:val="24"/>
                <w:szCs w:val="24"/>
              </w:rPr>
              <m:t>j=1</m:t>
            </m:r>
          </m:sub>
          <m:sup>
            <m:r>
              <m:rPr>
                <m:sty m:val="bi"/>
              </m:rPr>
              <w:rPr>
                <w:rFonts w:ascii="Cambria Math" w:eastAsia="Times New Roman" w:hAnsi="Cambria Math" w:cs="Times New Roman"/>
                <w:sz w:val="24"/>
                <w:szCs w:val="24"/>
              </w:rPr>
              <m:t>p-1</m:t>
            </m:r>
          </m:sup>
          <m:e>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λ</m:t>
                </m:r>
              </m:e>
              <m:sub>
                <m:r>
                  <m:rPr>
                    <m:sty m:val="bi"/>
                  </m:rPr>
                  <w:rPr>
                    <w:rFonts w:ascii="Cambria Math" w:eastAsia="Times New Roman" w:hAnsi="Cambria Math" w:cs="Times New Roman"/>
                    <w:sz w:val="24"/>
                    <w:szCs w:val="24"/>
                  </w:rPr>
                  <m:t>ij</m:t>
                </m:r>
              </m:sub>
            </m:sSub>
          </m:e>
        </m:nary>
        <m:r>
          <m:rPr>
            <m:sty m:val="b"/>
          </m:rPr>
          <w:rPr>
            <w:rFonts w:ascii="Cambria Math" w:eastAsia="Times New Roman" w:hAnsi="Cambria Math" w:cs="Times New Roman"/>
            <w:sz w:val="24"/>
            <w:szCs w:val="24"/>
          </w:rPr>
          <m:t>Δ</m:t>
        </m:r>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π</m:t>
            </m:r>
          </m:e>
          <m:sub>
            <m:r>
              <m:rPr>
                <m:sty m:val="bi"/>
              </m:rPr>
              <w:rPr>
                <w:rFonts w:ascii="Cambria Math" w:eastAsia="Times New Roman" w:hAnsi="Cambria Math" w:cs="Times New Roman"/>
                <w:sz w:val="24"/>
                <w:szCs w:val="24"/>
              </w:rPr>
              <m:t>i, t-j</m:t>
            </m:r>
          </m:sub>
        </m:sSub>
        <m:r>
          <m:rPr>
            <m:sty m:val="bi"/>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b/>
                <w:bCs/>
                <w:i/>
                <w:sz w:val="24"/>
                <w:szCs w:val="24"/>
              </w:rPr>
            </m:ctrlPr>
          </m:naryPr>
          <m:sub>
            <m:r>
              <m:rPr>
                <m:sty m:val="bi"/>
              </m:rPr>
              <w:rPr>
                <w:rFonts w:ascii="Cambria Math" w:eastAsia="Times New Roman" w:hAnsi="Cambria Math" w:cs="Times New Roman"/>
                <w:sz w:val="24"/>
                <w:szCs w:val="24"/>
              </w:rPr>
              <m:t>j=0</m:t>
            </m:r>
          </m:sub>
          <m:sup>
            <m:r>
              <m:rPr>
                <m:sty m:val="bi"/>
              </m:rPr>
              <w:rPr>
                <w:rFonts w:ascii="Cambria Math" w:eastAsia="Times New Roman" w:hAnsi="Cambria Math" w:cs="Times New Roman"/>
                <w:sz w:val="24"/>
                <w:szCs w:val="24"/>
              </w:rPr>
              <m:t>q-1</m:t>
            </m:r>
          </m:sup>
          <m:e>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ρ</m:t>
                </m:r>
              </m:e>
              <m:sub>
                <m:r>
                  <m:rPr>
                    <m:sty m:val="bi"/>
                  </m:rPr>
                  <w:rPr>
                    <w:rFonts w:ascii="Cambria Math" w:eastAsia="Times New Roman" w:hAnsi="Cambria Math" w:cs="Times New Roman"/>
                    <w:sz w:val="24"/>
                    <w:szCs w:val="24"/>
                  </w:rPr>
                  <m:t>ij</m:t>
                </m:r>
              </m:sub>
            </m:sSub>
          </m:e>
        </m:nary>
        <m:r>
          <m:rPr>
            <m:sty m:val="b"/>
          </m:rPr>
          <w:rPr>
            <w:rFonts w:ascii="Cambria Math" w:eastAsia="Times New Roman" w:hAnsi="Cambria Math" w:cs="Times New Roman"/>
            <w:sz w:val="24"/>
            <w:szCs w:val="24"/>
          </w:rPr>
          <m:t>Δ</m:t>
        </m:r>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X</m:t>
            </m:r>
          </m:e>
          <m:sub>
            <m:r>
              <m:rPr>
                <m:sty m:val="bi"/>
              </m:rPr>
              <w:rPr>
                <w:rFonts w:ascii="Cambria Math" w:eastAsia="Times New Roman" w:hAnsi="Cambria Math" w:cs="Times New Roman"/>
                <w:sz w:val="24"/>
                <w:szCs w:val="24"/>
              </w:rPr>
              <m:t>i, t-j</m:t>
            </m:r>
          </m:sub>
        </m:sSub>
        <m:r>
          <m:rPr>
            <m:sty m:val="bi"/>
          </m:rPr>
          <w:rPr>
            <w:rFonts w:ascii="Cambria Math" w:eastAsia="Times New Roman" w:hAnsi="Cambria Math" w:cs="Times New Roman"/>
            <w:sz w:val="24"/>
            <w:szCs w:val="24"/>
          </w:rPr>
          <m:t>+</m:t>
        </m:r>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μ</m:t>
            </m:r>
          </m:e>
          <m:sub>
            <m:r>
              <m:rPr>
                <m:sty m:val="bi"/>
              </m:rPr>
              <w:rPr>
                <w:rFonts w:ascii="Cambria Math" w:eastAsia="Times New Roman" w:hAnsi="Cambria Math" w:cs="Times New Roman"/>
                <w:sz w:val="24"/>
                <w:szCs w:val="24"/>
              </w:rPr>
              <m:t>i</m:t>
            </m:r>
          </m:sub>
        </m:sSub>
        <m:r>
          <m:rPr>
            <m:sty m:val="bi"/>
          </m:rPr>
          <w:rPr>
            <w:rFonts w:ascii="Cambria Math" w:eastAsia="Times New Roman" w:hAnsi="Cambria Math" w:cs="Times New Roman"/>
            <w:sz w:val="24"/>
            <w:szCs w:val="24"/>
          </w:rPr>
          <m:t>+</m:t>
        </m:r>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ε</m:t>
            </m:r>
          </m:e>
          <m:sub>
            <m:r>
              <m:rPr>
                <m:sty m:val="bi"/>
              </m:rPr>
              <w:rPr>
                <w:rFonts w:ascii="Cambria Math" w:eastAsia="Times New Roman" w:hAnsi="Cambria Math" w:cs="Times New Roman"/>
                <w:sz w:val="24"/>
                <w:szCs w:val="24"/>
              </w:rPr>
              <m:t>it</m:t>
            </m:r>
          </m:sub>
        </m:sSub>
        <m:r>
          <m:rPr>
            <m:sty m:val="bi"/>
          </m:rPr>
          <w:rPr>
            <w:rFonts w:ascii="Cambria Math" w:eastAsia="Times New Roman" w:hAnsi="Cambria Math" w:cs="Times New Roman"/>
            <w:sz w:val="24"/>
            <w:szCs w:val="24"/>
          </w:rPr>
          <m:t>……………………(5)</m:t>
        </m:r>
      </m:oMath>
      <w:r w:rsidR="00851E36">
        <w:rPr>
          <w:rFonts w:ascii="Times New Roman" w:eastAsia="Times New Roman" w:hAnsi="Times New Roman" w:cs="Times New Roman"/>
          <w:b/>
          <w:bCs/>
          <w:sz w:val="24"/>
          <w:szCs w:val="24"/>
        </w:rPr>
        <w:t xml:space="preserve"> </w:t>
      </w:r>
      <w:r w:rsidR="005142E4">
        <w:rPr>
          <w:rFonts w:ascii="Times New Roman" w:eastAsia="Times New Roman" w:hAnsi="Times New Roman" w:cs="Times New Roman"/>
          <w:b/>
          <w:bCs/>
          <w:sz w:val="24"/>
          <w:szCs w:val="24"/>
        </w:rPr>
        <w:t xml:space="preserve"> </w:t>
      </w:r>
    </w:p>
    <w:p w:rsidR="002D1882" w:rsidRDefault="005142E4" w:rsidP="00EE0BE0">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 xml:space="preserve">    </w:t>
      </w:r>
      <w:r w:rsidR="00EE0BE0" w:rsidRPr="009F2BC5">
        <w:rPr>
          <w:rFonts w:ascii="Times New Roman" w:eastAsia="Calibri" w:hAnsi="Times New Roman" w:cs="Times New Roman"/>
          <w:sz w:val="24"/>
          <w:szCs w:val="24"/>
        </w:rPr>
        <w:t xml:space="preserve">Equation </w:t>
      </w:r>
      <w:r w:rsidR="007E0A99">
        <w:rPr>
          <w:rFonts w:ascii="Times New Roman" w:eastAsia="Calibri" w:hAnsi="Times New Roman" w:cs="Times New Roman"/>
          <w:sz w:val="24"/>
          <w:szCs w:val="24"/>
        </w:rPr>
        <w:t>(5</w:t>
      </w:r>
      <w:r w:rsidR="00EE0BE0">
        <w:rPr>
          <w:rFonts w:ascii="Times New Roman" w:eastAsia="Calibri" w:hAnsi="Times New Roman" w:cs="Times New Roman"/>
          <w:sz w:val="24"/>
          <w:szCs w:val="24"/>
        </w:rPr>
        <w:t xml:space="preserve">) </w:t>
      </w:r>
      <w:r w:rsidR="005530A8">
        <w:rPr>
          <w:rFonts w:ascii="Times New Roman" w:eastAsia="Calibri" w:hAnsi="Times New Roman" w:cs="Times New Roman"/>
          <w:sz w:val="24"/>
          <w:szCs w:val="24"/>
        </w:rPr>
        <w:t>shows both the short-</w:t>
      </w:r>
      <w:r w:rsidR="00EE0BE0" w:rsidRPr="009F2BC5">
        <w:rPr>
          <w:rFonts w:ascii="Times New Roman" w:eastAsia="Calibri" w:hAnsi="Times New Roman" w:cs="Times New Roman"/>
          <w:sz w:val="24"/>
          <w:szCs w:val="24"/>
        </w:rPr>
        <w:t>run coefficients (with dif</w:t>
      </w:r>
      <w:r w:rsidR="005530A8">
        <w:rPr>
          <w:rFonts w:ascii="Times New Roman" w:eastAsia="Calibri" w:hAnsi="Times New Roman" w:cs="Times New Roman"/>
          <w:sz w:val="24"/>
          <w:szCs w:val="24"/>
        </w:rPr>
        <w:t>ference operators) and the long-</w:t>
      </w:r>
      <w:r w:rsidR="00EE0BE0" w:rsidRPr="009F2BC5">
        <w:rPr>
          <w:rFonts w:ascii="Times New Roman" w:eastAsia="Calibri" w:hAnsi="Times New Roman" w:cs="Times New Roman"/>
          <w:sz w:val="24"/>
          <w:szCs w:val="24"/>
        </w:rPr>
        <w:t>run coefficients (without difference operators).</w:t>
      </w:r>
    </w:p>
    <w:p w:rsidR="00AA5964" w:rsidRPr="00AA5964" w:rsidRDefault="00525F40" w:rsidP="00EE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25DE3">
        <w:rPr>
          <w:rFonts w:ascii="Times New Roman" w:hAnsi="Times New Roman" w:cs="Times New Roman"/>
          <w:sz w:val="24"/>
          <w:szCs w:val="24"/>
        </w:rPr>
        <w:t>assess</w:t>
      </w:r>
      <w:r>
        <w:rPr>
          <w:rFonts w:ascii="Times New Roman" w:hAnsi="Times New Roman" w:cs="Times New Roman"/>
          <w:sz w:val="24"/>
          <w:szCs w:val="24"/>
        </w:rPr>
        <w:t>ing the impact of the pandemic</w:t>
      </w:r>
      <w:r w:rsidR="007F4FDB">
        <w:rPr>
          <w:rFonts w:ascii="Times New Roman" w:hAnsi="Times New Roman" w:cs="Times New Roman"/>
          <w:sz w:val="24"/>
          <w:szCs w:val="24"/>
        </w:rPr>
        <w:t xml:space="preserve"> on social welfare, two separate </w:t>
      </w:r>
      <w:r w:rsidR="00425DE3">
        <w:rPr>
          <w:rFonts w:ascii="Times New Roman" w:hAnsi="Times New Roman" w:cs="Times New Roman"/>
          <w:sz w:val="24"/>
          <w:szCs w:val="24"/>
        </w:rPr>
        <w:t xml:space="preserve">models will be estimated. First, we </w:t>
      </w:r>
      <w:r w:rsidR="00B90EA3">
        <w:rPr>
          <w:rFonts w:ascii="Times New Roman" w:hAnsi="Times New Roman" w:cs="Times New Roman"/>
          <w:sz w:val="24"/>
          <w:szCs w:val="24"/>
        </w:rPr>
        <w:t>specify a model where CPI is</w:t>
      </w:r>
      <w:r w:rsidR="00420389">
        <w:rPr>
          <w:rFonts w:ascii="Times New Roman" w:hAnsi="Times New Roman" w:cs="Times New Roman"/>
          <w:sz w:val="24"/>
          <w:szCs w:val="24"/>
        </w:rPr>
        <w:t xml:space="preserve"> tre</w:t>
      </w:r>
      <w:r w:rsidR="005C3E67">
        <w:rPr>
          <w:rFonts w:ascii="Times New Roman" w:hAnsi="Times New Roman" w:cs="Times New Roman"/>
          <w:sz w:val="24"/>
          <w:szCs w:val="24"/>
        </w:rPr>
        <w:t>ated as the regressand</w:t>
      </w:r>
      <w:r w:rsidR="005530A8">
        <w:rPr>
          <w:rFonts w:ascii="Times New Roman" w:hAnsi="Times New Roman" w:cs="Times New Roman"/>
          <w:sz w:val="24"/>
          <w:szCs w:val="24"/>
        </w:rPr>
        <w:t>,</w:t>
      </w:r>
      <w:r w:rsidR="005C3E67">
        <w:rPr>
          <w:rFonts w:ascii="Times New Roman" w:hAnsi="Times New Roman" w:cs="Times New Roman"/>
          <w:sz w:val="24"/>
          <w:szCs w:val="24"/>
        </w:rPr>
        <w:t xml:space="preserve"> </w:t>
      </w:r>
      <w:r w:rsidR="007F4FDB">
        <w:rPr>
          <w:rFonts w:ascii="Times New Roman" w:hAnsi="Times New Roman" w:cs="Times New Roman"/>
          <w:sz w:val="24"/>
          <w:szCs w:val="24"/>
        </w:rPr>
        <w:t>and i</w:t>
      </w:r>
      <w:r w:rsidR="00420389">
        <w:rPr>
          <w:rFonts w:ascii="Times New Roman" w:hAnsi="Times New Roman" w:cs="Times New Roman"/>
          <w:sz w:val="24"/>
          <w:szCs w:val="24"/>
        </w:rPr>
        <w:t xml:space="preserve">n the second </w:t>
      </w:r>
      <w:r w:rsidR="007F4FDB">
        <w:rPr>
          <w:rFonts w:ascii="Times New Roman" w:hAnsi="Times New Roman" w:cs="Times New Roman"/>
          <w:sz w:val="24"/>
          <w:szCs w:val="24"/>
        </w:rPr>
        <w:t>model;</w:t>
      </w:r>
      <w:r w:rsidR="00420389">
        <w:rPr>
          <w:rFonts w:ascii="Times New Roman" w:hAnsi="Times New Roman" w:cs="Times New Roman"/>
          <w:sz w:val="24"/>
          <w:szCs w:val="24"/>
        </w:rPr>
        <w:t xml:space="preserve"> we treat</w:t>
      </w:r>
      <w:r w:rsidR="007F4FDB">
        <w:rPr>
          <w:rFonts w:ascii="Times New Roman" w:hAnsi="Times New Roman" w:cs="Times New Roman"/>
          <w:sz w:val="24"/>
          <w:szCs w:val="24"/>
        </w:rPr>
        <w:t xml:space="preserve"> oil prices as the dependent variable.</w:t>
      </w:r>
      <w:r w:rsidR="00420389">
        <w:rPr>
          <w:rFonts w:ascii="Times New Roman" w:hAnsi="Times New Roman" w:cs="Times New Roman"/>
          <w:sz w:val="24"/>
          <w:szCs w:val="24"/>
        </w:rPr>
        <w:t xml:space="preserve"> T</w:t>
      </w:r>
      <w:r w:rsidR="00AA5964">
        <w:rPr>
          <w:rFonts w:ascii="Times New Roman" w:hAnsi="Times New Roman" w:cs="Times New Roman"/>
          <w:sz w:val="24"/>
          <w:szCs w:val="24"/>
        </w:rPr>
        <w:t xml:space="preserve">he </w:t>
      </w:r>
      <w:r w:rsidR="007F4FDB">
        <w:rPr>
          <w:rFonts w:ascii="Times New Roman" w:hAnsi="Times New Roman" w:cs="Times New Roman"/>
          <w:sz w:val="24"/>
          <w:szCs w:val="24"/>
        </w:rPr>
        <w:t>2</w:t>
      </w:r>
      <w:r w:rsidR="00420389">
        <w:rPr>
          <w:rFonts w:ascii="Times New Roman" w:hAnsi="Times New Roman" w:cs="Times New Roman"/>
          <w:sz w:val="24"/>
          <w:szCs w:val="24"/>
        </w:rPr>
        <w:t xml:space="preserve"> models are specified as follows:</w:t>
      </w:r>
    </w:p>
    <w:p w:rsidR="005F4F8C" w:rsidRDefault="006473EA" w:rsidP="005F4F8C">
      <w:pPr>
        <w:spacing w:after="0" w:line="360" w:lineRule="auto"/>
        <w:jc w:val="both"/>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ln</m:t>
            </m:r>
            <m:d>
              <m:dPr>
                <m:ctrlPr>
                  <w:rPr>
                    <w:rFonts w:ascii="Cambria Math" w:hAnsi="Cambria Math" w:cs="Times New Roman"/>
                    <w:b/>
                    <w:i/>
                    <w:sz w:val="24"/>
                    <w:szCs w:val="24"/>
                  </w:rPr>
                </m:ctrlPr>
              </m:dPr>
              <m:e>
                <m:r>
                  <m:rPr>
                    <m:sty m:val="bi"/>
                  </m:rPr>
                  <w:rPr>
                    <w:rFonts w:ascii="Cambria Math" w:hAnsi="Cambria Math" w:cs="Times New Roman"/>
                    <w:sz w:val="24"/>
                    <w:szCs w:val="24"/>
                  </w:rPr>
                  <m:t>CPI</m:t>
                </m:r>
              </m:e>
            </m:d>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ln(COV)</m:t>
            </m:r>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β</m:t>
            </m:r>
          </m:e>
          <m:sub>
            <m:r>
              <m:rPr>
                <m:sty m:val="bi"/>
              </m:rPr>
              <w:rPr>
                <w:rFonts w:ascii="Cambria Math" w:eastAsiaTheme="minorEastAsia" w:hAnsi="Cambria Math" w:cs="Times New Roman"/>
                <w:sz w:val="24"/>
                <w:szCs w:val="24"/>
                <w:vertAlign w:val="subscript"/>
              </w:rPr>
              <m:t>2</m:t>
            </m:r>
          </m:sub>
        </m:sSub>
        <m:r>
          <m:rPr>
            <m:sty m:val="bi"/>
          </m:rPr>
          <w:rPr>
            <w:rFonts w:ascii="Cambria Math" w:eastAsiaTheme="minorEastAsia" w:hAnsi="Cambria Math" w:cs="Times New Roman"/>
            <w:sz w:val="24"/>
            <w:szCs w:val="24"/>
            <w:vertAlign w:val="subscript"/>
          </w:rPr>
          <m:t>ln</m:t>
        </m:r>
        <m:sSub>
          <m:sSubPr>
            <m:ctrlPr>
              <w:rPr>
                <w:rFonts w:ascii="Cambria Math" w:hAnsi="Cambria Math" w:cs="Times New Roman"/>
                <w:b/>
                <w:i/>
                <w:sz w:val="24"/>
                <w:szCs w:val="24"/>
              </w:rPr>
            </m:ctrlPr>
          </m:sSubPr>
          <m:e>
            <m:r>
              <m:rPr>
                <m:sty m:val="bi"/>
              </m:rPr>
              <w:rPr>
                <w:rFonts w:ascii="Cambria Math" w:hAnsi="Cambria Math" w:cs="Times New Roman"/>
                <w:sz w:val="24"/>
                <w:szCs w:val="24"/>
              </w:rPr>
              <m:t>(TB)</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3</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ln</m:t>
            </m:r>
            <m:d>
              <m:dPr>
                <m:ctrlPr>
                  <w:rPr>
                    <w:rFonts w:ascii="Cambria Math" w:hAnsi="Cambria Math" w:cs="Times New Roman"/>
                    <w:b/>
                    <w:i/>
                    <w:sz w:val="24"/>
                    <w:szCs w:val="24"/>
                  </w:rPr>
                </m:ctrlPr>
              </m:dPr>
              <m:e>
                <m:r>
                  <m:rPr>
                    <m:sty m:val="bi"/>
                  </m:rPr>
                  <w:rPr>
                    <w:rFonts w:ascii="Cambria Math" w:hAnsi="Cambria Math" w:cs="Times New Roman"/>
                    <w:sz w:val="24"/>
                    <w:szCs w:val="24"/>
                  </w:rPr>
                  <m:t>M</m:t>
                </m:r>
                <m:r>
                  <m:rPr>
                    <m:sty m:val="bi"/>
                  </m:rPr>
                  <w:rPr>
                    <w:rFonts w:ascii="Cambria Math" w:hAnsi="Cambria Math" w:cs="Times New Roman"/>
                    <w:sz w:val="24"/>
                    <w:szCs w:val="24"/>
                  </w:rPr>
                  <m:t>2</m:t>
                </m:r>
              </m:e>
            </m:d>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 xml:space="preserve">+ </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β</m:t>
            </m:r>
          </m:e>
          <m:sub>
            <m:r>
              <m:rPr>
                <m:sty m:val="bi"/>
              </m:rPr>
              <w:rPr>
                <w:rFonts w:ascii="Cambria Math" w:eastAsiaTheme="minorEastAsia" w:hAnsi="Cambria Math" w:cs="Times New Roman"/>
                <w:sz w:val="24"/>
                <w:szCs w:val="24"/>
                <w:vertAlign w:val="subscript"/>
              </w:rPr>
              <m:t>4</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lnE</m:t>
            </m:r>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 xml:space="preserve">+ </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β</m:t>
            </m:r>
          </m:e>
          <m:sub>
            <m:r>
              <m:rPr>
                <m:sty m:val="bi"/>
              </m:rPr>
              <w:rPr>
                <w:rFonts w:ascii="Cambria Math" w:eastAsiaTheme="minorEastAsia" w:hAnsi="Cambria Math" w:cs="Times New Roman"/>
                <w:sz w:val="24"/>
                <w:szCs w:val="24"/>
                <w:vertAlign w:val="subscript"/>
              </w:rPr>
              <m:t>5</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 xml:space="preserve">+ </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μ</m:t>
            </m:r>
          </m:e>
          <m:sub>
            <m:r>
              <m:rPr>
                <m:sty m:val="bi"/>
              </m:rPr>
              <w:rPr>
                <w:rFonts w:ascii="Cambria Math" w:eastAsiaTheme="minorEastAsia" w:hAnsi="Cambria Math" w:cs="Times New Roman"/>
                <w:sz w:val="24"/>
                <w:szCs w:val="24"/>
                <w:vertAlign w:val="subscript"/>
              </w:rPr>
              <m:t xml:space="preserve">i </m:t>
            </m:r>
          </m:sub>
        </m:sSub>
        <m:r>
          <m:rPr>
            <m:sty m:val="bi"/>
          </m:rP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ε</m:t>
            </m:r>
          </m:e>
          <m:sub>
            <m:r>
              <m:rPr>
                <m:sty m:val="bi"/>
              </m:rPr>
              <w:rPr>
                <w:rFonts w:ascii="Cambria Math" w:eastAsiaTheme="minorEastAsia" w:hAnsi="Cambria Math" w:cs="Times New Roman"/>
                <w:sz w:val="24"/>
                <w:szCs w:val="24"/>
                <w:vertAlign w:val="subscript"/>
              </w:rPr>
              <m:t>it</m:t>
            </m:r>
          </m:sub>
        </m:sSub>
      </m:oMath>
      <w:r w:rsidR="007A2527">
        <w:rPr>
          <w:rFonts w:ascii="Times New Roman" w:eastAsiaTheme="minorEastAsia" w:hAnsi="Times New Roman" w:cs="Times New Roman"/>
          <w:b/>
          <w:sz w:val="24"/>
          <w:szCs w:val="24"/>
        </w:rPr>
        <w:t>…………………………………………………………</w:t>
      </w:r>
      <w:r w:rsidR="005F4F8C">
        <w:rPr>
          <w:rFonts w:ascii="Times New Roman" w:eastAsiaTheme="minorEastAsia" w:hAnsi="Times New Roman" w:cs="Times New Roman"/>
          <w:b/>
          <w:sz w:val="24"/>
          <w:szCs w:val="24"/>
        </w:rPr>
        <w:t>...</w:t>
      </w:r>
      <w:r w:rsidR="005D1BB4">
        <w:rPr>
          <w:rFonts w:ascii="Times New Roman" w:eastAsiaTheme="minorEastAsia" w:hAnsi="Times New Roman" w:cs="Times New Roman"/>
          <w:b/>
          <w:sz w:val="24"/>
          <w:szCs w:val="24"/>
        </w:rPr>
        <w:t>....................</w:t>
      </w:r>
      <w:r w:rsidR="007E4CD3">
        <w:rPr>
          <w:rFonts w:ascii="Times New Roman" w:eastAsiaTheme="minorEastAsia" w:hAnsi="Times New Roman" w:cs="Times New Roman"/>
          <w:b/>
          <w:sz w:val="24"/>
          <w:szCs w:val="24"/>
        </w:rPr>
        <w:t>........................</w:t>
      </w:r>
      <w:r w:rsidR="00883A9D">
        <w:rPr>
          <w:rFonts w:ascii="Times New Roman" w:eastAsiaTheme="minorEastAsia" w:hAnsi="Times New Roman" w:cs="Times New Roman"/>
          <w:b/>
          <w:sz w:val="24"/>
          <w:szCs w:val="24"/>
        </w:rPr>
        <w:t xml:space="preserve"> (</w:t>
      </w:r>
      <w:r w:rsidR="00AD36F8">
        <w:rPr>
          <w:rFonts w:ascii="Times New Roman" w:eastAsiaTheme="minorEastAsia" w:hAnsi="Times New Roman" w:cs="Times New Roman"/>
          <w:b/>
          <w:sz w:val="24"/>
          <w:szCs w:val="24"/>
        </w:rPr>
        <w:t>6</w:t>
      </w:r>
      <w:r w:rsidR="00AA5964" w:rsidRPr="00DF04BC">
        <w:rPr>
          <w:rFonts w:ascii="Times New Roman" w:eastAsiaTheme="minorEastAsia" w:hAnsi="Times New Roman" w:cs="Times New Roman"/>
          <w:b/>
          <w:sz w:val="24"/>
          <w:szCs w:val="24"/>
        </w:rPr>
        <w:t>)</w:t>
      </w:r>
    </w:p>
    <w:p w:rsidR="005F4F8C" w:rsidRPr="00A2533C" w:rsidRDefault="006473EA" w:rsidP="00293541">
      <w:pPr>
        <w:spacing w:line="360" w:lineRule="auto"/>
        <w:jc w:val="both"/>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ln</m:t>
            </m:r>
            <m:d>
              <m:dPr>
                <m:ctrlPr>
                  <w:rPr>
                    <w:rFonts w:ascii="Cambria Math" w:hAnsi="Cambria Math" w:cs="Times New Roman"/>
                    <w:b/>
                    <w:i/>
                    <w:sz w:val="24"/>
                    <w:szCs w:val="24"/>
                  </w:rPr>
                </m:ctrlPr>
              </m:dPr>
              <m:e>
                <m:r>
                  <m:rPr>
                    <m:sty m:val="bi"/>
                  </m:rPr>
                  <w:rPr>
                    <w:rFonts w:ascii="Cambria Math" w:hAnsi="Cambria Math" w:cs="Times New Roman"/>
                    <w:sz w:val="24"/>
                    <w:szCs w:val="24"/>
                  </w:rPr>
                  <m:t>OIL</m:t>
                </m:r>
              </m:e>
            </m:d>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ln(COV)</m:t>
            </m:r>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β</m:t>
            </m:r>
          </m:e>
          <m:sub>
            <m:r>
              <m:rPr>
                <m:sty m:val="bi"/>
              </m:rPr>
              <w:rPr>
                <w:rFonts w:ascii="Cambria Math" w:eastAsiaTheme="minorEastAsia" w:hAnsi="Cambria Math" w:cs="Times New Roman"/>
                <w:sz w:val="24"/>
                <w:szCs w:val="24"/>
                <w:vertAlign w:val="subscript"/>
              </w:rPr>
              <m:t>2</m:t>
            </m:r>
          </m:sub>
        </m:sSub>
        <m:r>
          <m:rPr>
            <m:sty m:val="bi"/>
          </m:rPr>
          <w:rPr>
            <w:rFonts w:ascii="Cambria Math" w:eastAsiaTheme="minorEastAsia" w:hAnsi="Cambria Math" w:cs="Times New Roman"/>
            <w:sz w:val="24"/>
            <w:szCs w:val="24"/>
            <w:vertAlign w:val="subscript"/>
          </w:rPr>
          <m:t>ln</m:t>
        </m:r>
        <m:sSub>
          <m:sSubPr>
            <m:ctrlPr>
              <w:rPr>
                <w:rFonts w:ascii="Cambria Math" w:hAnsi="Cambria Math" w:cs="Times New Roman"/>
                <w:b/>
                <w:i/>
                <w:sz w:val="24"/>
                <w:szCs w:val="24"/>
              </w:rPr>
            </m:ctrlPr>
          </m:sSubPr>
          <m:e>
            <m:r>
              <m:rPr>
                <m:sty m:val="bi"/>
              </m:rPr>
              <w:rPr>
                <w:rFonts w:ascii="Cambria Math" w:hAnsi="Cambria Math" w:cs="Times New Roman"/>
                <w:sz w:val="24"/>
                <w:szCs w:val="24"/>
              </w:rPr>
              <m:t>(TB)</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3</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ln</m:t>
            </m:r>
            <m:d>
              <m:dPr>
                <m:ctrlPr>
                  <w:rPr>
                    <w:rFonts w:ascii="Cambria Math" w:hAnsi="Cambria Math" w:cs="Times New Roman"/>
                    <w:b/>
                    <w:i/>
                    <w:sz w:val="24"/>
                    <w:szCs w:val="24"/>
                  </w:rPr>
                </m:ctrlPr>
              </m:dPr>
              <m:e>
                <m:r>
                  <m:rPr>
                    <m:sty m:val="bi"/>
                  </m:rPr>
                  <w:rPr>
                    <w:rFonts w:ascii="Cambria Math" w:hAnsi="Cambria Math" w:cs="Times New Roman"/>
                    <w:sz w:val="24"/>
                    <w:szCs w:val="24"/>
                  </w:rPr>
                  <m:t>M</m:t>
                </m:r>
                <m:r>
                  <m:rPr>
                    <m:sty m:val="bi"/>
                  </m:rPr>
                  <w:rPr>
                    <w:rFonts w:ascii="Cambria Math" w:hAnsi="Cambria Math" w:cs="Times New Roman"/>
                    <w:sz w:val="24"/>
                    <w:szCs w:val="24"/>
                  </w:rPr>
                  <m:t>2</m:t>
                </m:r>
              </m:e>
            </m:d>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 xml:space="preserve">+ </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β</m:t>
            </m:r>
          </m:e>
          <m:sub>
            <m:r>
              <m:rPr>
                <m:sty m:val="bi"/>
              </m:rPr>
              <w:rPr>
                <w:rFonts w:ascii="Cambria Math" w:eastAsiaTheme="minorEastAsia" w:hAnsi="Cambria Math" w:cs="Times New Roman"/>
                <w:sz w:val="24"/>
                <w:szCs w:val="24"/>
                <w:vertAlign w:val="subscript"/>
              </w:rPr>
              <m:t>4</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lnE</m:t>
            </m:r>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 xml:space="preserve">+ </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β</m:t>
            </m:r>
          </m:e>
          <m:sub>
            <m:r>
              <m:rPr>
                <m:sty m:val="bi"/>
              </m:rPr>
              <w:rPr>
                <w:rFonts w:ascii="Cambria Math" w:eastAsiaTheme="minorEastAsia" w:hAnsi="Cambria Math" w:cs="Times New Roman"/>
                <w:sz w:val="24"/>
                <w:szCs w:val="24"/>
                <w:vertAlign w:val="subscript"/>
              </w:rPr>
              <m:t>5</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it</m:t>
            </m:r>
          </m:sub>
        </m:sSub>
        <m:r>
          <m:rPr>
            <m:sty m:val="bi"/>
          </m:rPr>
          <w:rPr>
            <w:rFonts w:ascii="Cambria Math" w:eastAsiaTheme="minorEastAsia" w:hAnsi="Cambria Math" w:cs="Times New Roman"/>
            <w:sz w:val="24"/>
            <w:szCs w:val="24"/>
            <w:vertAlign w:val="subscript"/>
          </w:rPr>
          <m:t xml:space="preserve">+ </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μ</m:t>
            </m:r>
          </m:e>
          <m:sub>
            <m:r>
              <m:rPr>
                <m:sty m:val="bi"/>
              </m:rPr>
              <w:rPr>
                <w:rFonts w:ascii="Cambria Math" w:eastAsiaTheme="minorEastAsia" w:hAnsi="Cambria Math" w:cs="Times New Roman"/>
                <w:sz w:val="24"/>
                <w:szCs w:val="24"/>
                <w:vertAlign w:val="subscript"/>
              </w:rPr>
              <m:t xml:space="preserve">i </m:t>
            </m:r>
          </m:sub>
        </m:sSub>
        <m:r>
          <m:rPr>
            <m:sty m:val="bi"/>
          </m:rP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ε</m:t>
            </m:r>
          </m:e>
          <m:sub>
            <m:r>
              <m:rPr>
                <m:sty m:val="bi"/>
              </m:rPr>
              <w:rPr>
                <w:rFonts w:ascii="Cambria Math" w:eastAsiaTheme="minorEastAsia" w:hAnsi="Cambria Math" w:cs="Times New Roman"/>
                <w:sz w:val="24"/>
                <w:szCs w:val="24"/>
                <w:vertAlign w:val="subscript"/>
              </w:rPr>
              <m:t>it</m:t>
            </m:r>
          </m:sub>
        </m:sSub>
      </m:oMath>
      <w:r w:rsidR="007B7D32">
        <w:rPr>
          <w:rFonts w:ascii="Times New Roman" w:eastAsiaTheme="minorEastAsia" w:hAnsi="Times New Roman" w:cs="Times New Roman"/>
          <w:b/>
          <w:sz w:val="24"/>
          <w:szCs w:val="24"/>
        </w:rPr>
        <w:t>………………………………………………………….........................</w:t>
      </w:r>
      <w:r w:rsidR="007E4CD3">
        <w:rPr>
          <w:rFonts w:ascii="Times New Roman" w:eastAsiaTheme="minorEastAsia" w:hAnsi="Times New Roman" w:cs="Times New Roman"/>
          <w:b/>
          <w:sz w:val="24"/>
          <w:szCs w:val="24"/>
        </w:rPr>
        <w:t>......................</w:t>
      </w:r>
      <w:r w:rsidR="007B7D32">
        <w:rPr>
          <w:rFonts w:ascii="Times New Roman" w:eastAsiaTheme="minorEastAsia" w:hAnsi="Times New Roman" w:cs="Times New Roman"/>
          <w:b/>
          <w:sz w:val="24"/>
          <w:szCs w:val="24"/>
        </w:rPr>
        <w:t xml:space="preserve"> </w:t>
      </w:r>
      <w:r w:rsidR="007F4FDB">
        <w:rPr>
          <w:rFonts w:ascii="Times New Roman" w:eastAsiaTheme="minorEastAsia" w:hAnsi="Times New Roman" w:cs="Times New Roman"/>
          <w:b/>
          <w:sz w:val="24"/>
          <w:szCs w:val="24"/>
        </w:rPr>
        <w:t>(7</w:t>
      </w:r>
      <w:r w:rsidR="005F4F8C" w:rsidRPr="00DF04BC">
        <w:rPr>
          <w:rFonts w:ascii="Times New Roman" w:eastAsiaTheme="minorEastAsia" w:hAnsi="Times New Roman" w:cs="Times New Roman"/>
          <w:b/>
          <w:sz w:val="24"/>
          <w:szCs w:val="24"/>
        </w:rPr>
        <w:t>)</w:t>
      </w:r>
    </w:p>
    <w:p w:rsidR="00AA5964" w:rsidRDefault="00293541" w:rsidP="00937A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661" w:rsidRPr="00E85661">
        <w:rPr>
          <w:rFonts w:ascii="Times New Roman" w:eastAsia="Times New Roman" w:hAnsi="Times New Roman" w:cs="Times New Roman"/>
          <w:sz w:val="24"/>
          <w:szCs w:val="24"/>
        </w:rPr>
        <w:t>Where</w:t>
      </w:r>
      <w:r w:rsidR="00883A9D">
        <w:rPr>
          <w:rFonts w:ascii="Times New Roman" w:eastAsia="Times New Roman" w:hAnsi="Times New Roman" w:cs="Times New Roman"/>
          <w:sz w:val="24"/>
          <w:szCs w:val="24"/>
        </w:rPr>
        <w:t xml:space="preserve"> </w:t>
      </w:r>
      <w:r w:rsidR="00883A9D" w:rsidRPr="00883A9D">
        <w:rPr>
          <w:rFonts w:ascii="Times New Roman" w:eastAsia="Times New Roman" w:hAnsi="Times New Roman" w:cs="Times New Roman"/>
          <w:b/>
          <w:sz w:val="24"/>
          <w:szCs w:val="24"/>
        </w:rPr>
        <w:t>CPI</w:t>
      </w:r>
      <w:r w:rsidR="00883A9D">
        <w:rPr>
          <w:rFonts w:ascii="Times New Roman" w:eastAsia="Times New Roman" w:hAnsi="Times New Roman" w:cs="Times New Roman"/>
          <w:sz w:val="24"/>
          <w:szCs w:val="24"/>
        </w:rPr>
        <w:t xml:space="preserve"> is the Consumer Price Index and </w:t>
      </w:r>
      <w:r w:rsidR="0062080C">
        <w:rPr>
          <w:rFonts w:ascii="Times New Roman" w:eastAsia="Times New Roman" w:hAnsi="Times New Roman" w:cs="Times New Roman"/>
          <w:sz w:val="24"/>
          <w:szCs w:val="24"/>
        </w:rPr>
        <w:t>is used as a proxy to inflation while</w:t>
      </w:r>
      <w:r w:rsidR="00883A9D">
        <w:rPr>
          <w:rFonts w:ascii="Times New Roman" w:eastAsia="Times New Roman" w:hAnsi="Times New Roman" w:cs="Times New Roman"/>
          <w:sz w:val="24"/>
          <w:szCs w:val="24"/>
        </w:rPr>
        <w:t xml:space="preserve"> </w:t>
      </w:r>
      <w:r w:rsidR="0062080C" w:rsidRPr="00532C38">
        <w:rPr>
          <w:rFonts w:ascii="Times New Roman" w:eastAsia="Times New Roman" w:hAnsi="Times New Roman" w:cs="Times New Roman"/>
          <w:b/>
          <w:sz w:val="24"/>
          <w:szCs w:val="24"/>
        </w:rPr>
        <w:t>OIL</w:t>
      </w:r>
      <w:r w:rsidR="0062080C">
        <w:rPr>
          <w:rFonts w:ascii="Times New Roman" w:eastAsia="Times New Roman" w:hAnsi="Times New Roman" w:cs="Times New Roman"/>
          <w:sz w:val="24"/>
          <w:szCs w:val="24"/>
        </w:rPr>
        <w:t xml:space="preserve"> denotes the OPEC oil prices per barrel in USD. </w:t>
      </w:r>
      <w:r w:rsidR="00883A9D" w:rsidRPr="00883A9D">
        <w:rPr>
          <w:rFonts w:ascii="Times New Roman" w:eastAsia="Times New Roman" w:hAnsi="Times New Roman" w:cs="Times New Roman"/>
          <w:b/>
          <w:sz w:val="24"/>
          <w:szCs w:val="24"/>
        </w:rPr>
        <w:t>COV</w:t>
      </w:r>
      <w:r w:rsidR="005C3E67">
        <w:rPr>
          <w:rFonts w:ascii="Times New Roman" w:eastAsia="Times New Roman" w:hAnsi="Times New Roman" w:cs="Times New Roman"/>
          <w:sz w:val="24"/>
          <w:szCs w:val="24"/>
        </w:rPr>
        <w:t xml:space="preserve"> is the </w:t>
      </w:r>
      <w:r w:rsidR="00883A9D">
        <w:rPr>
          <w:rFonts w:ascii="Times New Roman" w:eastAsia="Times New Roman" w:hAnsi="Times New Roman" w:cs="Times New Roman"/>
          <w:sz w:val="24"/>
          <w:szCs w:val="24"/>
        </w:rPr>
        <w:t>confirm</w:t>
      </w:r>
      <w:r w:rsidR="005007EE">
        <w:rPr>
          <w:rFonts w:ascii="Times New Roman" w:eastAsia="Times New Roman" w:hAnsi="Times New Roman" w:cs="Times New Roman"/>
          <w:sz w:val="24"/>
          <w:szCs w:val="24"/>
        </w:rPr>
        <w:t xml:space="preserve">ed and reported COVID-19 </w:t>
      </w:r>
      <w:r w:rsidR="0062080C">
        <w:rPr>
          <w:rFonts w:ascii="Times New Roman" w:eastAsia="Times New Roman" w:hAnsi="Times New Roman" w:cs="Times New Roman"/>
          <w:sz w:val="24"/>
          <w:szCs w:val="24"/>
        </w:rPr>
        <w:t xml:space="preserve">cases &amp; </w:t>
      </w:r>
      <w:r w:rsidR="0062080C">
        <w:rPr>
          <w:rFonts w:ascii="Times New Roman" w:eastAsia="Times New Roman" w:hAnsi="Times New Roman" w:cs="Times New Roman"/>
          <w:b/>
          <w:sz w:val="24"/>
          <w:szCs w:val="24"/>
        </w:rPr>
        <w:t>TB</w:t>
      </w:r>
      <w:r w:rsidR="0062080C">
        <w:rPr>
          <w:rFonts w:ascii="Times New Roman" w:eastAsia="Times New Roman" w:hAnsi="Times New Roman" w:cs="Times New Roman"/>
          <w:sz w:val="24"/>
          <w:szCs w:val="24"/>
        </w:rPr>
        <w:t xml:space="preserve"> denotes trade balanc</w:t>
      </w:r>
      <w:r w:rsidR="005C3E67">
        <w:rPr>
          <w:rFonts w:ascii="Times New Roman" w:eastAsia="Times New Roman" w:hAnsi="Times New Roman" w:cs="Times New Roman"/>
          <w:sz w:val="24"/>
          <w:szCs w:val="24"/>
        </w:rPr>
        <w:t>e</w:t>
      </w:r>
      <w:r w:rsidR="0062080C" w:rsidRPr="00E85661">
        <w:rPr>
          <w:rFonts w:ascii="Times New Roman" w:eastAsia="Times New Roman" w:hAnsi="Times New Roman" w:cs="Times New Roman"/>
          <w:sz w:val="24"/>
          <w:szCs w:val="24"/>
        </w:rPr>
        <w:t>.</w:t>
      </w:r>
      <w:r w:rsidR="00BA6FEC">
        <w:rPr>
          <w:rFonts w:ascii="Times New Roman" w:eastAsia="Times New Roman" w:hAnsi="Times New Roman" w:cs="Times New Roman"/>
          <w:sz w:val="24"/>
          <w:szCs w:val="24"/>
        </w:rPr>
        <w:t xml:space="preserve"> </w:t>
      </w:r>
      <w:r w:rsidR="00E85661" w:rsidRPr="00E85661">
        <w:rPr>
          <w:rFonts w:ascii="Times New Roman" w:eastAsia="Times New Roman" w:hAnsi="Times New Roman" w:cs="Times New Roman"/>
          <w:b/>
          <w:sz w:val="24"/>
          <w:szCs w:val="24"/>
        </w:rPr>
        <w:t>M2</w:t>
      </w:r>
      <w:r w:rsidR="00E85661" w:rsidRPr="00E85661">
        <w:rPr>
          <w:rFonts w:ascii="Times New Roman" w:eastAsia="Times New Roman" w:hAnsi="Times New Roman" w:cs="Times New Roman"/>
          <w:sz w:val="24"/>
          <w:szCs w:val="24"/>
        </w:rPr>
        <w:t xml:space="preserve"> refers to the broad money supply,</w:t>
      </w:r>
      <w:r w:rsidR="005D5A3D">
        <w:rPr>
          <w:rFonts w:ascii="Times New Roman" w:eastAsia="Times New Roman" w:hAnsi="Times New Roman" w:cs="Times New Roman"/>
          <w:sz w:val="24"/>
          <w:szCs w:val="24"/>
        </w:rPr>
        <w:t xml:space="preserve"> </w:t>
      </w:r>
      <w:r w:rsidR="00883A9D" w:rsidRPr="00883A9D">
        <w:rPr>
          <w:rFonts w:ascii="Times New Roman" w:eastAsia="Times New Roman" w:hAnsi="Times New Roman" w:cs="Times New Roman"/>
          <w:b/>
          <w:sz w:val="24"/>
          <w:szCs w:val="24"/>
        </w:rPr>
        <w:t>E</w:t>
      </w:r>
      <w:r w:rsidR="00883A9D">
        <w:rPr>
          <w:rFonts w:ascii="Times New Roman" w:eastAsia="Times New Roman" w:hAnsi="Times New Roman" w:cs="Times New Roman"/>
          <w:sz w:val="24"/>
          <w:szCs w:val="24"/>
        </w:rPr>
        <w:t xml:space="preserve"> is</w:t>
      </w:r>
      <w:r w:rsidR="0062080C">
        <w:rPr>
          <w:rFonts w:ascii="Times New Roman" w:eastAsia="Times New Roman" w:hAnsi="Times New Roman" w:cs="Times New Roman"/>
          <w:sz w:val="24"/>
          <w:szCs w:val="24"/>
        </w:rPr>
        <w:t xml:space="preserve"> the exchange rate against USD, and </w:t>
      </w:r>
      <w:r w:rsidR="00E85661" w:rsidRPr="00E85661">
        <w:rPr>
          <w:rFonts w:ascii="Times New Roman" w:eastAsia="Times New Roman" w:hAnsi="Times New Roman" w:cs="Times New Roman"/>
          <w:b/>
          <w:sz w:val="24"/>
          <w:szCs w:val="24"/>
        </w:rPr>
        <w:t xml:space="preserve">R </w:t>
      </w:r>
      <w:r w:rsidR="00E85661" w:rsidRPr="00E85661">
        <w:rPr>
          <w:rFonts w:ascii="Times New Roman" w:eastAsia="Times New Roman" w:hAnsi="Times New Roman" w:cs="Times New Roman"/>
          <w:sz w:val="24"/>
          <w:szCs w:val="24"/>
        </w:rPr>
        <w:t xml:space="preserve">denotes the </w:t>
      </w:r>
      <w:r w:rsidR="005D5A3D">
        <w:rPr>
          <w:rFonts w:ascii="Times New Roman" w:eastAsia="Times New Roman" w:hAnsi="Times New Roman" w:cs="Times New Roman"/>
          <w:sz w:val="24"/>
          <w:szCs w:val="24"/>
        </w:rPr>
        <w:t xml:space="preserve">average commercial </w:t>
      </w:r>
      <w:r w:rsidR="0062080C">
        <w:rPr>
          <w:rFonts w:ascii="Times New Roman" w:eastAsia="Times New Roman" w:hAnsi="Times New Roman" w:cs="Times New Roman"/>
          <w:sz w:val="24"/>
          <w:szCs w:val="24"/>
        </w:rPr>
        <w:t>banks’ lending rate.</w:t>
      </w:r>
      <w:r w:rsidR="00883A9D">
        <w:rPr>
          <w:rFonts w:ascii="Times New Roman" w:eastAsia="Times New Roman" w:hAnsi="Times New Roman" w:cs="Times New Roman"/>
          <w:sz w:val="24"/>
          <w:szCs w:val="24"/>
        </w:rPr>
        <w:t xml:space="preserve"> </w:t>
      </w:r>
    </w:p>
    <w:p w:rsidR="00720BF2" w:rsidRPr="00DF318C" w:rsidRDefault="002D1188" w:rsidP="00937A6B">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3.3</w:t>
      </w:r>
      <w:r w:rsidR="00784CE5">
        <w:rPr>
          <w:rFonts w:ascii="Times New Roman" w:eastAsia="Calibri" w:hAnsi="Times New Roman" w:cs="Times New Roman"/>
          <w:b/>
          <w:sz w:val="24"/>
          <w:szCs w:val="24"/>
        </w:rPr>
        <w:t xml:space="preserve"> Descriptive statistics</w:t>
      </w:r>
    </w:p>
    <w:p w:rsidR="00720BF2" w:rsidRDefault="00720BF2" w:rsidP="00720BF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Consumer Price Index</w:t>
      </w:r>
      <w:r w:rsidRPr="00DF318C">
        <w:rPr>
          <w:rFonts w:ascii="Times New Roman" w:eastAsia="Calibri" w:hAnsi="Times New Roman" w:cs="Times New Roman"/>
          <w:b/>
          <w:sz w:val="24"/>
          <w:szCs w:val="24"/>
        </w:rPr>
        <w:t xml:space="preserve"> (</w:t>
      </w:r>
      <w:r w:rsidR="007A2527">
        <w:rPr>
          <w:rFonts w:ascii="Times New Roman" w:eastAsia="Calibri" w:hAnsi="Times New Roman" w:cs="Times New Roman"/>
          <w:b/>
          <w:sz w:val="24"/>
          <w:szCs w:val="24"/>
        </w:rPr>
        <w:t>CPI</w:t>
      </w:r>
      <w:r>
        <w:rPr>
          <w:rFonts w:ascii="Times New Roman" w:eastAsia="Calibri" w:hAnsi="Times New Roman" w:cs="Times New Roman"/>
          <w:b/>
          <w:sz w:val="24"/>
          <w:szCs w:val="24"/>
        </w:rPr>
        <w:t xml:space="preserve">): </w:t>
      </w:r>
      <w:r w:rsidRPr="00E37569">
        <w:rPr>
          <w:rFonts w:ascii="Times New Roman" w:eastAsia="Calibri" w:hAnsi="Times New Roman" w:cs="Times New Roman"/>
          <w:sz w:val="24"/>
          <w:szCs w:val="24"/>
        </w:rPr>
        <w:t>An index that measures the</w:t>
      </w:r>
      <w:r>
        <w:rPr>
          <w:rFonts w:ascii="Times New Roman" w:eastAsia="Calibri" w:hAnsi="Times New Roman" w:cs="Times New Roman"/>
          <w:b/>
          <w:sz w:val="24"/>
          <w:szCs w:val="24"/>
        </w:rPr>
        <w:t xml:space="preserve"> </w:t>
      </w:r>
      <w:r w:rsidR="0038430A" w:rsidRPr="0038430A">
        <w:rPr>
          <w:rFonts w:ascii="Times New Roman" w:eastAsia="Calibri" w:hAnsi="Times New Roman" w:cs="Times New Roman"/>
          <w:sz w:val="24"/>
          <w:szCs w:val="24"/>
        </w:rPr>
        <w:t>price-</w:t>
      </w:r>
      <w:r w:rsidR="0038430A">
        <w:rPr>
          <w:rFonts w:ascii="Times New Roman" w:eastAsia="Calibri" w:hAnsi="Times New Roman" w:cs="Times New Roman"/>
          <w:sz w:val="24"/>
          <w:szCs w:val="24"/>
        </w:rPr>
        <w:t xml:space="preserve">level changes </w:t>
      </w:r>
      <w:r w:rsidRPr="00E37569">
        <w:rPr>
          <w:rFonts w:ascii="Times New Roman" w:eastAsia="Calibri" w:hAnsi="Times New Roman" w:cs="Times New Roman"/>
          <w:sz w:val="24"/>
          <w:szCs w:val="24"/>
        </w:rPr>
        <w:t xml:space="preserve">of a weighted average market </w:t>
      </w:r>
      <w:r w:rsidR="0038430A">
        <w:rPr>
          <w:rFonts w:ascii="Times New Roman" w:eastAsia="Calibri" w:hAnsi="Times New Roman" w:cs="Times New Roman"/>
          <w:sz w:val="24"/>
          <w:szCs w:val="24"/>
        </w:rPr>
        <w:t>bundle of consumer commodities</w:t>
      </w:r>
      <w:r>
        <w:rPr>
          <w:rFonts w:ascii="Times New Roman" w:eastAsia="Calibri" w:hAnsi="Times New Roman" w:cs="Times New Roman"/>
          <w:b/>
          <w:sz w:val="24"/>
          <w:szCs w:val="24"/>
        </w:rPr>
        <w:t xml:space="preserve">. </w:t>
      </w:r>
      <w:r w:rsidRPr="00E37569">
        <w:rPr>
          <w:rFonts w:ascii="Times New Roman" w:eastAsia="Calibri" w:hAnsi="Times New Roman" w:cs="Times New Roman"/>
          <w:sz w:val="24"/>
          <w:szCs w:val="24"/>
        </w:rPr>
        <w:t>It’s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e</w:t>
      </w:r>
      <w:r w:rsidR="00332AD1">
        <w:rPr>
          <w:rFonts w:ascii="Times New Roman" w:eastAsia="Calibri" w:hAnsi="Times New Roman" w:cs="Times New Roman"/>
          <w:sz w:val="24"/>
          <w:szCs w:val="24"/>
        </w:rPr>
        <w:t>xpr</w:t>
      </w:r>
      <w:r w:rsidR="00C231BB">
        <w:rPr>
          <w:rFonts w:ascii="Times New Roman" w:eastAsia="Calibri" w:hAnsi="Times New Roman" w:cs="Times New Roman"/>
          <w:sz w:val="24"/>
          <w:szCs w:val="24"/>
        </w:rPr>
        <w:t>essed in a natural log. It’s the</w:t>
      </w:r>
      <w:r w:rsidR="00332AD1">
        <w:rPr>
          <w:rFonts w:ascii="Times New Roman" w:eastAsia="Calibri" w:hAnsi="Times New Roman" w:cs="Times New Roman"/>
          <w:sz w:val="24"/>
          <w:szCs w:val="24"/>
        </w:rPr>
        <w:t xml:space="preserve"> dependent variable </w:t>
      </w:r>
      <w:r w:rsidR="00C231BB">
        <w:rPr>
          <w:rFonts w:ascii="Times New Roman" w:eastAsia="Calibri" w:hAnsi="Times New Roman" w:cs="Times New Roman"/>
          <w:sz w:val="24"/>
          <w:szCs w:val="24"/>
        </w:rPr>
        <w:t>in our</w:t>
      </w:r>
      <w:r w:rsidR="00D2113F">
        <w:rPr>
          <w:rFonts w:ascii="Times New Roman" w:eastAsia="Calibri" w:hAnsi="Times New Roman" w:cs="Times New Roman"/>
          <w:sz w:val="24"/>
          <w:szCs w:val="24"/>
        </w:rPr>
        <w:t xml:space="preserve"> first model </w:t>
      </w:r>
      <w:r w:rsidR="00332AD1">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00332AD1">
        <w:rPr>
          <w:rFonts w:ascii="Times New Roman" w:eastAsia="Calibri" w:hAnsi="Times New Roman" w:cs="Times New Roman"/>
          <w:sz w:val="24"/>
          <w:szCs w:val="24"/>
        </w:rPr>
        <w:t xml:space="preserve">is </w:t>
      </w:r>
      <w:r>
        <w:rPr>
          <w:rFonts w:ascii="Times New Roman" w:eastAsia="Calibri" w:hAnsi="Times New Roman" w:cs="Times New Roman"/>
          <w:sz w:val="24"/>
          <w:szCs w:val="24"/>
        </w:rPr>
        <w:t>used as a proxy for inflation.</w:t>
      </w:r>
    </w:p>
    <w:p w:rsidR="007F4FDB" w:rsidRDefault="00D2113F" w:rsidP="00720BF2">
      <w:pPr>
        <w:spacing w:after="0" w:line="360" w:lineRule="auto"/>
        <w:jc w:val="both"/>
        <w:rPr>
          <w:rFonts w:ascii="Times New Roman" w:eastAsia="Calibri" w:hAnsi="Times New Roman" w:cs="Times New Roman"/>
          <w:sz w:val="24"/>
          <w:szCs w:val="24"/>
        </w:rPr>
      </w:pPr>
      <w:r w:rsidRPr="00DF318C">
        <w:rPr>
          <w:rFonts w:ascii="Times New Roman" w:eastAsia="Calibri" w:hAnsi="Times New Roman" w:cs="Times New Roman"/>
          <w:b/>
          <w:sz w:val="24"/>
          <w:szCs w:val="24"/>
        </w:rPr>
        <w:t>Crude oil price (</w:t>
      </w:r>
      <w:r>
        <w:rPr>
          <w:rFonts w:ascii="Times New Roman" w:eastAsia="Calibri" w:hAnsi="Times New Roman" w:cs="Times New Roman"/>
          <w:b/>
          <w:i/>
          <w:sz w:val="24"/>
          <w:szCs w:val="24"/>
        </w:rPr>
        <w:t>OIL</w:t>
      </w:r>
      <w:r w:rsidRPr="00DF318C">
        <w:rPr>
          <w:rFonts w:ascii="Times New Roman" w:eastAsia="Calibri" w:hAnsi="Times New Roman" w:cs="Times New Roman"/>
          <w:b/>
          <w:sz w:val="24"/>
          <w:szCs w:val="24"/>
        </w:rPr>
        <w:t>):</w:t>
      </w:r>
      <w:r>
        <w:rPr>
          <w:rFonts w:ascii="Times New Roman" w:eastAsia="Calibri" w:hAnsi="Times New Roman" w:cs="Times New Roman"/>
          <w:sz w:val="24"/>
          <w:szCs w:val="24"/>
        </w:rPr>
        <w:t xml:space="preserve"> The </w:t>
      </w:r>
      <w:r w:rsidRPr="00DF318C">
        <w:rPr>
          <w:rFonts w:ascii="Times New Roman" w:eastAsia="Calibri" w:hAnsi="Times New Roman" w:cs="Times New Roman"/>
          <w:sz w:val="24"/>
          <w:szCs w:val="24"/>
        </w:rPr>
        <w:t>monthly average pric</w:t>
      </w:r>
      <w:r>
        <w:rPr>
          <w:rFonts w:ascii="Times New Roman" w:eastAsia="Calibri" w:hAnsi="Times New Roman" w:cs="Times New Roman"/>
          <w:sz w:val="24"/>
          <w:szCs w:val="24"/>
        </w:rPr>
        <w:t>e of crude oil per barrel measured in US $</w:t>
      </w:r>
      <w:r w:rsidRPr="00DF318C">
        <w:rPr>
          <w:rFonts w:ascii="Times New Roman" w:eastAsia="Calibri" w:hAnsi="Times New Roman" w:cs="Times New Roman"/>
          <w:sz w:val="24"/>
          <w:szCs w:val="24"/>
        </w:rPr>
        <w:t>. It’s expressed in logarithm form.</w:t>
      </w:r>
      <w:r>
        <w:rPr>
          <w:rFonts w:ascii="Times New Roman" w:eastAsia="Calibri" w:hAnsi="Times New Roman" w:cs="Times New Roman"/>
          <w:sz w:val="24"/>
          <w:szCs w:val="24"/>
        </w:rPr>
        <w:t xml:space="preserve"> It’s the</w:t>
      </w:r>
      <w:r w:rsidR="00A2533C">
        <w:rPr>
          <w:rFonts w:ascii="Times New Roman" w:eastAsia="Calibri" w:hAnsi="Times New Roman" w:cs="Times New Roman"/>
          <w:sz w:val="24"/>
          <w:szCs w:val="24"/>
        </w:rPr>
        <w:t xml:space="preserve"> dependent variable in our second</w:t>
      </w:r>
      <w:r>
        <w:rPr>
          <w:rFonts w:ascii="Times New Roman" w:eastAsia="Calibri" w:hAnsi="Times New Roman" w:cs="Times New Roman"/>
          <w:sz w:val="24"/>
          <w:szCs w:val="24"/>
        </w:rPr>
        <w:t xml:space="preserve"> model.</w:t>
      </w:r>
    </w:p>
    <w:p w:rsidR="00282744" w:rsidRDefault="00720BF2" w:rsidP="00720BF2">
      <w:pPr>
        <w:spacing w:after="0" w:line="360" w:lineRule="auto"/>
        <w:jc w:val="both"/>
        <w:rPr>
          <w:rFonts w:ascii="Times New Roman" w:eastAsia="Calibri" w:hAnsi="Times New Roman" w:cs="Times New Roman"/>
          <w:sz w:val="24"/>
          <w:szCs w:val="24"/>
        </w:rPr>
      </w:pPr>
      <w:r w:rsidRPr="00E17E89">
        <w:rPr>
          <w:rFonts w:ascii="Times New Roman" w:eastAsia="Calibri" w:hAnsi="Times New Roman" w:cs="Times New Roman"/>
          <w:b/>
          <w:sz w:val="24"/>
          <w:szCs w:val="24"/>
        </w:rPr>
        <w:t>COVID-19 confirmed cases (COV):</w:t>
      </w:r>
      <w:r>
        <w:rPr>
          <w:rFonts w:ascii="Times New Roman" w:eastAsia="Calibri" w:hAnsi="Times New Roman" w:cs="Times New Roman"/>
          <w:sz w:val="24"/>
          <w:szCs w:val="24"/>
        </w:rPr>
        <w:t xml:space="preserve"> The number of confirmed cases in a country s</w:t>
      </w:r>
      <w:r w:rsidR="007239B5">
        <w:rPr>
          <w:rFonts w:ascii="Times New Roman" w:eastAsia="Calibri" w:hAnsi="Times New Roman" w:cs="Times New Roman"/>
          <w:sz w:val="24"/>
          <w:szCs w:val="24"/>
        </w:rPr>
        <w:t>ince the first case was r</w:t>
      </w:r>
      <w:r w:rsidR="00CB3589">
        <w:rPr>
          <w:rFonts w:ascii="Times New Roman" w:eastAsia="Calibri" w:hAnsi="Times New Roman" w:cs="Times New Roman"/>
          <w:sz w:val="24"/>
          <w:szCs w:val="24"/>
        </w:rPr>
        <w:t>eported (March 2020-</w:t>
      </w:r>
      <w:r w:rsidR="00CB3589" w:rsidRPr="00BF6051">
        <w:rPr>
          <w:rFonts w:ascii="Times New Roman" w:eastAsia="Calibri" w:hAnsi="Times New Roman" w:cs="Times New Roman"/>
          <w:sz w:val="24"/>
          <w:szCs w:val="24"/>
        </w:rPr>
        <w:t>May</w:t>
      </w:r>
      <w:r w:rsidR="007239B5" w:rsidRPr="00BF6051">
        <w:rPr>
          <w:rFonts w:ascii="Times New Roman" w:eastAsia="Calibri" w:hAnsi="Times New Roman" w:cs="Times New Roman"/>
          <w:sz w:val="24"/>
          <w:szCs w:val="24"/>
        </w:rPr>
        <w:t xml:space="preserve"> 2021)</w:t>
      </w:r>
      <w:r w:rsidRPr="00BF6051">
        <w:rPr>
          <w:rFonts w:ascii="Times New Roman" w:eastAsia="Calibri" w:hAnsi="Times New Roman" w:cs="Times New Roman"/>
          <w:sz w:val="24"/>
          <w:szCs w:val="24"/>
        </w:rPr>
        <w:t>.</w:t>
      </w:r>
      <w:r>
        <w:rPr>
          <w:rFonts w:ascii="Times New Roman" w:eastAsia="Calibri" w:hAnsi="Times New Roman" w:cs="Times New Roman"/>
          <w:sz w:val="24"/>
          <w:szCs w:val="24"/>
        </w:rPr>
        <w:t xml:space="preserve"> It’s expressed in a natural logarithm</w:t>
      </w:r>
      <w:r w:rsidR="00F671C4">
        <w:rPr>
          <w:rFonts w:ascii="Times New Roman" w:eastAsia="Calibri" w:hAnsi="Times New Roman" w:cs="Times New Roman"/>
          <w:sz w:val="24"/>
          <w:szCs w:val="24"/>
        </w:rPr>
        <w:t xml:space="preserve"> and is our main explanatory variable in this study.</w:t>
      </w:r>
      <w:r w:rsidR="00124274">
        <w:rPr>
          <w:rFonts w:ascii="Times New Roman" w:eastAsia="Calibri" w:hAnsi="Times New Roman" w:cs="Times New Roman"/>
          <w:sz w:val="24"/>
          <w:szCs w:val="24"/>
        </w:rPr>
        <w:t xml:space="preserve"> As an econom</w:t>
      </w:r>
      <w:r w:rsidR="0038430A">
        <w:rPr>
          <w:rFonts w:ascii="Times New Roman" w:eastAsia="Calibri" w:hAnsi="Times New Roman" w:cs="Times New Roman"/>
          <w:sz w:val="24"/>
          <w:szCs w:val="24"/>
        </w:rPr>
        <w:t>ic shock, the pandemic triggers</w:t>
      </w:r>
      <w:r w:rsidR="00124274">
        <w:rPr>
          <w:rFonts w:ascii="Times New Roman" w:eastAsia="Calibri" w:hAnsi="Times New Roman" w:cs="Times New Roman"/>
          <w:sz w:val="24"/>
          <w:szCs w:val="24"/>
        </w:rPr>
        <w:t xml:space="preserve"> restricted aggregate demand a</w:t>
      </w:r>
      <w:r w:rsidR="00CE4535">
        <w:rPr>
          <w:rFonts w:ascii="Times New Roman" w:eastAsia="Calibri" w:hAnsi="Times New Roman" w:cs="Times New Roman"/>
          <w:sz w:val="24"/>
          <w:szCs w:val="24"/>
        </w:rPr>
        <w:t xml:space="preserve">nd supply globally yielding inflationary pressures and is, thus, </w:t>
      </w:r>
      <w:r w:rsidR="00124274">
        <w:rPr>
          <w:rFonts w:ascii="Times New Roman" w:eastAsia="Calibri" w:hAnsi="Times New Roman" w:cs="Times New Roman"/>
          <w:sz w:val="24"/>
          <w:szCs w:val="24"/>
        </w:rPr>
        <w:t xml:space="preserve">expected to </w:t>
      </w:r>
      <w:r w:rsidR="004A270F">
        <w:rPr>
          <w:rFonts w:ascii="Times New Roman" w:eastAsia="Calibri" w:hAnsi="Times New Roman" w:cs="Times New Roman"/>
          <w:sz w:val="24"/>
          <w:szCs w:val="24"/>
        </w:rPr>
        <w:t xml:space="preserve">positively impact </w:t>
      </w:r>
      <w:r w:rsidR="00963443">
        <w:rPr>
          <w:rFonts w:ascii="Times New Roman" w:eastAsia="Calibri" w:hAnsi="Times New Roman" w:cs="Times New Roman"/>
          <w:sz w:val="24"/>
          <w:szCs w:val="24"/>
        </w:rPr>
        <w:t xml:space="preserve">the </w:t>
      </w:r>
      <w:r w:rsidR="00124274">
        <w:rPr>
          <w:rFonts w:ascii="Times New Roman" w:eastAsia="Calibri" w:hAnsi="Times New Roman" w:cs="Times New Roman"/>
          <w:sz w:val="24"/>
          <w:szCs w:val="24"/>
        </w:rPr>
        <w:t>CPI</w:t>
      </w:r>
      <w:r w:rsidR="00CE4535">
        <w:rPr>
          <w:rFonts w:ascii="Times New Roman" w:eastAsia="Calibri" w:hAnsi="Times New Roman" w:cs="Times New Roman"/>
          <w:sz w:val="24"/>
          <w:szCs w:val="24"/>
        </w:rPr>
        <w:t xml:space="preserve"> (Coulibaly, 2021).</w:t>
      </w:r>
    </w:p>
    <w:p w:rsidR="007F4FDB" w:rsidRPr="007F4FDB" w:rsidRDefault="007F4FDB" w:rsidP="00720BF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Trade balance</w:t>
      </w:r>
      <w:r w:rsidRPr="00BF4E6E">
        <w:rPr>
          <w:rFonts w:ascii="Times New Roman" w:hAnsi="Times New Roman" w:cs="Times New Roman"/>
          <w:b/>
          <w:sz w:val="24"/>
          <w:szCs w:val="24"/>
        </w:rPr>
        <w:t xml:space="preserve"> (</w:t>
      </w:r>
      <w:r>
        <w:rPr>
          <w:rFonts w:ascii="Times New Roman" w:hAnsi="Times New Roman" w:cs="Times New Roman"/>
          <w:b/>
          <w:i/>
          <w:sz w:val="24"/>
          <w:szCs w:val="24"/>
        </w:rPr>
        <w:t>TB</w:t>
      </w:r>
      <w:r w:rsidRPr="00BF4E6E">
        <w:rPr>
          <w:rFonts w:ascii="Times New Roman" w:hAnsi="Times New Roman" w:cs="Times New Roman"/>
          <w:b/>
          <w:sz w:val="24"/>
          <w:szCs w:val="24"/>
        </w:rPr>
        <w:t>):</w:t>
      </w:r>
      <w:r>
        <w:rPr>
          <w:rFonts w:ascii="Times New Roman" w:hAnsi="Times New Roman" w:cs="Times New Roman"/>
          <w:sz w:val="24"/>
          <w:szCs w:val="24"/>
        </w:rPr>
        <w:t xml:space="preserve">  Measured as the difference between the total value of exports and imports of commodities in USD million. This is recorded monthly and is expressed in a natural logarithm.</w:t>
      </w:r>
    </w:p>
    <w:p w:rsidR="00720BF2" w:rsidRPr="00DF318C" w:rsidRDefault="00720BF2" w:rsidP="00720BF2">
      <w:pPr>
        <w:spacing w:after="0" w:line="360" w:lineRule="auto"/>
        <w:jc w:val="both"/>
        <w:rPr>
          <w:rFonts w:ascii="Times New Roman" w:eastAsia="Calibri" w:hAnsi="Times New Roman" w:cs="Times New Roman"/>
          <w:sz w:val="24"/>
          <w:szCs w:val="24"/>
        </w:rPr>
      </w:pPr>
      <w:r w:rsidRPr="00DF318C">
        <w:rPr>
          <w:rFonts w:ascii="Times New Roman" w:eastAsia="Calibri" w:hAnsi="Times New Roman" w:cs="Times New Roman"/>
          <w:b/>
          <w:sz w:val="24"/>
          <w:szCs w:val="24"/>
        </w:rPr>
        <w:t>Broad Money Supply (</w:t>
      </w:r>
      <w:r w:rsidRPr="001F2923">
        <w:rPr>
          <w:rFonts w:ascii="Times New Roman" w:eastAsia="Calibri" w:hAnsi="Times New Roman" w:cs="Times New Roman"/>
          <w:b/>
          <w:i/>
          <w:sz w:val="24"/>
          <w:szCs w:val="24"/>
        </w:rPr>
        <w:t>M2</w:t>
      </w:r>
      <w:r w:rsidRPr="00DF318C">
        <w:rPr>
          <w:rFonts w:ascii="Times New Roman" w:eastAsia="Calibri" w:hAnsi="Times New Roman" w:cs="Times New Roman"/>
          <w:b/>
          <w:sz w:val="24"/>
          <w:szCs w:val="24"/>
        </w:rPr>
        <w:t>):</w:t>
      </w:r>
      <w:r w:rsidRPr="00DF318C">
        <w:rPr>
          <w:rFonts w:ascii="Times New Roman" w:eastAsia="Calibri" w:hAnsi="Times New Roman" w:cs="Times New Roman"/>
          <w:sz w:val="24"/>
          <w:szCs w:val="24"/>
        </w:rPr>
        <w:t xml:space="preserve"> Includes all cash </w:t>
      </w:r>
      <w:r>
        <w:rPr>
          <w:rFonts w:ascii="Times New Roman" w:eastAsia="Calibri" w:hAnsi="Times New Roman" w:cs="Times New Roman"/>
          <w:sz w:val="24"/>
          <w:szCs w:val="24"/>
        </w:rPr>
        <w:t>and coins in circulation, short-</w:t>
      </w:r>
      <w:r w:rsidRPr="00DF318C">
        <w:rPr>
          <w:rFonts w:ascii="Times New Roman" w:eastAsia="Calibri" w:hAnsi="Times New Roman" w:cs="Times New Roman"/>
          <w:sz w:val="24"/>
          <w:szCs w:val="24"/>
        </w:rPr>
        <w:t>term ban</w:t>
      </w:r>
      <w:r>
        <w:rPr>
          <w:rFonts w:ascii="Times New Roman" w:eastAsia="Calibri" w:hAnsi="Times New Roman" w:cs="Times New Roman"/>
          <w:sz w:val="24"/>
          <w:szCs w:val="24"/>
        </w:rPr>
        <w:t>k deposits &amp; money market short-</w:t>
      </w:r>
      <w:r w:rsidRPr="00DF318C">
        <w:rPr>
          <w:rFonts w:ascii="Times New Roman" w:eastAsia="Calibri" w:hAnsi="Times New Roman" w:cs="Times New Roman"/>
          <w:sz w:val="24"/>
          <w:szCs w:val="24"/>
        </w:rPr>
        <w:t xml:space="preserve">term securities. </w:t>
      </w:r>
      <w:r>
        <w:rPr>
          <w:rFonts w:ascii="Times New Roman" w:eastAsia="Calibri" w:hAnsi="Times New Roman" w:cs="Times New Roman"/>
          <w:sz w:val="24"/>
          <w:szCs w:val="24"/>
        </w:rPr>
        <w:t>M2</w:t>
      </w:r>
      <w:r w:rsidRPr="00DF318C">
        <w:rPr>
          <w:rFonts w:ascii="Times New Roman" w:eastAsia="Calibri" w:hAnsi="Times New Roman" w:cs="Times New Roman"/>
          <w:sz w:val="24"/>
          <w:szCs w:val="24"/>
        </w:rPr>
        <w:t xml:space="preserve"> is expressed in </w:t>
      </w:r>
      <w:r w:rsidR="00282744">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DF318C">
        <w:rPr>
          <w:rFonts w:ascii="Times New Roman" w:eastAsia="Calibri" w:hAnsi="Times New Roman" w:cs="Times New Roman"/>
          <w:sz w:val="24"/>
          <w:szCs w:val="24"/>
        </w:rPr>
        <w:t>natural logarithm.</w:t>
      </w:r>
    </w:p>
    <w:p w:rsidR="00720BF2" w:rsidRDefault="00720BF2" w:rsidP="00720BF2">
      <w:pPr>
        <w:spacing w:after="0" w:line="360" w:lineRule="auto"/>
        <w:jc w:val="both"/>
        <w:rPr>
          <w:rFonts w:ascii="Times New Roman" w:eastAsia="Calibri" w:hAnsi="Times New Roman" w:cs="Times New Roman"/>
          <w:sz w:val="24"/>
          <w:szCs w:val="24"/>
        </w:rPr>
      </w:pPr>
      <w:r w:rsidRPr="00DF318C">
        <w:rPr>
          <w:rFonts w:ascii="Times New Roman" w:eastAsia="Calibri" w:hAnsi="Times New Roman" w:cs="Times New Roman"/>
          <w:b/>
          <w:sz w:val="24"/>
          <w:szCs w:val="24"/>
        </w:rPr>
        <w:t>Exchange rate (</w:t>
      </w:r>
      <w:r w:rsidRPr="001F2923">
        <w:rPr>
          <w:rFonts w:ascii="Times New Roman" w:eastAsia="Calibri" w:hAnsi="Times New Roman" w:cs="Times New Roman"/>
          <w:b/>
          <w:i/>
          <w:sz w:val="24"/>
          <w:szCs w:val="24"/>
        </w:rPr>
        <w:t>E</w:t>
      </w:r>
      <w:r w:rsidRPr="00DF318C">
        <w:rPr>
          <w:rFonts w:ascii="Times New Roman" w:eastAsia="Calibri" w:hAnsi="Times New Roman" w:cs="Times New Roman"/>
          <w:b/>
          <w:sz w:val="24"/>
          <w:szCs w:val="24"/>
        </w:rPr>
        <w:t>):</w:t>
      </w:r>
      <w:r w:rsidRPr="00DF318C">
        <w:rPr>
          <w:rFonts w:ascii="Times New Roman" w:eastAsia="Calibri" w:hAnsi="Times New Roman" w:cs="Times New Roman"/>
          <w:sz w:val="24"/>
          <w:szCs w:val="24"/>
        </w:rPr>
        <w:t xml:space="preserve"> The rate at which one country’s currency exchanges for another. This is recorded monthly and </w:t>
      </w:r>
      <w:r>
        <w:rPr>
          <w:rFonts w:ascii="Times New Roman" w:eastAsia="Calibri" w:hAnsi="Times New Roman" w:cs="Times New Roman"/>
          <w:sz w:val="24"/>
          <w:szCs w:val="24"/>
        </w:rPr>
        <w:t>will be expressed in terms of</w:t>
      </w:r>
      <w:r w:rsidRPr="00DF318C">
        <w:rPr>
          <w:rFonts w:ascii="Times New Roman" w:eastAsia="Calibri" w:hAnsi="Times New Roman" w:cs="Times New Roman"/>
          <w:sz w:val="24"/>
          <w:szCs w:val="24"/>
        </w:rPr>
        <w:t xml:space="preserve"> the US dollar. </w:t>
      </w:r>
      <w:r>
        <w:rPr>
          <w:rFonts w:ascii="Times New Roman" w:eastAsia="Calibri" w:hAnsi="Times New Roman" w:cs="Times New Roman"/>
          <w:sz w:val="24"/>
          <w:szCs w:val="24"/>
        </w:rPr>
        <w:t>The e</w:t>
      </w:r>
      <w:r w:rsidRPr="00DF318C">
        <w:rPr>
          <w:rFonts w:ascii="Times New Roman" w:eastAsia="Calibri" w:hAnsi="Times New Roman" w:cs="Times New Roman"/>
          <w:sz w:val="24"/>
          <w:szCs w:val="24"/>
        </w:rPr>
        <w:t xml:space="preserve">xchange rate is expressed in </w:t>
      </w:r>
      <w:r>
        <w:rPr>
          <w:rFonts w:ascii="Times New Roman" w:eastAsia="Calibri" w:hAnsi="Times New Roman" w:cs="Times New Roman"/>
          <w:sz w:val="24"/>
          <w:szCs w:val="24"/>
        </w:rPr>
        <w:t xml:space="preserve">a </w:t>
      </w:r>
      <w:r w:rsidRPr="00DF318C">
        <w:rPr>
          <w:rFonts w:ascii="Times New Roman" w:eastAsia="Calibri" w:hAnsi="Times New Roman" w:cs="Times New Roman"/>
          <w:sz w:val="24"/>
          <w:szCs w:val="24"/>
        </w:rPr>
        <w:t>natural log.</w:t>
      </w:r>
    </w:p>
    <w:p w:rsidR="0088631E" w:rsidRPr="0088631E" w:rsidRDefault="00720BF2" w:rsidP="0088631E">
      <w:pPr>
        <w:spacing w:line="360" w:lineRule="auto"/>
        <w:jc w:val="both"/>
        <w:rPr>
          <w:rFonts w:ascii="Times New Roman" w:hAnsi="Times New Roman" w:cs="Times New Roman"/>
          <w:sz w:val="24"/>
          <w:szCs w:val="24"/>
        </w:rPr>
      </w:pPr>
      <w:r w:rsidRPr="001C2B4D">
        <w:rPr>
          <w:rFonts w:ascii="Times New Roman" w:hAnsi="Times New Roman" w:cs="Times New Roman"/>
          <w:b/>
          <w:sz w:val="24"/>
          <w:szCs w:val="24"/>
        </w:rPr>
        <w:t>Banks’ lending rate (</w:t>
      </w:r>
      <w:r w:rsidRPr="00F70F92">
        <w:rPr>
          <w:rFonts w:ascii="Times New Roman" w:hAnsi="Times New Roman" w:cs="Times New Roman"/>
          <w:b/>
          <w:i/>
          <w:sz w:val="24"/>
          <w:szCs w:val="24"/>
        </w:rPr>
        <w:t>R</w:t>
      </w:r>
      <w:r w:rsidRPr="001C2B4D">
        <w:rPr>
          <w:rFonts w:ascii="Times New Roman" w:hAnsi="Times New Roman" w:cs="Times New Roman"/>
          <w:b/>
          <w:sz w:val="24"/>
          <w:szCs w:val="24"/>
        </w:rPr>
        <w:t>):</w:t>
      </w:r>
      <w:r>
        <w:rPr>
          <w:rFonts w:ascii="Times New Roman" w:hAnsi="Times New Roman" w:cs="Times New Roman"/>
          <w:sz w:val="24"/>
          <w:szCs w:val="24"/>
        </w:rPr>
        <w:t xml:space="preserve"> The rate at which the majority of the deposit money banks lend to their credit-worthy customers. It is measured in percentage form and recorded monthly. </w:t>
      </w:r>
    </w:p>
    <w:p w:rsidR="000023F5" w:rsidRDefault="002D1188" w:rsidP="0088631E">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r w:rsidR="000023F5" w:rsidRPr="00486409">
        <w:rPr>
          <w:rFonts w:ascii="Times New Roman" w:hAnsi="Times New Roman" w:cs="Times New Roman"/>
          <w:b/>
          <w:sz w:val="24"/>
          <w:szCs w:val="24"/>
        </w:rPr>
        <w:t xml:space="preserve"> Summary statistics </w:t>
      </w:r>
    </w:p>
    <w:p w:rsidR="00F671C4" w:rsidRDefault="0088631E" w:rsidP="008863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C4">
        <w:rPr>
          <w:rFonts w:ascii="Times New Roman" w:hAnsi="Times New Roman" w:cs="Times New Roman"/>
          <w:sz w:val="24"/>
          <w:szCs w:val="24"/>
        </w:rPr>
        <w:t>We show</w:t>
      </w:r>
      <w:r w:rsidR="00486409" w:rsidRPr="008428BA">
        <w:rPr>
          <w:rFonts w:ascii="Times New Roman" w:hAnsi="Times New Roman" w:cs="Times New Roman"/>
          <w:sz w:val="24"/>
          <w:szCs w:val="24"/>
        </w:rPr>
        <w:t xml:space="preserve"> summary statist</w:t>
      </w:r>
      <w:r w:rsidR="00F671C4">
        <w:rPr>
          <w:rFonts w:ascii="Times New Roman" w:hAnsi="Times New Roman" w:cs="Times New Roman"/>
          <w:sz w:val="24"/>
          <w:szCs w:val="24"/>
        </w:rPr>
        <w:t xml:space="preserve">ics for the entire panel </w:t>
      </w:r>
      <w:r w:rsidR="00486409" w:rsidRPr="008428BA">
        <w:rPr>
          <w:rFonts w:ascii="Times New Roman" w:hAnsi="Times New Roman" w:cs="Times New Roman"/>
          <w:sz w:val="24"/>
          <w:szCs w:val="24"/>
        </w:rPr>
        <w:t xml:space="preserve">as well as different statistics per panel. </w:t>
      </w:r>
      <w:r w:rsidR="00F671C4">
        <w:rPr>
          <w:rFonts w:ascii="Times New Roman" w:hAnsi="Times New Roman" w:cs="Times New Roman"/>
          <w:sz w:val="24"/>
          <w:szCs w:val="24"/>
        </w:rPr>
        <w:t>Cou</w:t>
      </w:r>
      <w:r w:rsidR="00963443">
        <w:rPr>
          <w:rFonts w:ascii="Times New Roman" w:hAnsi="Times New Roman" w:cs="Times New Roman"/>
          <w:sz w:val="24"/>
          <w:szCs w:val="24"/>
        </w:rPr>
        <w:t>ntry-specific statistics enable</w:t>
      </w:r>
      <w:r w:rsidR="00F671C4">
        <w:rPr>
          <w:rFonts w:ascii="Times New Roman" w:hAnsi="Times New Roman" w:cs="Times New Roman"/>
          <w:sz w:val="24"/>
          <w:szCs w:val="24"/>
        </w:rPr>
        <w:t xml:space="preserve"> us to draw comparisons for the variables across all the countries under investigation.</w:t>
      </w:r>
    </w:p>
    <w:p w:rsidR="000023F5" w:rsidRDefault="00F671C4" w:rsidP="008863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188">
        <w:rPr>
          <w:rFonts w:ascii="Times New Roman" w:eastAsia="Times New Roman" w:hAnsi="Times New Roman" w:cs="Times New Roman"/>
          <w:b/>
          <w:sz w:val="24"/>
          <w:szCs w:val="24"/>
        </w:rPr>
        <w:t>3.4</w:t>
      </w:r>
      <w:r w:rsidR="00A254E3">
        <w:rPr>
          <w:rFonts w:ascii="Times New Roman" w:eastAsia="Times New Roman" w:hAnsi="Times New Roman" w:cs="Times New Roman"/>
          <w:b/>
          <w:sz w:val="24"/>
          <w:szCs w:val="24"/>
        </w:rPr>
        <w:t>.1 General</w:t>
      </w:r>
      <w:r w:rsidR="008428BA" w:rsidRPr="00714809">
        <w:rPr>
          <w:rFonts w:ascii="Times New Roman" w:eastAsia="Times New Roman" w:hAnsi="Times New Roman" w:cs="Times New Roman"/>
          <w:b/>
          <w:sz w:val="24"/>
          <w:szCs w:val="24"/>
        </w:rPr>
        <w:t xml:space="preserve"> panel statistics</w:t>
      </w:r>
    </w:p>
    <w:p w:rsidR="00714809" w:rsidRDefault="00F671C4" w:rsidP="008863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shown</w:t>
      </w:r>
      <w:r w:rsidR="00714809" w:rsidRPr="00714809">
        <w:rPr>
          <w:rFonts w:ascii="Times New Roman" w:eastAsia="Times New Roman" w:hAnsi="Times New Roman" w:cs="Times New Roman"/>
          <w:sz w:val="24"/>
          <w:szCs w:val="24"/>
        </w:rPr>
        <w:t xml:space="preserve"> in </w:t>
      </w:r>
      <w:r w:rsidR="00A62C95" w:rsidRPr="00A62C95">
        <w:rPr>
          <w:rFonts w:ascii="Times New Roman" w:eastAsia="Times New Roman" w:hAnsi="Times New Roman" w:cs="Times New Roman"/>
          <w:sz w:val="24"/>
          <w:szCs w:val="24"/>
        </w:rPr>
        <w:t xml:space="preserve">Table </w:t>
      </w:r>
      <w:r w:rsidR="00A62C95">
        <w:rPr>
          <w:rFonts w:ascii="Times New Roman" w:eastAsia="Times New Roman" w:hAnsi="Times New Roman" w:cs="Times New Roman"/>
          <w:sz w:val="24"/>
          <w:szCs w:val="24"/>
        </w:rPr>
        <w:t>3</w:t>
      </w:r>
      <w:r w:rsidR="00714809">
        <w:rPr>
          <w:rFonts w:ascii="Times New Roman" w:eastAsia="Times New Roman" w:hAnsi="Times New Roman" w:cs="Times New Roman"/>
          <w:sz w:val="24"/>
          <w:szCs w:val="24"/>
        </w:rPr>
        <w:t>.</w:t>
      </w:r>
    </w:p>
    <w:p w:rsidR="001378DB" w:rsidRPr="001378DB" w:rsidRDefault="00A62C95" w:rsidP="00720BF2">
      <w:pPr>
        <w:spacing w:after="0" w:line="360" w:lineRule="auto"/>
        <w:jc w:val="both"/>
        <w:rPr>
          <w:rFonts w:ascii="Times New Roman" w:eastAsia="Times New Roman" w:hAnsi="Times New Roman" w:cs="Times New Roman"/>
          <w:b/>
          <w:sz w:val="24"/>
          <w:szCs w:val="24"/>
        </w:rPr>
      </w:pPr>
      <w:proofErr w:type="gramStart"/>
      <w:r w:rsidRPr="00A62C95">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3</w:t>
      </w:r>
      <w:r w:rsidR="00A254E3">
        <w:rPr>
          <w:rFonts w:ascii="Times New Roman" w:eastAsia="Times New Roman" w:hAnsi="Times New Roman" w:cs="Times New Roman"/>
          <w:b/>
          <w:sz w:val="24"/>
          <w:szCs w:val="24"/>
        </w:rPr>
        <w:t>.</w:t>
      </w:r>
      <w:proofErr w:type="gramEnd"/>
      <w:r w:rsidR="00A254E3">
        <w:rPr>
          <w:rFonts w:ascii="Times New Roman" w:eastAsia="Times New Roman" w:hAnsi="Times New Roman" w:cs="Times New Roman"/>
          <w:b/>
          <w:sz w:val="24"/>
          <w:szCs w:val="24"/>
        </w:rPr>
        <w:t xml:space="preserve"> General</w:t>
      </w:r>
      <w:r w:rsidR="005D7681">
        <w:rPr>
          <w:rFonts w:ascii="Times New Roman" w:eastAsia="Times New Roman" w:hAnsi="Times New Roman" w:cs="Times New Roman"/>
          <w:b/>
          <w:sz w:val="24"/>
          <w:szCs w:val="24"/>
        </w:rPr>
        <w:t xml:space="preserve"> </w:t>
      </w:r>
      <w:r w:rsidR="001378DB" w:rsidRPr="001378DB">
        <w:rPr>
          <w:rFonts w:ascii="Times New Roman" w:eastAsia="Times New Roman" w:hAnsi="Times New Roman" w:cs="Times New Roman"/>
          <w:b/>
          <w:sz w:val="24"/>
          <w:szCs w:val="24"/>
        </w:rPr>
        <w:t>statistics</w:t>
      </w:r>
    </w:p>
    <w:tbl>
      <w:tblPr>
        <w:tblStyle w:val="TableGrid"/>
        <w:tblW w:w="0" w:type="auto"/>
        <w:tblInd w:w="108" w:type="dxa"/>
        <w:tblLook w:val="04A0" w:firstRow="1" w:lastRow="0" w:firstColumn="1" w:lastColumn="0" w:noHBand="0" w:noVBand="1"/>
      </w:tblPr>
      <w:tblGrid>
        <w:gridCol w:w="3150"/>
        <w:gridCol w:w="1170"/>
        <w:gridCol w:w="1260"/>
        <w:gridCol w:w="1260"/>
        <w:gridCol w:w="1260"/>
        <w:gridCol w:w="1283"/>
      </w:tblGrid>
      <w:tr w:rsidR="001378DB" w:rsidRPr="00BD6FBA" w:rsidTr="00E40F0E">
        <w:tc>
          <w:tcPr>
            <w:tcW w:w="3150" w:type="dxa"/>
          </w:tcPr>
          <w:p w:rsidR="001378DB" w:rsidRPr="00162EE3" w:rsidRDefault="00371749" w:rsidP="00720BF2">
            <w:pPr>
              <w:spacing w:line="360" w:lineRule="auto"/>
              <w:jc w:val="both"/>
              <w:rPr>
                <w:rFonts w:ascii="Times New Roman" w:eastAsia="Times New Roman" w:hAnsi="Times New Roman" w:cs="Times New Roman"/>
                <w:b/>
                <w:sz w:val="24"/>
                <w:szCs w:val="24"/>
              </w:rPr>
            </w:pPr>
            <w:r w:rsidRPr="00162EE3">
              <w:rPr>
                <w:rFonts w:ascii="Times New Roman" w:eastAsia="Times New Roman" w:hAnsi="Times New Roman" w:cs="Times New Roman"/>
                <w:b/>
                <w:sz w:val="24"/>
                <w:szCs w:val="24"/>
              </w:rPr>
              <w:t>Variable</w:t>
            </w:r>
          </w:p>
        </w:tc>
        <w:tc>
          <w:tcPr>
            <w:tcW w:w="1170" w:type="dxa"/>
          </w:tcPr>
          <w:p w:rsidR="001378DB" w:rsidRPr="00162EE3" w:rsidRDefault="00371749" w:rsidP="00720BF2">
            <w:pPr>
              <w:spacing w:line="360" w:lineRule="auto"/>
              <w:jc w:val="both"/>
              <w:rPr>
                <w:rFonts w:ascii="Times New Roman" w:eastAsia="Times New Roman" w:hAnsi="Times New Roman" w:cs="Times New Roman"/>
                <w:b/>
                <w:sz w:val="24"/>
                <w:szCs w:val="24"/>
              </w:rPr>
            </w:pPr>
            <w:r w:rsidRPr="00162EE3">
              <w:rPr>
                <w:rFonts w:ascii="Times New Roman" w:eastAsia="Times New Roman" w:hAnsi="Times New Roman" w:cs="Times New Roman"/>
                <w:b/>
                <w:sz w:val="24"/>
                <w:szCs w:val="24"/>
              </w:rPr>
              <w:t>Obs</w:t>
            </w:r>
          </w:p>
        </w:tc>
        <w:tc>
          <w:tcPr>
            <w:tcW w:w="1260" w:type="dxa"/>
          </w:tcPr>
          <w:p w:rsidR="001378DB" w:rsidRPr="002D4137" w:rsidRDefault="00371749" w:rsidP="00720BF2">
            <w:pPr>
              <w:spacing w:line="360" w:lineRule="auto"/>
              <w:jc w:val="both"/>
              <w:rPr>
                <w:rFonts w:ascii="Times New Roman" w:eastAsia="Times New Roman" w:hAnsi="Times New Roman" w:cs="Times New Roman"/>
                <w:b/>
                <w:sz w:val="24"/>
                <w:szCs w:val="24"/>
              </w:rPr>
            </w:pPr>
            <w:r w:rsidRPr="002D4137">
              <w:rPr>
                <w:rFonts w:ascii="Times New Roman" w:eastAsia="Times New Roman" w:hAnsi="Times New Roman" w:cs="Times New Roman"/>
                <w:b/>
                <w:sz w:val="24"/>
                <w:szCs w:val="24"/>
              </w:rPr>
              <w:t>Mean</w:t>
            </w:r>
          </w:p>
        </w:tc>
        <w:tc>
          <w:tcPr>
            <w:tcW w:w="1260" w:type="dxa"/>
          </w:tcPr>
          <w:p w:rsidR="001378DB" w:rsidRPr="002D4137" w:rsidRDefault="00371749" w:rsidP="00720BF2">
            <w:pPr>
              <w:spacing w:line="360" w:lineRule="auto"/>
              <w:jc w:val="both"/>
              <w:rPr>
                <w:rFonts w:ascii="Times New Roman" w:eastAsia="Times New Roman" w:hAnsi="Times New Roman" w:cs="Times New Roman"/>
                <w:b/>
                <w:sz w:val="24"/>
                <w:szCs w:val="24"/>
              </w:rPr>
            </w:pPr>
            <w:r w:rsidRPr="002D4137">
              <w:rPr>
                <w:rFonts w:ascii="Times New Roman" w:eastAsia="Times New Roman" w:hAnsi="Times New Roman" w:cs="Times New Roman"/>
                <w:b/>
                <w:sz w:val="24"/>
                <w:szCs w:val="24"/>
              </w:rPr>
              <w:t>Std. Dev.</w:t>
            </w:r>
          </w:p>
        </w:tc>
        <w:tc>
          <w:tcPr>
            <w:tcW w:w="1260" w:type="dxa"/>
          </w:tcPr>
          <w:p w:rsidR="001378DB" w:rsidRPr="002D4137" w:rsidRDefault="00371749" w:rsidP="00720BF2">
            <w:pPr>
              <w:spacing w:line="360" w:lineRule="auto"/>
              <w:jc w:val="both"/>
              <w:rPr>
                <w:rFonts w:ascii="Times New Roman" w:eastAsia="Times New Roman" w:hAnsi="Times New Roman" w:cs="Times New Roman"/>
                <w:b/>
                <w:sz w:val="24"/>
                <w:szCs w:val="24"/>
              </w:rPr>
            </w:pPr>
            <w:r w:rsidRPr="002D4137">
              <w:rPr>
                <w:rFonts w:ascii="Times New Roman" w:eastAsia="Times New Roman" w:hAnsi="Times New Roman" w:cs="Times New Roman"/>
                <w:b/>
                <w:sz w:val="24"/>
                <w:szCs w:val="24"/>
              </w:rPr>
              <w:t>Minimum</w:t>
            </w:r>
          </w:p>
        </w:tc>
        <w:tc>
          <w:tcPr>
            <w:tcW w:w="1283" w:type="dxa"/>
          </w:tcPr>
          <w:p w:rsidR="001378DB" w:rsidRPr="002D4137" w:rsidRDefault="00371749" w:rsidP="00720BF2">
            <w:pPr>
              <w:spacing w:line="360" w:lineRule="auto"/>
              <w:jc w:val="both"/>
              <w:rPr>
                <w:rFonts w:ascii="Times New Roman" w:eastAsia="Times New Roman" w:hAnsi="Times New Roman" w:cs="Times New Roman"/>
                <w:b/>
                <w:sz w:val="24"/>
                <w:szCs w:val="24"/>
              </w:rPr>
            </w:pPr>
            <w:r w:rsidRPr="002D4137">
              <w:rPr>
                <w:rFonts w:ascii="Times New Roman" w:eastAsia="Times New Roman" w:hAnsi="Times New Roman" w:cs="Times New Roman"/>
                <w:b/>
                <w:sz w:val="24"/>
                <w:szCs w:val="24"/>
              </w:rPr>
              <w:t>Maximum</w:t>
            </w:r>
          </w:p>
        </w:tc>
      </w:tr>
      <w:tr w:rsidR="001378DB" w:rsidRPr="00BD6FBA" w:rsidTr="00E40F0E">
        <w:tc>
          <w:tcPr>
            <w:tcW w:w="3150" w:type="dxa"/>
          </w:tcPr>
          <w:p w:rsidR="001378DB" w:rsidRPr="00162EE3" w:rsidRDefault="00371749" w:rsidP="00720BF2">
            <w:pPr>
              <w:spacing w:line="360" w:lineRule="auto"/>
              <w:jc w:val="both"/>
              <w:rPr>
                <w:rFonts w:ascii="Times New Roman" w:eastAsia="Times New Roman" w:hAnsi="Times New Roman" w:cs="Times New Roman"/>
                <w:sz w:val="24"/>
                <w:szCs w:val="24"/>
              </w:rPr>
            </w:pPr>
            <w:r w:rsidRPr="00162EE3">
              <w:rPr>
                <w:rFonts w:ascii="Times New Roman" w:eastAsia="Times New Roman" w:hAnsi="Times New Roman" w:cs="Times New Roman"/>
                <w:sz w:val="24"/>
                <w:szCs w:val="24"/>
              </w:rPr>
              <w:t>Consumer Price Index (CPI)</w:t>
            </w:r>
          </w:p>
        </w:tc>
        <w:tc>
          <w:tcPr>
            <w:tcW w:w="1170" w:type="dxa"/>
          </w:tcPr>
          <w:p w:rsidR="001378DB" w:rsidRPr="00162EE3" w:rsidRDefault="003325B1" w:rsidP="00720BF2">
            <w:pPr>
              <w:spacing w:line="360" w:lineRule="auto"/>
              <w:jc w:val="both"/>
              <w:rPr>
                <w:rFonts w:ascii="Times New Roman" w:eastAsia="Times New Roman" w:hAnsi="Times New Roman" w:cs="Times New Roman"/>
                <w:sz w:val="24"/>
                <w:szCs w:val="24"/>
              </w:rPr>
            </w:pPr>
            <w:r w:rsidRPr="00162EE3">
              <w:rPr>
                <w:rFonts w:ascii="Times New Roman" w:eastAsia="Times New Roman" w:hAnsi="Times New Roman" w:cs="Times New Roman"/>
                <w:sz w:val="24"/>
                <w:szCs w:val="24"/>
              </w:rPr>
              <w:t>6</w:t>
            </w:r>
            <w:r w:rsidR="00162EE3" w:rsidRPr="00162EE3">
              <w:rPr>
                <w:rFonts w:ascii="Times New Roman" w:eastAsia="Times New Roman" w:hAnsi="Times New Roman" w:cs="Times New Roman"/>
                <w:sz w:val="24"/>
                <w:szCs w:val="24"/>
              </w:rPr>
              <w:t>0</w:t>
            </w:r>
          </w:p>
        </w:tc>
        <w:tc>
          <w:tcPr>
            <w:tcW w:w="1260" w:type="dxa"/>
          </w:tcPr>
          <w:p w:rsidR="001378DB" w:rsidRPr="002D4137" w:rsidRDefault="002D4137" w:rsidP="00720BF2">
            <w:pPr>
              <w:spacing w:line="360" w:lineRule="auto"/>
              <w:jc w:val="both"/>
              <w:rPr>
                <w:rFonts w:ascii="Times New Roman" w:eastAsia="Times New Roman" w:hAnsi="Times New Roman" w:cs="Times New Roman"/>
                <w:sz w:val="24"/>
                <w:szCs w:val="24"/>
              </w:rPr>
            </w:pPr>
            <w:r w:rsidRPr="002D4137">
              <w:rPr>
                <w:rFonts w:ascii="Times New Roman" w:eastAsia="Times New Roman" w:hAnsi="Times New Roman" w:cs="Times New Roman"/>
                <w:sz w:val="24"/>
                <w:szCs w:val="24"/>
              </w:rPr>
              <w:t>4145.429</w:t>
            </w:r>
          </w:p>
        </w:tc>
        <w:tc>
          <w:tcPr>
            <w:tcW w:w="1260" w:type="dxa"/>
          </w:tcPr>
          <w:p w:rsidR="001378DB" w:rsidRPr="002D4137" w:rsidRDefault="002D4137" w:rsidP="00720BF2">
            <w:pPr>
              <w:spacing w:line="360" w:lineRule="auto"/>
              <w:jc w:val="both"/>
              <w:rPr>
                <w:rFonts w:ascii="Times New Roman" w:eastAsia="Times New Roman" w:hAnsi="Times New Roman" w:cs="Times New Roman"/>
                <w:sz w:val="24"/>
                <w:szCs w:val="24"/>
              </w:rPr>
            </w:pPr>
            <w:r w:rsidRPr="002D4137">
              <w:rPr>
                <w:rFonts w:ascii="Times New Roman" w:eastAsia="Times New Roman" w:hAnsi="Times New Roman" w:cs="Times New Roman"/>
                <w:sz w:val="24"/>
                <w:szCs w:val="24"/>
              </w:rPr>
              <w:t>7089.687</w:t>
            </w:r>
          </w:p>
        </w:tc>
        <w:tc>
          <w:tcPr>
            <w:tcW w:w="1260" w:type="dxa"/>
          </w:tcPr>
          <w:p w:rsidR="00864AFF" w:rsidRPr="002D4137" w:rsidRDefault="00864AFF" w:rsidP="00720BF2">
            <w:pPr>
              <w:spacing w:line="360" w:lineRule="auto"/>
              <w:jc w:val="both"/>
              <w:rPr>
                <w:rFonts w:ascii="Times New Roman" w:eastAsia="Times New Roman" w:hAnsi="Times New Roman" w:cs="Times New Roman"/>
                <w:sz w:val="24"/>
                <w:szCs w:val="24"/>
              </w:rPr>
            </w:pPr>
            <w:r w:rsidRPr="002D4137">
              <w:rPr>
                <w:rFonts w:ascii="Times New Roman" w:eastAsia="Times New Roman" w:hAnsi="Times New Roman" w:cs="Times New Roman"/>
                <w:sz w:val="24"/>
                <w:szCs w:val="24"/>
              </w:rPr>
              <w:t>107</w:t>
            </w:r>
          </w:p>
        </w:tc>
        <w:tc>
          <w:tcPr>
            <w:tcW w:w="1283" w:type="dxa"/>
          </w:tcPr>
          <w:p w:rsidR="001378DB" w:rsidRPr="002D4137" w:rsidRDefault="002D4137" w:rsidP="00720BF2">
            <w:pPr>
              <w:spacing w:line="360" w:lineRule="auto"/>
              <w:jc w:val="both"/>
              <w:rPr>
                <w:rFonts w:ascii="Times New Roman" w:eastAsia="Times New Roman" w:hAnsi="Times New Roman" w:cs="Times New Roman"/>
                <w:sz w:val="24"/>
                <w:szCs w:val="24"/>
              </w:rPr>
            </w:pPr>
            <w:r w:rsidRPr="002D4137">
              <w:rPr>
                <w:rFonts w:ascii="Times New Roman" w:eastAsia="Times New Roman" w:hAnsi="Times New Roman" w:cs="Times New Roman"/>
                <w:sz w:val="24"/>
                <w:szCs w:val="24"/>
              </w:rPr>
              <w:t>18863.10</w:t>
            </w:r>
          </w:p>
        </w:tc>
      </w:tr>
      <w:tr w:rsidR="00807370" w:rsidRPr="00BD6FBA" w:rsidTr="00E40F0E">
        <w:tc>
          <w:tcPr>
            <w:tcW w:w="3150" w:type="dxa"/>
          </w:tcPr>
          <w:p w:rsidR="00807370" w:rsidRPr="00162EE3" w:rsidRDefault="00FA5F7E"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Oil P</w:t>
            </w:r>
            <w:r w:rsidR="00807370" w:rsidRPr="00162EE3">
              <w:rPr>
                <w:rFonts w:ascii="Times New Roman" w:eastAsia="Times New Roman" w:hAnsi="Times New Roman" w:cs="Times New Roman"/>
                <w:sz w:val="24"/>
                <w:szCs w:val="24"/>
              </w:rPr>
              <w:t>rices</w:t>
            </w:r>
          </w:p>
        </w:tc>
        <w:tc>
          <w:tcPr>
            <w:tcW w:w="1170" w:type="dxa"/>
          </w:tcPr>
          <w:p w:rsidR="00807370" w:rsidRPr="00162EE3" w:rsidRDefault="00807370"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60" w:type="dxa"/>
          </w:tcPr>
          <w:p w:rsidR="00807370" w:rsidRPr="00C82987" w:rsidRDefault="00807370" w:rsidP="00124274">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45.73</w:t>
            </w:r>
          </w:p>
        </w:tc>
        <w:tc>
          <w:tcPr>
            <w:tcW w:w="1260" w:type="dxa"/>
          </w:tcPr>
          <w:p w:rsidR="00807370" w:rsidRPr="00C82987" w:rsidRDefault="00807370"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14.073</w:t>
            </w:r>
          </w:p>
        </w:tc>
        <w:tc>
          <w:tcPr>
            <w:tcW w:w="1260" w:type="dxa"/>
          </w:tcPr>
          <w:p w:rsidR="00807370" w:rsidRPr="00C82987" w:rsidRDefault="00807370" w:rsidP="00124274">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17.66</w:t>
            </w:r>
          </w:p>
        </w:tc>
        <w:tc>
          <w:tcPr>
            <w:tcW w:w="1283" w:type="dxa"/>
          </w:tcPr>
          <w:p w:rsidR="00807370" w:rsidRPr="00C82987" w:rsidRDefault="00807370" w:rsidP="00124274">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66.91</w:t>
            </w:r>
          </w:p>
        </w:tc>
      </w:tr>
      <w:tr w:rsidR="00807370" w:rsidRPr="00BD6FBA" w:rsidTr="00E40F0E">
        <w:tc>
          <w:tcPr>
            <w:tcW w:w="3150" w:type="dxa"/>
          </w:tcPr>
          <w:p w:rsidR="00807370" w:rsidRPr="00162EE3" w:rsidRDefault="00FA5F7E"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Covid C</w:t>
            </w:r>
            <w:r w:rsidR="00807370" w:rsidRPr="00162EE3">
              <w:rPr>
                <w:rFonts w:ascii="Times New Roman" w:eastAsia="Times New Roman" w:hAnsi="Times New Roman" w:cs="Times New Roman"/>
                <w:sz w:val="24"/>
                <w:szCs w:val="24"/>
              </w:rPr>
              <w:t>ases</w:t>
            </w:r>
          </w:p>
        </w:tc>
        <w:tc>
          <w:tcPr>
            <w:tcW w:w="1170" w:type="dxa"/>
          </w:tcPr>
          <w:p w:rsidR="00807370" w:rsidRPr="00162EE3" w:rsidRDefault="00807370" w:rsidP="00124274">
            <w:pPr>
              <w:spacing w:line="360" w:lineRule="auto"/>
              <w:jc w:val="both"/>
              <w:rPr>
                <w:rFonts w:ascii="Times New Roman" w:eastAsia="Times New Roman" w:hAnsi="Times New Roman" w:cs="Times New Roman"/>
                <w:sz w:val="24"/>
                <w:szCs w:val="24"/>
              </w:rPr>
            </w:pPr>
            <w:r w:rsidRPr="00162EE3">
              <w:rPr>
                <w:rFonts w:ascii="Times New Roman" w:eastAsia="Times New Roman" w:hAnsi="Times New Roman" w:cs="Times New Roman"/>
                <w:sz w:val="24"/>
                <w:szCs w:val="24"/>
              </w:rPr>
              <w:t>60</w:t>
            </w:r>
          </w:p>
        </w:tc>
        <w:tc>
          <w:tcPr>
            <w:tcW w:w="1260" w:type="dxa"/>
          </w:tcPr>
          <w:p w:rsidR="00807370" w:rsidRPr="00C82987" w:rsidRDefault="00807370" w:rsidP="00124274">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4262.267</w:t>
            </w:r>
          </w:p>
        </w:tc>
        <w:tc>
          <w:tcPr>
            <w:tcW w:w="1260" w:type="dxa"/>
          </w:tcPr>
          <w:p w:rsidR="00807370" w:rsidRPr="00C82987" w:rsidRDefault="00807370" w:rsidP="00124274">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6785.745</w:t>
            </w:r>
          </w:p>
        </w:tc>
        <w:tc>
          <w:tcPr>
            <w:tcW w:w="1260" w:type="dxa"/>
          </w:tcPr>
          <w:p w:rsidR="00807370" w:rsidRPr="00C82987" w:rsidRDefault="00807370" w:rsidP="00124274">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0</w:t>
            </w:r>
          </w:p>
        </w:tc>
        <w:tc>
          <w:tcPr>
            <w:tcW w:w="1283" w:type="dxa"/>
          </w:tcPr>
          <w:p w:rsidR="00807370" w:rsidRPr="00C82987" w:rsidRDefault="00807370" w:rsidP="00124274">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28426</w:t>
            </w:r>
          </w:p>
        </w:tc>
      </w:tr>
      <w:tr w:rsidR="00807370" w:rsidRPr="00BD6FBA" w:rsidTr="00E40F0E">
        <w:tc>
          <w:tcPr>
            <w:tcW w:w="3150" w:type="dxa"/>
          </w:tcPr>
          <w:p w:rsidR="00807370" w:rsidRPr="00162EE3" w:rsidRDefault="00FA5F7E" w:rsidP="00EB21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Trade B</w:t>
            </w:r>
            <w:r w:rsidR="00807370" w:rsidRPr="00162EE3">
              <w:rPr>
                <w:rFonts w:ascii="Times New Roman" w:eastAsia="Times New Roman" w:hAnsi="Times New Roman" w:cs="Times New Roman"/>
                <w:sz w:val="24"/>
                <w:szCs w:val="24"/>
              </w:rPr>
              <w:t>alance</w:t>
            </w:r>
          </w:p>
        </w:tc>
        <w:tc>
          <w:tcPr>
            <w:tcW w:w="1170" w:type="dxa"/>
          </w:tcPr>
          <w:p w:rsidR="00807370" w:rsidRPr="00162EE3" w:rsidRDefault="00807370" w:rsidP="00EB2153">
            <w:pPr>
              <w:spacing w:line="360" w:lineRule="auto"/>
              <w:jc w:val="both"/>
              <w:rPr>
                <w:rFonts w:ascii="Times New Roman" w:eastAsia="Times New Roman" w:hAnsi="Times New Roman" w:cs="Times New Roman"/>
                <w:sz w:val="24"/>
                <w:szCs w:val="24"/>
              </w:rPr>
            </w:pPr>
            <w:r w:rsidRPr="00162EE3">
              <w:rPr>
                <w:rFonts w:ascii="Times New Roman" w:eastAsia="Times New Roman" w:hAnsi="Times New Roman" w:cs="Times New Roman"/>
                <w:sz w:val="24"/>
                <w:szCs w:val="24"/>
              </w:rPr>
              <w:t>60</w:t>
            </w:r>
          </w:p>
        </w:tc>
        <w:tc>
          <w:tcPr>
            <w:tcW w:w="1260" w:type="dxa"/>
          </w:tcPr>
          <w:p w:rsidR="00807370" w:rsidRPr="00282F94" w:rsidRDefault="00F65186" w:rsidP="00EB21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437.079</w:t>
            </w:r>
          </w:p>
        </w:tc>
        <w:tc>
          <w:tcPr>
            <w:tcW w:w="1260" w:type="dxa"/>
          </w:tcPr>
          <w:p w:rsidR="00807370" w:rsidRPr="00282F94" w:rsidRDefault="00F65186" w:rsidP="00EB21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274.954</w:t>
            </w:r>
          </w:p>
        </w:tc>
        <w:tc>
          <w:tcPr>
            <w:tcW w:w="1260" w:type="dxa"/>
          </w:tcPr>
          <w:p w:rsidR="00807370" w:rsidRPr="00282F94" w:rsidRDefault="00F65186" w:rsidP="00EB21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r w:rsidR="00807370" w:rsidRPr="00282F94">
              <w:rPr>
                <w:rFonts w:ascii="Times New Roman" w:eastAsia="Times New Roman" w:hAnsi="Times New Roman" w:cs="Times New Roman"/>
                <w:sz w:val="24"/>
                <w:szCs w:val="24"/>
              </w:rPr>
              <w:t>6</w:t>
            </w:r>
          </w:p>
        </w:tc>
        <w:tc>
          <w:tcPr>
            <w:tcW w:w="1283" w:type="dxa"/>
          </w:tcPr>
          <w:p w:rsidR="00807370" w:rsidRPr="00282F94" w:rsidRDefault="00C847BA" w:rsidP="00EB21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1083.11</w:t>
            </w:r>
          </w:p>
        </w:tc>
      </w:tr>
      <w:tr w:rsidR="00807370" w:rsidRPr="00BD6FBA" w:rsidTr="00E40F0E">
        <w:tc>
          <w:tcPr>
            <w:tcW w:w="3150" w:type="dxa"/>
          </w:tcPr>
          <w:p w:rsidR="00807370" w:rsidRPr="00162EE3" w:rsidRDefault="00FA5F7E"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Broad M</w:t>
            </w:r>
            <w:r w:rsidR="00807370" w:rsidRPr="00162EE3">
              <w:rPr>
                <w:rFonts w:ascii="Times New Roman" w:eastAsia="Times New Roman" w:hAnsi="Times New Roman" w:cs="Times New Roman"/>
                <w:sz w:val="24"/>
                <w:szCs w:val="24"/>
              </w:rPr>
              <w:t>oney (M2)</w:t>
            </w:r>
          </w:p>
        </w:tc>
        <w:tc>
          <w:tcPr>
            <w:tcW w:w="1170" w:type="dxa"/>
          </w:tcPr>
          <w:p w:rsidR="00807370" w:rsidRPr="0049463D" w:rsidRDefault="00807370" w:rsidP="00124274">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60</w:t>
            </w:r>
          </w:p>
        </w:tc>
        <w:tc>
          <w:tcPr>
            <w:tcW w:w="1260" w:type="dxa"/>
          </w:tcPr>
          <w:p w:rsidR="00807370" w:rsidRPr="0049463D" w:rsidRDefault="00807370" w:rsidP="00124274">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9642.654</w:t>
            </w:r>
          </w:p>
        </w:tc>
        <w:tc>
          <w:tcPr>
            <w:tcW w:w="1260" w:type="dxa"/>
          </w:tcPr>
          <w:p w:rsidR="00807370" w:rsidRPr="0049463D" w:rsidRDefault="00807370" w:rsidP="00124274">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11789.57</w:t>
            </w:r>
            <w:r>
              <w:rPr>
                <w:rFonts w:ascii="Times New Roman" w:eastAsia="Times New Roman" w:hAnsi="Times New Roman" w:cs="Times New Roman"/>
                <w:sz w:val="24"/>
                <w:szCs w:val="24"/>
              </w:rPr>
              <w:t>0</w:t>
            </w:r>
          </w:p>
        </w:tc>
        <w:tc>
          <w:tcPr>
            <w:tcW w:w="1260" w:type="dxa"/>
          </w:tcPr>
          <w:p w:rsidR="00807370" w:rsidRPr="0049463D" w:rsidRDefault="00807370" w:rsidP="00124274">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591.14</w:t>
            </w:r>
          </w:p>
        </w:tc>
        <w:tc>
          <w:tcPr>
            <w:tcW w:w="1283" w:type="dxa"/>
          </w:tcPr>
          <w:p w:rsidR="00807370" w:rsidRPr="0049463D" w:rsidRDefault="00807370" w:rsidP="00124274">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30663.40</w:t>
            </w:r>
          </w:p>
        </w:tc>
      </w:tr>
      <w:tr w:rsidR="00807370" w:rsidRPr="00BD6FBA" w:rsidTr="00E40F0E">
        <w:tc>
          <w:tcPr>
            <w:tcW w:w="3150" w:type="dxa"/>
          </w:tcPr>
          <w:p w:rsidR="00807370" w:rsidRPr="00162EE3" w:rsidRDefault="00FA5F7E" w:rsidP="00720BF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R</w:t>
            </w:r>
            <w:r w:rsidR="00807370" w:rsidRPr="00162EE3">
              <w:rPr>
                <w:rFonts w:ascii="Times New Roman" w:eastAsia="Times New Roman" w:hAnsi="Times New Roman" w:cs="Times New Roman"/>
                <w:sz w:val="24"/>
                <w:szCs w:val="24"/>
              </w:rPr>
              <w:t>ate</w:t>
            </w:r>
          </w:p>
        </w:tc>
        <w:tc>
          <w:tcPr>
            <w:tcW w:w="1170" w:type="dxa"/>
          </w:tcPr>
          <w:p w:rsidR="00807370" w:rsidRPr="00162EE3" w:rsidRDefault="00807370" w:rsidP="00720BF2">
            <w:pPr>
              <w:spacing w:line="360" w:lineRule="auto"/>
              <w:jc w:val="both"/>
              <w:rPr>
                <w:rFonts w:ascii="Times New Roman" w:eastAsia="Times New Roman" w:hAnsi="Times New Roman" w:cs="Times New Roman"/>
                <w:sz w:val="24"/>
                <w:szCs w:val="24"/>
              </w:rPr>
            </w:pPr>
            <w:r w:rsidRPr="00162EE3">
              <w:rPr>
                <w:rFonts w:ascii="Times New Roman" w:eastAsia="Times New Roman" w:hAnsi="Times New Roman" w:cs="Times New Roman"/>
                <w:sz w:val="24"/>
                <w:szCs w:val="24"/>
              </w:rPr>
              <w:t>60</w:t>
            </w:r>
          </w:p>
        </w:tc>
        <w:tc>
          <w:tcPr>
            <w:tcW w:w="1260" w:type="dxa"/>
          </w:tcPr>
          <w:p w:rsidR="00807370" w:rsidRPr="00C82987" w:rsidRDefault="00807370" w:rsidP="00720BF2">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1236.022</w:t>
            </w:r>
          </w:p>
        </w:tc>
        <w:tc>
          <w:tcPr>
            <w:tcW w:w="1260" w:type="dxa"/>
          </w:tcPr>
          <w:p w:rsidR="00807370" w:rsidRPr="00C82987" w:rsidRDefault="00807370" w:rsidP="00720BF2">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1472.391</w:t>
            </w:r>
          </w:p>
        </w:tc>
        <w:tc>
          <w:tcPr>
            <w:tcW w:w="1260" w:type="dxa"/>
          </w:tcPr>
          <w:p w:rsidR="00807370" w:rsidRPr="00C82987" w:rsidRDefault="00807370" w:rsidP="00720BF2">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103.74</w:t>
            </w:r>
          </w:p>
        </w:tc>
        <w:tc>
          <w:tcPr>
            <w:tcW w:w="1283" w:type="dxa"/>
          </w:tcPr>
          <w:p w:rsidR="00807370" w:rsidRPr="00C82987" w:rsidRDefault="00807370" w:rsidP="00720BF2">
            <w:pPr>
              <w:spacing w:line="360" w:lineRule="auto"/>
              <w:jc w:val="both"/>
              <w:rPr>
                <w:rFonts w:ascii="Times New Roman" w:eastAsia="Times New Roman" w:hAnsi="Times New Roman" w:cs="Times New Roman"/>
                <w:sz w:val="24"/>
                <w:szCs w:val="24"/>
              </w:rPr>
            </w:pPr>
            <w:r w:rsidRPr="00C82987">
              <w:rPr>
                <w:rFonts w:ascii="Times New Roman" w:eastAsia="Times New Roman" w:hAnsi="Times New Roman" w:cs="Times New Roman"/>
                <w:sz w:val="24"/>
                <w:szCs w:val="24"/>
              </w:rPr>
              <w:t>3791.46</w:t>
            </w:r>
          </w:p>
        </w:tc>
      </w:tr>
      <w:tr w:rsidR="00807370" w:rsidRPr="00BD6FBA" w:rsidTr="00E40F0E">
        <w:tc>
          <w:tcPr>
            <w:tcW w:w="3150" w:type="dxa"/>
          </w:tcPr>
          <w:p w:rsidR="00807370" w:rsidRPr="00162EE3" w:rsidRDefault="00FA5F7E" w:rsidP="00720BF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Lending R</w:t>
            </w:r>
            <w:r w:rsidR="00807370" w:rsidRPr="00162EE3">
              <w:rPr>
                <w:rFonts w:ascii="Times New Roman" w:eastAsia="Times New Roman" w:hAnsi="Times New Roman" w:cs="Times New Roman"/>
                <w:sz w:val="24"/>
                <w:szCs w:val="24"/>
              </w:rPr>
              <w:t>ate</w:t>
            </w:r>
          </w:p>
        </w:tc>
        <w:tc>
          <w:tcPr>
            <w:tcW w:w="1170" w:type="dxa"/>
          </w:tcPr>
          <w:p w:rsidR="00807370" w:rsidRPr="0049463D" w:rsidRDefault="00807370" w:rsidP="00720BF2">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60</w:t>
            </w:r>
          </w:p>
        </w:tc>
        <w:tc>
          <w:tcPr>
            <w:tcW w:w="1260" w:type="dxa"/>
          </w:tcPr>
          <w:p w:rsidR="00807370" w:rsidRPr="0049463D" w:rsidRDefault="00807370" w:rsidP="00720BF2">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15.599</w:t>
            </w:r>
          </w:p>
        </w:tc>
        <w:tc>
          <w:tcPr>
            <w:tcW w:w="1260" w:type="dxa"/>
          </w:tcPr>
          <w:p w:rsidR="00807370" w:rsidRPr="0049463D" w:rsidRDefault="00807370" w:rsidP="00720BF2">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2.636</w:t>
            </w:r>
          </w:p>
        </w:tc>
        <w:tc>
          <w:tcPr>
            <w:tcW w:w="1260" w:type="dxa"/>
          </w:tcPr>
          <w:p w:rsidR="00807370" w:rsidRPr="0049463D" w:rsidRDefault="00807370" w:rsidP="00720BF2">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11.75</w:t>
            </w:r>
          </w:p>
        </w:tc>
        <w:tc>
          <w:tcPr>
            <w:tcW w:w="1283" w:type="dxa"/>
          </w:tcPr>
          <w:p w:rsidR="00807370" w:rsidRPr="0049463D" w:rsidRDefault="00807370" w:rsidP="00720BF2">
            <w:pPr>
              <w:spacing w:line="360" w:lineRule="auto"/>
              <w:jc w:val="both"/>
              <w:rPr>
                <w:rFonts w:ascii="Times New Roman" w:eastAsia="Times New Roman" w:hAnsi="Times New Roman" w:cs="Times New Roman"/>
                <w:sz w:val="24"/>
                <w:szCs w:val="24"/>
              </w:rPr>
            </w:pPr>
            <w:r w:rsidRPr="0049463D">
              <w:rPr>
                <w:rFonts w:ascii="Times New Roman" w:eastAsia="Times New Roman" w:hAnsi="Times New Roman" w:cs="Times New Roman"/>
                <w:sz w:val="24"/>
                <w:szCs w:val="24"/>
              </w:rPr>
              <w:t>20.93</w:t>
            </w:r>
          </w:p>
        </w:tc>
      </w:tr>
    </w:tbl>
    <w:p w:rsidR="00714809" w:rsidRPr="00E6399F" w:rsidRDefault="001378DB" w:rsidP="00720BF2">
      <w:pPr>
        <w:spacing w:after="0" w:line="360" w:lineRule="auto"/>
        <w:jc w:val="both"/>
        <w:rPr>
          <w:rFonts w:ascii="Times New Roman" w:eastAsia="Times New Roman" w:hAnsi="Times New Roman" w:cs="Times New Roman"/>
          <w:sz w:val="24"/>
          <w:szCs w:val="24"/>
        </w:rPr>
      </w:pPr>
      <w:r w:rsidRPr="00E6399F">
        <w:rPr>
          <w:rFonts w:ascii="Times New Roman" w:eastAsia="Times New Roman" w:hAnsi="Times New Roman" w:cs="Times New Roman"/>
          <w:b/>
          <w:sz w:val="24"/>
          <w:szCs w:val="24"/>
        </w:rPr>
        <w:t>Source:</w:t>
      </w:r>
      <w:r w:rsidR="00696772">
        <w:rPr>
          <w:rFonts w:ascii="Times New Roman" w:eastAsia="Times New Roman" w:hAnsi="Times New Roman" w:cs="Times New Roman"/>
          <w:sz w:val="24"/>
          <w:szCs w:val="24"/>
        </w:rPr>
        <w:t xml:space="preserve"> Author’s computation</w:t>
      </w:r>
      <w:r w:rsidRPr="00E6399F">
        <w:rPr>
          <w:rFonts w:ascii="Times New Roman" w:eastAsia="Times New Roman" w:hAnsi="Times New Roman" w:cs="Times New Roman"/>
          <w:sz w:val="24"/>
          <w:szCs w:val="24"/>
        </w:rPr>
        <w:t xml:space="preserve"> from stata</w:t>
      </w:r>
    </w:p>
    <w:p w:rsidR="0088009B" w:rsidRPr="00E6399F" w:rsidRDefault="00C23513" w:rsidP="00720BF2">
      <w:pPr>
        <w:spacing w:after="0" w:line="360" w:lineRule="auto"/>
        <w:jc w:val="both"/>
        <w:rPr>
          <w:rFonts w:ascii="Times New Roman" w:eastAsia="Times New Roman" w:hAnsi="Times New Roman" w:cs="Times New Roman"/>
          <w:i/>
        </w:rPr>
      </w:pPr>
      <w:r w:rsidRPr="00E6399F">
        <w:rPr>
          <w:rFonts w:ascii="Times New Roman" w:eastAsia="Times New Roman" w:hAnsi="Times New Roman" w:cs="Times New Roman"/>
          <w:b/>
        </w:rPr>
        <w:t>Notes:</w:t>
      </w:r>
      <w:r w:rsidRPr="00E6399F">
        <w:rPr>
          <w:rFonts w:ascii="Times New Roman" w:eastAsia="Times New Roman" w:hAnsi="Times New Roman" w:cs="Times New Roman"/>
        </w:rPr>
        <w:t xml:space="preserve"> </w:t>
      </w:r>
      <w:r w:rsidR="00E6399F" w:rsidRPr="00E6399F">
        <w:rPr>
          <w:rFonts w:ascii="Times New Roman" w:eastAsia="Times New Roman" w:hAnsi="Times New Roman" w:cs="Times New Roman"/>
          <w:i/>
        </w:rPr>
        <w:t>For uniformity in analysis,</w:t>
      </w:r>
      <w:r w:rsidR="00E6399F">
        <w:rPr>
          <w:rFonts w:ascii="Times New Roman" w:eastAsia="Times New Roman" w:hAnsi="Times New Roman" w:cs="Times New Roman"/>
        </w:rPr>
        <w:t xml:space="preserve"> </w:t>
      </w:r>
      <w:r w:rsidR="00E6399F" w:rsidRPr="00E6399F">
        <w:rPr>
          <w:rFonts w:ascii="Times New Roman" w:eastAsia="Times New Roman" w:hAnsi="Times New Roman" w:cs="Times New Roman"/>
          <w:i/>
        </w:rPr>
        <w:t xml:space="preserve">we expressed broad money (M2) and trade balance in USD by dividing </w:t>
      </w:r>
      <w:r w:rsidR="00E6399F">
        <w:rPr>
          <w:rFonts w:ascii="Times New Roman" w:eastAsia="Times New Roman" w:hAnsi="Times New Roman" w:cs="Times New Roman"/>
          <w:i/>
        </w:rPr>
        <w:t xml:space="preserve">them </w:t>
      </w:r>
      <w:r w:rsidR="00E6399F" w:rsidRPr="00E6399F">
        <w:rPr>
          <w:rFonts w:ascii="Times New Roman" w:eastAsia="Times New Roman" w:hAnsi="Times New Roman" w:cs="Times New Roman"/>
          <w:i/>
        </w:rPr>
        <w:t xml:space="preserve">against </w:t>
      </w:r>
      <w:r w:rsidR="00E6399F">
        <w:rPr>
          <w:rFonts w:ascii="Times New Roman" w:eastAsia="Times New Roman" w:hAnsi="Times New Roman" w:cs="Times New Roman"/>
          <w:i/>
        </w:rPr>
        <w:t xml:space="preserve">each country’s </w:t>
      </w:r>
      <w:r w:rsidR="00E6399F" w:rsidRPr="00E6399F">
        <w:rPr>
          <w:rFonts w:ascii="Times New Roman" w:eastAsia="Times New Roman" w:hAnsi="Times New Roman" w:cs="Times New Roman"/>
          <w:i/>
        </w:rPr>
        <w:t>monthly average exchange against the US Dollar.</w:t>
      </w:r>
      <w:r w:rsidR="00E6399F">
        <w:rPr>
          <w:rFonts w:ascii="Times New Roman" w:eastAsia="Times New Roman" w:hAnsi="Times New Roman" w:cs="Times New Roman"/>
        </w:rPr>
        <w:t xml:space="preserve"> </w:t>
      </w:r>
      <w:r w:rsidR="00963443" w:rsidRPr="00963443">
        <w:rPr>
          <w:rFonts w:ascii="Times New Roman" w:eastAsia="Times New Roman" w:hAnsi="Times New Roman" w:cs="Times New Roman"/>
          <w:i/>
        </w:rPr>
        <w:t>The</w:t>
      </w:r>
      <w:r w:rsidR="00963443">
        <w:rPr>
          <w:rFonts w:ascii="Times New Roman" w:eastAsia="Times New Roman" w:hAnsi="Times New Roman" w:cs="Times New Roman"/>
        </w:rPr>
        <w:t xml:space="preserve"> </w:t>
      </w:r>
      <w:r w:rsidR="00963443">
        <w:rPr>
          <w:rFonts w:ascii="Times New Roman" w:eastAsia="Times New Roman" w:hAnsi="Times New Roman" w:cs="Times New Roman"/>
          <w:i/>
        </w:rPr>
        <w:t>t</w:t>
      </w:r>
      <w:r w:rsidRPr="00E6399F">
        <w:rPr>
          <w:rFonts w:ascii="Times New Roman" w:eastAsia="Times New Roman" w:hAnsi="Times New Roman" w:cs="Times New Roman"/>
          <w:i/>
        </w:rPr>
        <w:t xml:space="preserve">rade balance </w:t>
      </w:r>
      <w:r w:rsidR="00E6399F">
        <w:rPr>
          <w:rFonts w:ascii="Times New Roman" w:eastAsia="Times New Roman" w:hAnsi="Times New Roman" w:cs="Times New Roman"/>
          <w:i/>
        </w:rPr>
        <w:t xml:space="preserve">for each of the countries under investigation </w:t>
      </w:r>
      <w:r w:rsidRPr="00E6399F">
        <w:rPr>
          <w:rFonts w:ascii="Times New Roman" w:eastAsia="Times New Roman" w:hAnsi="Times New Roman" w:cs="Times New Roman"/>
          <w:i/>
        </w:rPr>
        <w:t xml:space="preserve">was negative implying </w:t>
      </w:r>
      <w:r w:rsidR="00963443">
        <w:rPr>
          <w:rFonts w:ascii="Times New Roman" w:eastAsia="Times New Roman" w:hAnsi="Times New Roman" w:cs="Times New Roman"/>
          <w:i/>
        </w:rPr>
        <w:t xml:space="preserve">a </w:t>
      </w:r>
      <w:r w:rsidRPr="00E6399F">
        <w:rPr>
          <w:rFonts w:ascii="Times New Roman" w:eastAsia="Times New Roman" w:hAnsi="Times New Roman" w:cs="Times New Roman"/>
          <w:i/>
        </w:rPr>
        <w:t xml:space="preserve">trade deficit. The figures represented </w:t>
      </w:r>
      <w:r w:rsidRPr="00E6399F">
        <w:rPr>
          <w:rFonts w:ascii="Times New Roman" w:eastAsia="Times New Roman" w:hAnsi="Times New Roman" w:cs="Times New Roman"/>
          <w:i/>
        </w:rPr>
        <w:lastRenderedPageBreak/>
        <w:t xml:space="preserve">here denote </w:t>
      </w:r>
      <w:r w:rsidR="00963443">
        <w:rPr>
          <w:rFonts w:ascii="Times New Roman" w:eastAsia="Times New Roman" w:hAnsi="Times New Roman" w:cs="Times New Roman"/>
          <w:i/>
        </w:rPr>
        <w:t>a trade deficit of</w:t>
      </w:r>
      <w:r w:rsidRPr="00E6399F">
        <w:rPr>
          <w:rFonts w:ascii="Times New Roman" w:eastAsia="Times New Roman" w:hAnsi="Times New Roman" w:cs="Times New Roman"/>
          <w:i/>
        </w:rPr>
        <w:t xml:space="preserve"> USD million.</w:t>
      </w:r>
      <w:r w:rsidR="00E6399F">
        <w:rPr>
          <w:rFonts w:ascii="Times New Roman" w:eastAsia="Times New Roman" w:hAnsi="Times New Roman" w:cs="Times New Roman"/>
          <w:i/>
        </w:rPr>
        <w:t xml:space="preserve"> Generally, the total value of imports exceeded that of exports for all the countries under the study period.</w:t>
      </w:r>
    </w:p>
    <w:p w:rsidR="00C23513" w:rsidRPr="00BD6FBA" w:rsidRDefault="00C23513" w:rsidP="00720BF2">
      <w:pPr>
        <w:spacing w:after="0" w:line="360" w:lineRule="auto"/>
        <w:jc w:val="both"/>
        <w:rPr>
          <w:rFonts w:ascii="Times New Roman" w:eastAsia="Times New Roman" w:hAnsi="Times New Roman" w:cs="Times New Roman"/>
          <w:i/>
          <w:highlight w:val="yellow"/>
        </w:rPr>
      </w:pPr>
    </w:p>
    <w:p w:rsidR="005E58EA" w:rsidRDefault="0088631E" w:rsidP="005E58E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2C95">
        <w:rPr>
          <w:rFonts w:ascii="Times New Roman" w:eastAsia="Times New Roman" w:hAnsi="Times New Roman" w:cs="Times New Roman"/>
          <w:sz w:val="24"/>
          <w:szCs w:val="24"/>
        </w:rPr>
        <w:t>Table 3</w:t>
      </w:r>
      <w:r w:rsidR="00EB2153" w:rsidRPr="00EB2153">
        <w:rPr>
          <w:rFonts w:ascii="Times New Roman" w:eastAsia="Times New Roman" w:hAnsi="Times New Roman" w:cs="Times New Roman"/>
          <w:sz w:val="24"/>
          <w:szCs w:val="24"/>
        </w:rPr>
        <w:t xml:space="preserve"> revealed that the</w:t>
      </w:r>
      <w:r w:rsidR="00DC0625" w:rsidRPr="00EB2153">
        <w:rPr>
          <w:rFonts w:ascii="Times New Roman" w:eastAsia="Times New Roman" w:hAnsi="Times New Roman" w:cs="Times New Roman"/>
          <w:sz w:val="24"/>
          <w:szCs w:val="24"/>
        </w:rPr>
        <w:t xml:space="preserve"> </w:t>
      </w:r>
      <w:r w:rsidR="00EB2153" w:rsidRPr="00EB2153">
        <w:rPr>
          <w:rFonts w:ascii="Times New Roman" w:eastAsia="Times New Roman" w:hAnsi="Times New Roman" w:cs="Times New Roman"/>
          <w:sz w:val="24"/>
          <w:szCs w:val="24"/>
        </w:rPr>
        <w:t xml:space="preserve">average </w:t>
      </w:r>
      <w:r w:rsidR="00C42A43" w:rsidRPr="00EB2153">
        <w:rPr>
          <w:rFonts w:ascii="Times New Roman" w:eastAsia="Times New Roman" w:hAnsi="Times New Roman" w:cs="Times New Roman"/>
          <w:sz w:val="24"/>
          <w:szCs w:val="24"/>
        </w:rPr>
        <w:t xml:space="preserve">Consumer Price Index (CPI) </w:t>
      </w:r>
      <w:r w:rsidR="00DC0625" w:rsidRPr="00EB2153">
        <w:rPr>
          <w:rFonts w:ascii="Times New Roman" w:eastAsia="Times New Roman" w:hAnsi="Times New Roman" w:cs="Times New Roman"/>
          <w:sz w:val="24"/>
          <w:szCs w:val="24"/>
        </w:rPr>
        <w:t>ac</w:t>
      </w:r>
      <w:r w:rsidR="00EB2153" w:rsidRPr="00EB2153">
        <w:rPr>
          <w:rFonts w:ascii="Times New Roman" w:eastAsia="Times New Roman" w:hAnsi="Times New Roman" w:cs="Times New Roman"/>
          <w:sz w:val="24"/>
          <w:szCs w:val="24"/>
        </w:rPr>
        <w:t>ross the panel was 4145.43 points. The CPI</w:t>
      </w:r>
      <w:r w:rsidR="00F8498D">
        <w:rPr>
          <w:rFonts w:ascii="Times New Roman" w:eastAsia="Times New Roman" w:hAnsi="Times New Roman" w:cs="Times New Roman"/>
          <w:sz w:val="24"/>
          <w:szCs w:val="24"/>
        </w:rPr>
        <w:t xml:space="preserve"> variable exhibited a standard deviation</w:t>
      </w:r>
      <w:r w:rsidR="00EB2153" w:rsidRPr="00EB2153">
        <w:rPr>
          <w:rFonts w:ascii="Times New Roman" w:eastAsia="Times New Roman" w:hAnsi="Times New Roman" w:cs="Times New Roman"/>
          <w:sz w:val="24"/>
          <w:szCs w:val="24"/>
        </w:rPr>
        <w:t xml:space="preserve"> of 7089.69 </w:t>
      </w:r>
      <w:r w:rsidR="00DC0625" w:rsidRPr="00EB2153">
        <w:rPr>
          <w:rFonts w:ascii="Times New Roman" w:eastAsia="Times New Roman" w:hAnsi="Times New Roman" w:cs="Times New Roman"/>
          <w:sz w:val="24"/>
          <w:szCs w:val="24"/>
        </w:rPr>
        <w:t>and varied in the inter</w:t>
      </w:r>
      <w:r w:rsidR="00EB2153" w:rsidRPr="00EB2153">
        <w:rPr>
          <w:rFonts w:ascii="Times New Roman" w:eastAsia="Times New Roman" w:hAnsi="Times New Roman" w:cs="Times New Roman"/>
          <w:sz w:val="24"/>
          <w:szCs w:val="24"/>
        </w:rPr>
        <w:t>vals of between 107 and 18863.10</w:t>
      </w:r>
      <w:r w:rsidR="00DC0625" w:rsidRPr="00EB2153">
        <w:rPr>
          <w:rFonts w:ascii="Times New Roman" w:eastAsia="Times New Roman" w:hAnsi="Times New Roman" w:cs="Times New Roman"/>
          <w:sz w:val="24"/>
          <w:szCs w:val="24"/>
        </w:rPr>
        <w:t>.</w:t>
      </w:r>
      <w:r w:rsidR="00EB2153">
        <w:rPr>
          <w:rFonts w:ascii="Times New Roman" w:eastAsia="Times New Roman" w:hAnsi="Times New Roman" w:cs="Times New Roman"/>
          <w:sz w:val="24"/>
          <w:szCs w:val="24"/>
        </w:rPr>
        <w:t xml:space="preserve"> </w:t>
      </w:r>
      <w:r w:rsidR="00CC03A5">
        <w:rPr>
          <w:rFonts w:ascii="Times New Roman" w:eastAsia="Times New Roman" w:hAnsi="Times New Roman" w:cs="Times New Roman"/>
          <w:sz w:val="24"/>
          <w:szCs w:val="24"/>
        </w:rPr>
        <w:t xml:space="preserve">The price of a basket of oil (in US $ per barrel) averaged 45.73 USD. The variable had a dispersion of 14.07 with a minimum price of 17.66 USD and a maximum price of 66.91 USD over the study period. </w:t>
      </w:r>
      <w:r w:rsidR="00945E55" w:rsidRPr="00945E55">
        <w:rPr>
          <w:rFonts w:ascii="Times New Roman" w:eastAsia="Times New Roman" w:hAnsi="Times New Roman" w:cs="Times New Roman"/>
          <w:sz w:val="24"/>
          <w:szCs w:val="24"/>
        </w:rPr>
        <w:t>T</w:t>
      </w:r>
      <w:r w:rsidR="00DC0625" w:rsidRPr="00945E55">
        <w:rPr>
          <w:rFonts w:ascii="Times New Roman" w:eastAsia="Times New Roman" w:hAnsi="Times New Roman" w:cs="Times New Roman"/>
          <w:sz w:val="24"/>
          <w:szCs w:val="24"/>
        </w:rPr>
        <w:t xml:space="preserve">he </w:t>
      </w:r>
      <w:r w:rsidR="00945E55" w:rsidRPr="00945E55">
        <w:rPr>
          <w:rFonts w:ascii="Times New Roman" w:eastAsia="Times New Roman" w:hAnsi="Times New Roman" w:cs="Times New Roman"/>
          <w:sz w:val="24"/>
          <w:szCs w:val="24"/>
        </w:rPr>
        <w:t xml:space="preserve">total </w:t>
      </w:r>
      <w:r w:rsidR="00DC0625" w:rsidRPr="00945E55">
        <w:rPr>
          <w:rFonts w:ascii="Times New Roman" w:eastAsia="Times New Roman" w:hAnsi="Times New Roman" w:cs="Times New Roman"/>
          <w:sz w:val="24"/>
          <w:szCs w:val="24"/>
        </w:rPr>
        <w:t>number of confirmed COVID-19 cases across the four count</w:t>
      </w:r>
      <w:r w:rsidR="00945E55" w:rsidRPr="00945E55">
        <w:rPr>
          <w:rFonts w:ascii="Times New Roman" w:eastAsia="Times New Roman" w:hAnsi="Times New Roman" w:cs="Times New Roman"/>
          <w:sz w:val="24"/>
          <w:szCs w:val="24"/>
        </w:rPr>
        <w:t>ries averaged about 4262</w:t>
      </w:r>
      <w:r w:rsidR="002E230B" w:rsidRPr="00945E55">
        <w:rPr>
          <w:rFonts w:ascii="Times New Roman" w:eastAsia="Times New Roman" w:hAnsi="Times New Roman" w:cs="Times New Roman"/>
          <w:sz w:val="24"/>
          <w:szCs w:val="24"/>
        </w:rPr>
        <w:t xml:space="preserve"> monthly</w:t>
      </w:r>
      <w:r w:rsidR="00DC0625" w:rsidRPr="00945E55">
        <w:rPr>
          <w:rFonts w:ascii="Times New Roman" w:eastAsia="Times New Roman" w:hAnsi="Times New Roman" w:cs="Times New Roman"/>
          <w:sz w:val="24"/>
          <w:szCs w:val="24"/>
        </w:rPr>
        <w:t xml:space="preserve">. </w:t>
      </w:r>
      <w:r w:rsidR="00945E55" w:rsidRPr="00945E55">
        <w:rPr>
          <w:rFonts w:ascii="Times New Roman" w:eastAsia="Times New Roman" w:hAnsi="Times New Roman" w:cs="Times New Roman"/>
          <w:sz w:val="24"/>
          <w:szCs w:val="24"/>
        </w:rPr>
        <w:t>The variable had a standard deviation of 6785.75 around the mean value with a minimum of 0</w:t>
      </w:r>
      <w:r w:rsidR="00DC0625" w:rsidRPr="00945E55">
        <w:rPr>
          <w:rFonts w:ascii="Times New Roman" w:eastAsia="Times New Roman" w:hAnsi="Times New Roman" w:cs="Times New Roman"/>
          <w:sz w:val="24"/>
          <w:szCs w:val="24"/>
        </w:rPr>
        <w:t xml:space="preserve"> confirmed </w:t>
      </w:r>
      <w:r w:rsidR="00945E55" w:rsidRPr="00945E55">
        <w:rPr>
          <w:rFonts w:ascii="Times New Roman" w:eastAsia="Times New Roman" w:hAnsi="Times New Roman" w:cs="Times New Roman"/>
          <w:sz w:val="24"/>
          <w:szCs w:val="24"/>
        </w:rPr>
        <w:t>cases</w:t>
      </w:r>
      <w:r w:rsidR="00DC0625" w:rsidRPr="00945E55">
        <w:rPr>
          <w:rFonts w:ascii="Times New Roman" w:eastAsia="Times New Roman" w:hAnsi="Times New Roman" w:cs="Times New Roman"/>
          <w:sz w:val="24"/>
          <w:szCs w:val="24"/>
        </w:rPr>
        <w:t xml:space="preserve"> and a maximum of 2</w:t>
      </w:r>
      <w:r w:rsidR="00945E55" w:rsidRPr="00945E55">
        <w:rPr>
          <w:rFonts w:ascii="Times New Roman" w:eastAsia="Times New Roman" w:hAnsi="Times New Roman" w:cs="Times New Roman"/>
          <w:sz w:val="24"/>
          <w:szCs w:val="24"/>
        </w:rPr>
        <w:t>8426 confirmed cases over the March 2020-May</w:t>
      </w:r>
      <w:r w:rsidR="00DC0625" w:rsidRPr="00945E55">
        <w:rPr>
          <w:rFonts w:ascii="Times New Roman" w:eastAsia="Times New Roman" w:hAnsi="Times New Roman" w:cs="Times New Roman"/>
          <w:sz w:val="24"/>
          <w:szCs w:val="24"/>
        </w:rPr>
        <w:t xml:space="preserve"> 2021 </w:t>
      </w:r>
      <w:r w:rsidR="00DC0625" w:rsidRPr="005152A2">
        <w:rPr>
          <w:rFonts w:ascii="Times New Roman" w:eastAsia="Times New Roman" w:hAnsi="Times New Roman" w:cs="Times New Roman"/>
          <w:sz w:val="24"/>
          <w:szCs w:val="24"/>
        </w:rPr>
        <w:t>period.</w:t>
      </w:r>
      <w:r w:rsidR="00707857" w:rsidRPr="005152A2">
        <w:rPr>
          <w:rFonts w:ascii="Times New Roman" w:eastAsia="Times New Roman" w:hAnsi="Times New Roman" w:cs="Times New Roman"/>
          <w:sz w:val="24"/>
          <w:szCs w:val="24"/>
        </w:rPr>
        <w:t xml:space="preserve"> </w:t>
      </w:r>
    </w:p>
    <w:p w:rsidR="005152A2" w:rsidRDefault="005E58EA" w:rsidP="005E58E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7315">
        <w:rPr>
          <w:rFonts w:ascii="Times New Roman" w:eastAsia="Times New Roman" w:hAnsi="Times New Roman" w:cs="Times New Roman"/>
          <w:sz w:val="24"/>
          <w:szCs w:val="24"/>
        </w:rPr>
        <w:t xml:space="preserve">On average, </w:t>
      </w:r>
      <w:r w:rsidR="00963443">
        <w:rPr>
          <w:rFonts w:ascii="Times New Roman" w:eastAsia="Times New Roman" w:hAnsi="Times New Roman" w:cs="Times New Roman"/>
          <w:sz w:val="24"/>
          <w:szCs w:val="24"/>
        </w:rPr>
        <w:t xml:space="preserve">the </w:t>
      </w:r>
      <w:r w:rsidR="00507315" w:rsidRPr="00EB2153">
        <w:rPr>
          <w:rFonts w:ascii="Times New Roman" w:eastAsia="Times New Roman" w:hAnsi="Times New Roman" w:cs="Times New Roman"/>
          <w:sz w:val="24"/>
          <w:szCs w:val="24"/>
        </w:rPr>
        <w:t xml:space="preserve">trade balance (trade deficit) across the selected countries in the COVID-19 </w:t>
      </w:r>
      <w:r w:rsidR="00507315">
        <w:rPr>
          <w:rFonts w:ascii="Times New Roman" w:eastAsia="Times New Roman" w:hAnsi="Times New Roman" w:cs="Times New Roman"/>
          <w:sz w:val="24"/>
          <w:szCs w:val="24"/>
        </w:rPr>
        <w:t>study period was about 437.08</w:t>
      </w:r>
      <w:r w:rsidR="00507315" w:rsidRPr="00EB2153">
        <w:rPr>
          <w:rFonts w:ascii="Times New Roman" w:eastAsia="Times New Roman" w:hAnsi="Times New Roman" w:cs="Times New Roman"/>
          <w:sz w:val="24"/>
          <w:szCs w:val="24"/>
        </w:rPr>
        <w:t xml:space="preserve"> million USD monthly. </w:t>
      </w:r>
      <w:r w:rsidR="00507315" w:rsidRPr="006667C2">
        <w:rPr>
          <w:rFonts w:ascii="Times New Roman" w:eastAsia="Times New Roman" w:hAnsi="Times New Roman" w:cs="Times New Roman"/>
          <w:sz w:val="24"/>
          <w:szCs w:val="24"/>
        </w:rPr>
        <w:t>This signifies the rising trend in trade deficit across the EAC countries; a situation that might ha</w:t>
      </w:r>
      <w:r w:rsidR="00511642">
        <w:rPr>
          <w:rFonts w:ascii="Times New Roman" w:eastAsia="Times New Roman" w:hAnsi="Times New Roman" w:cs="Times New Roman"/>
          <w:sz w:val="24"/>
          <w:szCs w:val="24"/>
        </w:rPr>
        <w:t xml:space="preserve">ve escalated in the </w:t>
      </w:r>
      <w:r w:rsidR="00507315" w:rsidRPr="006667C2">
        <w:rPr>
          <w:rFonts w:ascii="Times New Roman" w:eastAsia="Times New Roman" w:hAnsi="Times New Roman" w:cs="Times New Roman"/>
          <w:sz w:val="24"/>
          <w:szCs w:val="24"/>
        </w:rPr>
        <w:t>COVID-19 pandemic</w:t>
      </w:r>
      <w:r w:rsidR="00511642">
        <w:rPr>
          <w:rFonts w:ascii="Times New Roman" w:eastAsia="Times New Roman" w:hAnsi="Times New Roman" w:cs="Times New Roman"/>
          <w:sz w:val="24"/>
          <w:szCs w:val="24"/>
        </w:rPr>
        <w:t xml:space="preserve"> period</w:t>
      </w:r>
      <w:r w:rsidR="00507315" w:rsidRPr="006667C2">
        <w:rPr>
          <w:rFonts w:ascii="Times New Roman" w:eastAsia="Times New Roman" w:hAnsi="Times New Roman" w:cs="Times New Roman"/>
          <w:sz w:val="24"/>
          <w:szCs w:val="24"/>
        </w:rPr>
        <w:t xml:space="preserve">. Trade deficit implies overreliance on imports which in turn weakens a </w:t>
      </w:r>
      <w:r w:rsidR="00507315">
        <w:rPr>
          <w:rFonts w:ascii="Times New Roman" w:eastAsia="Times New Roman" w:hAnsi="Times New Roman" w:cs="Times New Roman"/>
          <w:sz w:val="24"/>
          <w:szCs w:val="24"/>
        </w:rPr>
        <w:t>country’s domestic currency. The variable had a</w:t>
      </w:r>
      <w:r w:rsidR="00507315" w:rsidRPr="006667C2">
        <w:rPr>
          <w:rFonts w:ascii="Times New Roman" w:eastAsia="Times New Roman" w:hAnsi="Times New Roman" w:cs="Times New Roman"/>
          <w:sz w:val="24"/>
          <w:szCs w:val="24"/>
        </w:rPr>
        <w:t xml:space="preserve"> </w:t>
      </w:r>
      <w:r w:rsidR="00507315">
        <w:rPr>
          <w:rFonts w:ascii="Times New Roman" w:eastAsia="Times New Roman" w:hAnsi="Times New Roman" w:cs="Times New Roman"/>
          <w:sz w:val="24"/>
          <w:szCs w:val="24"/>
        </w:rPr>
        <w:t>standard deviation of 274.95</w:t>
      </w:r>
      <w:r w:rsidR="00507315" w:rsidRPr="006667C2">
        <w:rPr>
          <w:rFonts w:ascii="Times New Roman" w:eastAsia="Times New Roman" w:hAnsi="Times New Roman" w:cs="Times New Roman"/>
          <w:sz w:val="24"/>
          <w:szCs w:val="24"/>
        </w:rPr>
        <w:t xml:space="preserve"> and varied within the intervals of be</w:t>
      </w:r>
      <w:r w:rsidR="00507315">
        <w:rPr>
          <w:rFonts w:ascii="Times New Roman" w:eastAsia="Times New Roman" w:hAnsi="Times New Roman" w:cs="Times New Roman"/>
          <w:sz w:val="24"/>
          <w:szCs w:val="24"/>
        </w:rPr>
        <w:t>tween 128.60 million USD and 1.08 billion</w:t>
      </w:r>
      <w:r w:rsidR="00507315" w:rsidRPr="006667C2">
        <w:rPr>
          <w:rFonts w:ascii="Times New Roman" w:eastAsia="Times New Roman" w:hAnsi="Times New Roman" w:cs="Times New Roman"/>
          <w:sz w:val="24"/>
          <w:szCs w:val="24"/>
        </w:rPr>
        <w:t xml:space="preserve"> USD</w:t>
      </w:r>
      <w:r w:rsidR="00507315" w:rsidRPr="00945E55">
        <w:rPr>
          <w:rFonts w:ascii="Times New Roman" w:eastAsia="Times New Roman" w:hAnsi="Times New Roman" w:cs="Times New Roman"/>
          <w:sz w:val="24"/>
          <w:szCs w:val="24"/>
        </w:rPr>
        <w:t xml:space="preserve">.  </w:t>
      </w:r>
      <w:r w:rsidR="00177FE6" w:rsidRPr="005152A2">
        <w:rPr>
          <w:rFonts w:ascii="Times New Roman" w:eastAsia="Times New Roman" w:hAnsi="Times New Roman" w:cs="Times New Roman"/>
          <w:sz w:val="24"/>
          <w:szCs w:val="24"/>
        </w:rPr>
        <w:t xml:space="preserve">The mean broad money supply (M2) was 9642.65 million USD monthly across the four </w:t>
      </w:r>
      <w:r w:rsidR="00177FE6">
        <w:rPr>
          <w:rFonts w:ascii="Times New Roman" w:eastAsia="Times New Roman" w:hAnsi="Times New Roman" w:cs="Times New Roman"/>
          <w:sz w:val="24"/>
          <w:szCs w:val="24"/>
        </w:rPr>
        <w:t>countries and exhibited the highest</w:t>
      </w:r>
      <w:r w:rsidR="00177FE6" w:rsidRPr="005152A2">
        <w:rPr>
          <w:rFonts w:ascii="Times New Roman" w:eastAsia="Times New Roman" w:hAnsi="Times New Roman" w:cs="Times New Roman"/>
          <w:sz w:val="24"/>
          <w:szCs w:val="24"/>
        </w:rPr>
        <w:t xml:space="preserve"> spread of 11789.57. The lowest monthly recorded M2 money was 591.14 million USD with the highest value recorded at 30663.40 million USD.</w:t>
      </w:r>
      <w:r w:rsidR="00177FE6">
        <w:rPr>
          <w:rFonts w:ascii="Times New Roman" w:eastAsia="Times New Roman" w:hAnsi="Times New Roman" w:cs="Times New Roman"/>
          <w:sz w:val="24"/>
          <w:szCs w:val="24"/>
        </w:rPr>
        <w:t xml:space="preserve"> </w:t>
      </w:r>
      <w:r w:rsidR="00CC03A5" w:rsidRPr="005152A2">
        <w:rPr>
          <w:rFonts w:ascii="Times New Roman" w:eastAsia="Times New Roman" w:hAnsi="Times New Roman" w:cs="Times New Roman"/>
          <w:sz w:val="24"/>
          <w:szCs w:val="24"/>
        </w:rPr>
        <w:t xml:space="preserve">The average </w:t>
      </w:r>
      <w:r w:rsidR="00C06840" w:rsidRPr="005152A2">
        <w:rPr>
          <w:rFonts w:ascii="Times New Roman" w:eastAsia="Times New Roman" w:hAnsi="Times New Roman" w:cs="Times New Roman"/>
          <w:sz w:val="24"/>
          <w:szCs w:val="24"/>
        </w:rPr>
        <w:t xml:space="preserve">exchange rate </w:t>
      </w:r>
      <w:r w:rsidR="00CC03A5" w:rsidRPr="005152A2">
        <w:rPr>
          <w:rFonts w:ascii="Times New Roman" w:eastAsia="Times New Roman" w:hAnsi="Times New Roman" w:cs="Times New Roman"/>
          <w:sz w:val="24"/>
          <w:szCs w:val="24"/>
        </w:rPr>
        <w:t xml:space="preserve">recorded </w:t>
      </w:r>
      <w:r w:rsidR="00C06840" w:rsidRPr="005152A2">
        <w:rPr>
          <w:rFonts w:ascii="Times New Roman" w:eastAsia="Times New Roman" w:hAnsi="Times New Roman" w:cs="Times New Roman"/>
          <w:sz w:val="24"/>
          <w:szCs w:val="24"/>
        </w:rPr>
        <w:t>over th</w:t>
      </w:r>
      <w:r w:rsidR="00CC03A5" w:rsidRPr="005152A2">
        <w:rPr>
          <w:rFonts w:ascii="Times New Roman" w:eastAsia="Times New Roman" w:hAnsi="Times New Roman" w:cs="Times New Roman"/>
          <w:sz w:val="24"/>
          <w:szCs w:val="24"/>
        </w:rPr>
        <w:t>e period under study was 1236.02</w:t>
      </w:r>
      <w:r w:rsidR="00C06840" w:rsidRPr="005152A2">
        <w:rPr>
          <w:rFonts w:ascii="Times New Roman" w:eastAsia="Times New Roman" w:hAnsi="Times New Roman" w:cs="Times New Roman"/>
          <w:sz w:val="24"/>
          <w:szCs w:val="24"/>
        </w:rPr>
        <w:t xml:space="preserve"> and varied in the intervals of 103.74 and 3791.46 against the USD. The variable </w:t>
      </w:r>
      <w:r w:rsidR="00CC03A5" w:rsidRPr="005152A2">
        <w:rPr>
          <w:rFonts w:ascii="Times New Roman" w:eastAsia="Times New Roman" w:hAnsi="Times New Roman" w:cs="Times New Roman"/>
          <w:sz w:val="24"/>
          <w:szCs w:val="24"/>
        </w:rPr>
        <w:t>had a standard deviation of 1472.</w:t>
      </w:r>
      <w:r w:rsidR="00C06840" w:rsidRPr="005152A2">
        <w:rPr>
          <w:rFonts w:ascii="Times New Roman" w:eastAsia="Times New Roman" w:hAnsi="Times New Roman" w:cs="Times New Roman"/>
          <w:sz w:val="24"/>
          <w:szCs w:val="24"/>
        </w:rPr>
        <w:t>3</w:t>
      </w:r>
      <w:r w:rsidR="00CC03A5" w:rsidRPr="005152A2">
        <w:rPr>
          <w:rFonts w:ascii="Times New Roman" w:eastAsia="Times New Roman" w:hAnsi="Times New Roman" w:cs="Times New Roman"/>
          <w:sz w:val="24"/>
          <w:szCs w:val="24"/>
        </w:rPr>
        <w:t>9.</w:t>
      </w:r>
      <w:r w:rsidR="00BD20C9" w:rsidRPr="005152A2">
        <w:rPr>
          <w:rFonts w:ascii="Times New Roman" w:eastAsia="Times New Roman" w:hAnsi="Times New Roman" w:cs="Times New Roman"/>
          <w:sz w:val="24"/>
          <w:szCs w:val="24"/>
        </w:rPr>
        <w:t xml:space="preserve"> </w:t>
      </w:r>
      <w:r w:rsidR="0066179B" w:rsidRPr="005152A2">
        <w:rPr>
          <w:rFonts w:ascii="Times New Roman" w:eastAsia="Times New Roman" w:hAnsi="Times New Roman" w:cs="Times New Roman"/>
          <w:sz w:val="24"/>
          <w:szCs w:val="24"/>
        </w:rPr>
        <w:t xml:space="preserve">The </w:t>
      </w:r>
      <w:r w:rsidR="005152A2" w:rsidRPr="005152A2">
        <w:rPr>
          <w:rFonts w:ascii="Times New Roman" w:eastAsia="Times New Roman" w:hAnsi="Times New Roman" w:cs="Times New Roman"/>
          <w:sz w:val="24"/>
          <w:szCs w:val="24"/>
        </w:rPr>
        <w:t xml:space="preserve">mean rate at which </w:t>
      </w:r>
      <w:r w:rsidR="0066179B" w:rsidRPr="005152A2">
        <w:rPr>
          <w:rFonts w:ascii="Times New Roman" w:eastAsia="Times New Roman" w:hAnsi="Times New Roman" w:cs="Times New Roman"/>
          <w:sz w:val="24"/>
          <w:szCs w:val="24"/>
        </w:rPr>
        <w:t>commercial banks’</w:t>
      </w:r>
      <w:r w:rsidR="005152A2" w:rsidRPr="005152A2">
        <w:rPr>
          <w:rFonts w:ascii="Times New Roman" w:eastAsia="Times New Roman" w:hAnsi="Times New Roman" w:cs="Times New Roman"/>
          <w:sz w:val="24"/>
          <w:szCs w:val="24"/>
        </w:rPr>
        <w:t xml:space="preserve"> lent out money was 15.60% with the lowest standard deviation of 2.64</w:t>
      </w:r>
      <w:r w:rsidR="0066179B" w:rsidRPr="005152A2">
        <w:rPr>
          <w:rFonts w:ascii="Times New Roman" w:eastAsia="Times New Roman" w:hAnsi="Times New Roman" w:cs="Times New Roman"/>
          <w:sz w:val="24"/>
          <w:szCs w:val="24"/>
        </w:rPr>
        <w:t xml:space="preserve">. </w:t>
      </w:r>
      <w:r w:rsidR="008925C6" w:rsidRPr="005152A2">
        <w:rPr>
          <w:rFonts w:ascii="Times New Roman" w:eastAsia="Times New Roman" w:hAnsi="Times New Roman" w:cs="Times New Roman"/>
          <w:sz w:val="24"/>
          <w:szCs w:val="24"/>
        </w:rPr>
        <w:t>The lowest rate charged was 11.75% with the highest rate being 20.93%.</w:t>
      </w:r>
      <w:r w:rsidR="002E796D" w:rsidRPr="005152A2">
        <w:rPr>
          <w:rFonts w:ascii="Times New Roman" w:eastAsia="Times New Roman" w:hAnsi="Times New Roman" w:cs="Times New Roman"/>
          <w:sz w:val="24"/>
          <w:szCs w:val="24"/>
        </w:rPr>
        <w:t xml:space="preserve"> </w:t>
      </w:r>
    </w:p>
    <w:p w:rsidR="007C1B0C" w:rsidRDefault="002D1188" w:rsidP="005E58E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7C1B0C" w:rsidRPr="007C1B0C">
        <w:rPr>
          <w:rFonts w:ascii="Times New Roman" w:eastAsia="Times New Roman" w:hAnsi="Times New Roman" w:cs="Times New Roman"/>
          <w:b/>
          <w:sz w:val="24"/>
          <w:szCs w:val="24"/>
        </w:rPr>
        <w:t>.2 Country-specific panel statistics</w:t>
      </w:r>
    </w:p>
    <w:p w:rsidR="005E58EA" w:rsidRDefault="005E58EA" w:rsidP="005E58E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1B0C" w:rsidRPr="004F158B">
        <w:rPr>
          <w:rFonts w:ascii="Times New Roman" w:eastAsia="Times New Roman" w:hAnsi="Times New Roman" w:cs="Times New Roman"/>
          <w:sz w:val="24"/>
          <w:szCs w:val="24"/>
        </w:rPr>
        <w:t xml:space="preserve">To </w:t>
      </w:r>
      <w:r w:rsidR="005152A2">
        <w:rPr>
          <w:rFonts w:ascii="Times New Roman" w:eastAsia="Times New Roman" w:hAnsi="Times New Roman" w:cs="Times New Roman"/>
          <w:sz w:val="24"/>
          <w:szCs w:val="24"/>
        </w:rPr>
        <w:t>draw comparison</w:t>
      </w:r>
      <w:r w:rsidR="00484459">
        <w:rPr>
          <w:rFonts w:ascii="Times New Roman" w:eastAsia="Times New Roman" w:hAnsi="Times New Roman" w:cs="Times New Roman"/>
          <w:sz w:val="24"/>
          <w:szCs w:val="24"/>
        </w:rPr>
        <w:t>s</w:t>
      </w:r>
      <w:r w:rsidR="005152A2">
        <w:rPr>
          <w:rFonts w:ascii="Times New Roman" w:eastAsia="Times New Roman" w:hAnsi="Times New Roman" w:cs="Times New Roman"/>
          <w:sz w:val="24"/>
          <w:szCs w:val="24"/>
        </w:rPr>
        <w:t xml:space="preserve"> across the selected countries, we also conducted</w:t>
      </w:r>
      <w:r w:rsidR="005152A2" w:rsidRPr="005152A2">
        <w:rPr>
          <w:rFonts w:ascii="Times New Roman" w:eastAsia="Times New Roman" w:hAnsi="Times New Roman" w:cs="Times New Roman"/>
          <w:sz w:val="24"/>
          <w:szCs w:val="24"/>
        </w:rPr>
        <w:t xml:space="preserve"> </w:t>
      </w:r>
      <w:r w:rsidR="005152A2" w:rsidRPr="004F158B">
        <w:rPr>
          <w:rFonts w:ascii="Times New Roman" w:eastAsia="Times New Roman" w:hAnsi="Times New Roman" w:cs="Times New Roman"/>
          <w:sz w:val="24"/>
          <w:szCs w:val="24"/>
        </w:rPr>
        <w:t xml:space="preserve">a comprehensive summary </w:t>
      </w:r>
      <w:r w:rsidR="005152A2">
        <w:rPr>
          <w:rFonts w:ascii="Times New Roman" w:eastAsia="Times New Roman" w:hAnsi="Times New Roman" w:cs="Times New Roman"/>
          <w:sz w:val="24"/>
          <w:szCs w:val="24"/>
        </w:rPr>
        <w:t>that highlighted</w:t>
      </w:r>
      <w:r w:rsidR="007C1B0C" w:rsidRPr="004F158B">
        <w:rPr>
          <w:rFonts w:ascii="Times New Roman" w:eastAsia="Times New Roman" w:hAnsi="Times New Roman" w:cs="Times New Roman"/>
          <w:sz w:val="24"/>
          <w:szCs w:val="24"/>
        </w:rPr>
        <w:t xml:space="preserve"> the </w:t>
      </w:r>
      <w:r w:rsidR="004F158B" w:rsidRPr="004F158B">
        <w:rPr>
          <w:rFonts w:ascii="Times New Roman" w:eastAsia="Times New Roman" w:hAnsi="Times New Roman" w:cs="Times New Roman"/>
          <w:sz w:val="24"/>
          <w:szCs w:val="24"/>
        </w:rPr>
        <w:t xml:space="preserve">different statistics per panel </w:t>
      </w:r>
      <w:r w:rsidR="004F158B" w:rsidRPr="005152A2">
        <w:rPr>
          <w:rFonts w:ascii="Times New Roman" w:eastAsia="Times New Roman" w:hAnsi="Times New Roman" w:cs="Times New Roman"/>
          <w:sz w:val="24"/>
          <w:szCs w:val="24"/>
        </w:rPr>
        <w:t xml:space="preserve">(see </w:t>
      </w:r>
      <w:r w:rsidR="00E432E3" w:rsidRPr="005152A2">
        <w:rPr>
          <w:rFonts w:ascii="Times New Roman" w:eastAsia="Times New Roman" w:hAnsi="Times New Roman" w:cs="Times New Roman"/>
          <w:sz w:val="24"/>
          <w:szCs w:val="24"/>
        </w:rPr>
        <w:t>A</w:t>
      </w:r>
      <w:r w:rsidR="0028548A" w:rsidRPr="005152A2">
        <w:rPr>
          <w:rFonts w:ascii="Times New Roman" w:eastAsia="Times New Roman" w:hAnsi="Times New Roman" w:cs="Times New Roman"/>
          <w:sz w:val="24"/>
          <w:szCs w:val="24"/>
        </w:rPr>
        <w:t xml:space="preserve">ppendix </w:t>
      </w:r>
      <w:r w:rsidR="004F158B" w:rsidRPr="005152A2">
        <w:rPr>
          <w:rFonts w:ascii="Times New Roman" w:eastAsia="Times New Roman" w:hAnsi="Times New Roman" w:cs="Times New Roman"/>
          <w:sz w:val="24"/>
          <w:szCs w:val="24"/>
        </w:rPr>
        <w:t xml:space="preserve">Table </w:t>
      </w:r>
      <w:r w:rsidR="0028548A" w:rsidRPr="005152A2">
        <w:rPr>
          <w:rFonts w:ascii="Times New Roman" w:eastAsia="Times New Roman" w:hAnsi="Times New Roman" w:cs="Times New Roman"/>
          <w:sz w:val="24"/>
          <w:szCs w:val="24"/>
        </w:rPr>
        <w:t>A1</w:t>
      </w:r>
      <w:r w:rsidR="004F158B" w:rsidRPr="005152A2">
        <w:rPr>
          <w:rFonts w:ascii="Times New Roman" w:eastAsia="Times New Roman" w:hAnsi="Times New Roman" w:cs="Times New Roman"/>
          <w:sz w:val="24"/>
          <w:szCs w:val="24"/>
        </w:rPr>
        <w:t>).</w:t>
      </w:r>
    </w:p>
    <w:p w:rsidR="005E58EA" w:rsidRDefault="005E58EA" w:rsidP="005E58EA">
      <w:pPr>
        <w:spacing w:line="360" w:lineRule="auto"/>
        <w:jc w:val="both"/>
        <w:rPr>
          <w:rFonts w:ascii="Times New Roman" w:eastAsia="Times New Roman" w:hAnsi="Times New Roman" w:cs="Times New Roman"/>
          <w:sz w:val="24"/>
          <w:szCs w:val="24"/>
        </w:rPr>
      </w:pPr>
    </w:p>
    <w:p w:rsidR="005E58EA" w:rsidRDefault="005E58EA" w:rsidP="005E58EA">
      <w:pPr>
        <w:spacing w:line="360" w:lineRule="auto"/>
        <w:jc w:val="both"/>
        <w:rPr>
          <w:rFonts w:ascii="Times New Roman" w:eastAsia="Times New Roman" w:hAnsi="Times New Roman" w:cs="Times New Roman"/>
          <w:sz w:val="24"/>
          <w:szCs w:val="24"/>
        </w:rPr>
      </w:pPr>
    </w:p>
    <w:p w:rsidR="00B77939" w:rsidRPr="00B77939" w:rsidRDefault="00B77939" w:rsidP="005E58EA">
      <w:pPr>
        <w:pStyle w:val="ListParagraph"/>
        <w:numPr>
          <w:ilvl w:val="1"/>
          <w:numId w:val="12"/>
        </w:numPr>
        <w:spacing w:line="360" w:lineRule="auto"/>
        <w:jc w:val="both"/>
        <w:rPr>
          <w:rFonts w:ascii="Times New Roman" w:eastAsia="Calibri" w:hAnsi="Times New Roman" w:cs="Times New Roman"/>
          <w:b/>
          <w:sz w:val="24"/>
          <w:szCs w:val="24"/>
        </w:rPr>
      </w:pPr>
      <w:r w:rsidRPr="00B77939">
        <w:rPr>
          <w:rFonts w:ascii="Times New Roman" w:eastAsia="Calibri" w:hAnsi="Times New Roman" w:cs="Times New Roman"/>
          <w:b/>
          <w:sz w:val="24"/>
          <w:szCs w:val="24"/>
        </w:rPr>
        <w:lastRenderedPageBreak/>
        <w:t>Data sources</w:t>
      </w:r>
    </w:p>
    <w:p w:rsidR="00B77939" w:rsidRPr="006B54EC" w:rsidRDefault="005E58EA" w:rsidP="005E58EA">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7939">
        <w:rPr>
          <w:rFonts w:ascii="Times New Roman" w:eastAsia="Calibri" w:hAnsi="Times New Roman" w:cs="Times New Roman"/>
          <w:sz w:val="24"/>
          <w:szCs w:val="24"/>
        </w:rPr>
        <w:t xml:space="preserve">This study </w:t>
      </w:r>
      <w:r w:rsidR="00B77939" w:rsidRPr="00DF318C">
        <w:rPr>
          <w:rFonts w:ascii="Times New Roman" w:eastAsia="Calibri" w:hAnsi="Times New Roman" w:cs="Times New Roman"/>
          <w:sz w:val="24"/>
          <w:szCs w:val="24"/>
        </w:rPr>
        <w:t>utilize</w:t>
      </w:r>
      <w:r w:rsidR="00B77939">
        <w:rPr>
          <w:rFonts w:ascii="Times New Roman" w:eastAsia="Calibri" w:hAnsi="Times New Roman" w:cs="Times New Roman"/>
          <w:sz w:val="24"/>
          <w:szCs w:val="24"/>
        </w:rPr>
        <w:t>d</w:t>
      </w:r>
      <w:r w:rsidR="00B77939" w:rsidRPr="00DF318C">
        <w:rPr>
          <w:rFonts w:ascii="Times New Roman" w:eastAsia="Calibri" w:hAnsi="Times New Roman" w:cs="Times New Roman"/>
          <w:sz w:val="24"/>
          <w:szCs w:val="24"/>
        </w:rPr>
        <w:t xml:space="preserve"> monthly </w:t>
      </w:r>
      <w:r w:rsidR="00B77939">
        <w:rPr>
          <w:rFonts w:ascii="Times New Roman" w:eastAsia="Calibri" w:hAnsi="Times New Roman" w:cs="Times New Roman"/>
          <w:sz w:val="24"/>
          <w:szCs w:val="24"/>
        </w:rPr>
        <w:t xml:space="preserve">panel </w:t>
      </w:r>
      <w:r w:rsidR="00B77939" w:rsidRPr="00DF318C">
        <w:rPr>
          <w:rFonts w:ascii="Times New Roman" w:eastAsia="Calibri" w:hAnsi="Times New Roman" w:cs="Times New Roman"/>
          <w:sz w:val="24"/>
          <w:szCs w:val="24"/>
        </w:rPr>
        <w:t>d</w:t>
      </w:r>
      <w:r w:rsidR="00B77939">
        <w:rPr>
          <w:rFonts w:ascii="Times New Roman" w:eastAsia="Calibri" w:hAnsi="Times New Roman" w:cs="Times New Roman"/>
          <w:sz w:val="24"/>
          <w:szCs w:val="24"/>
        </w:rPr>
        <w:t xml:space="preserve">ata </w:t>
      </w:r>
      <w:r w:rsidR="00BD6FBA">
        <w:rPr>
          <w:rFonts w:ascii="Times New Roman" w:eastAsia="Calibri" w:hAnsi="Times New Roman" w:cs="Times New Roman"/>
          <w:sz w:val="24"/>
          <w:szCs w:val="24"/>
        </w:rPr>
        <w:t xml:space="preserve">for the period March 2020-May </w:t>
      </w:r>
      <w:r w:rsidR="00B77939">
        <w:rPr>
          <w:rFonts w:ascii="Times New Roman" w:eastAsia="Calibri" w:hAnsi="Times New Roman" w:cs="Times New Roman"/>
          <w:sz w:val="24"/>
          <w:szCs w:val="24"/>
        </w:rPr>
        <w:t xml:space="preserve">2021 which covered </w:t>
      </w:r>
      <w:r w:rsidR="00B77939" w:rsidRPr="00262430">
        <w:rPr>
          <w:rFonts w:ascii="Times New Roman" w:eastAsia="Calibri" w:hAnsi="Times New Roman" w:cs="Times New Roman"/>
          <w:sz w:val="24"/>
          <w:szCs w:val="24"/>
        </w:rPr>
        <w:t>four countries:</w:t>
      </w:r>
      <w:r w:rsidR="00107C67">
        <w:rPr>
          <w:rFonts w:ascii="Times New Roman" w:eastAsia="Calibri" w:hAnsi="Times New Roman" w:cs="Times New Roman"/>
          <w:sz w:val="24"/>
          <w:szCs w:val="24"/>
        </w:rPr>
        <w:t xml:space="preserve"> Kenya, Rwanda, South </w:t>
      </w:r>
      <w:r w:rsidR="00CC3E04">
        <w:rPr>
          <w:rFonts w:ascii="Times New Roman" w:eastAsia="Calibri" w:hAnsi="Times New Roman" w:cs="Times New Roman"/>
          <w:sz w:val="24"/>
          <w:szCs w:val="24"/>
        </w:rPr>
        <w:t>Sudan, and</w:t>
      </w:r>
      <w:r w:rsidR="00B77939">
        <w:rPr>
          <w:rFonts w:ascii="Times New Roman" w:eastAsia="Calibri" w:hAnsi="Times New Roman" w:cs="Times New Roman"/>
          <w:sz w:val="24"/>
          <w:szCs w:val="24"/>
        </w:rPr>
        <w:t xml:space="preserve"> Uganda. The first case of COVID-19 in </w:t>
      </w:r>
      <w:r w:rsidR="00D00BA5">
        <w:rPr>
          <w:rFonts w:ascii="Times New Roman" w:eastAsia="Calibri" w:hAnsi="Times New Roman" w:cs="Times New Roman"/>
          <w:sz w:val="24"/>
          <w:szCs w:val="24"/>
        </w:rPr>
        <w:t>the EAC region</w:t>
      </w:r>
      <w:r w:rsidR="00B77939">
        <w:rPr>
          <w:rFonts w:ascii="Times New Roman" w:eastAsia="Calibri" w:hAnsi="Times New Roman" w:cs="Times New Roman"/>
          <w:sz w:val="24"/>
          <w:szCs w:val="24"/>
        </w:rPr>
        <w:t xml:space="preserve"> was reported in March 2020</w:t>
      </w:r>
      <w:r w:rsidR="00594A62">
        <w:rPr>
          <w:rFonts w:ascii="Times New Roman" w:eastAsia="Calibri" w:hAnsi="Times New Roman" w:cs="Times New Roman"/>
          <w:sz w:val="24"/>
          <w:szCs w:val="24"/>
        </w:rPr>
        <w:t xml:space="preserve"> hence the choice for this </w:t>
      </w:r>
      <w:r w:rsidR="00D00BA5">
        <w:rPr>
          <w:rFonts w:ascii="Times New Roman" w:eastAsia="Calibri" w:hAnsi="Times New Roman" w:cs="Times New Roman"/>
          <w:sz w:val="24"/>
          <w:szCs w:val="24"/>
        </w:rPr>
        <w:t xml:space="preserve">study </w:t>
      </w:r>
      <w:r w:rsidR="00B77939">
        <w:rPr>
          <w:rFonts w:ascii="Times New Roman" w:eastAsia="Calibri" w:hAnsi="Times New Roman" w:cs="Times New Roman"/>
          <w:sz w:val="24"/>
          <w:szCs w:val="24"/>
        </w:rPr>
        <w:t xml:space="preserve">period. The data on CPI, </w:t>
      </w:r>
      <w:r w:rsidR="00D00BA5">
        <w:rPr>
          <w:rFonts w:ascii="Times New Roman" w:eastAsia="Calibri" w:hAnsi="Times New Roman" w:cs="Times New Roman"/>
          <w:sz w:val="24"/>
          <w:szCs w:val="24"/>
        </w:rPr>
        <w:t xml:space="preserve">exchange rate, </w:t>
      </w:r>
      <w:r w:rsidR="00B77939">
        <w:rPr>
          <w:rFonts w:ascii="Times New Roman" w:eastAsia="Calibri" w:hAnsi="Times New Roman" w:cs="Times New Roman"/>
          <w:sz w:val="24"/>
          <w:szCs w:val="24"/>
        </w:rPr>
        <w:t xml:space="preserve">trade balance, </w:t>
      </w:r>
      <w:r w:rsidR="00B77939" w:rsidRPr="00DF318C">
        <w:rPr>
          <w:rFonts w:ascii="Times New Roman" w:eastAsia="Calibri" w:hAnsi="Times New Roman" w:cs="Times New Roman"/>
          <w:sz w:val="24"/>
          <w:szCs w:val="24"/>
        </w:rPr>
        <w:t>M2 money &amp; Commercial Bank’s lending rate</w:t>
      </w:r>
      <w:r w:rsidR="00B77939">
        <w:rPr>
          <w:rFonts w:ascii="Times New Roman" w:eastAsia="Calibri" w:hAnsi="Times New Roman" w:cs="Times New Roman"/>
          <w:sz w:val="24"/>
          <w:szCs w:val="24"/>
        </w:rPr>
        <w:t xml:space="preserve"> was obtained from</w:t>
      </w:r>
      <w:r w:rsidR="00B77939" w:rsidRPr="004C1D34">
        <w:rPr>
          <w:rFonts w:ascii="Times New Roman" w:eastAsia="Calibri" w:hAnsi="Times New Roman" w:cs="Times New Roman"/>
          <w:sz w:val="24"/>
          <w:szCs w:val="24"/>
        </w:rPr>
        <w:t xml:space="preserve"> </w:t>
      </w:r>
      <w:r w:rsidR="00B77939">
        <w:rPr>
          <w:rFonts w:ascii="Times New Roman" w:eastAsia="Calibri" w:hAnsi="Times New Roman" w:cs="Times New Roman"/>
          <w:sz w:val="24"/>
          <w:szCs w:val="24"/>
        </w:rPr>
        <w:t>c</w:t>
      </w:r>
      <w:r w:rsidR="00CC3E04">
        <w:rPr>
          <w:rFonts w:ascii="Times New Roman" w:eastAsia="Calibri" w:hAnsi="Times New Roman" w:cs="Times New Roman"/>
          <w:sz w:val="24"/>
          <w:szCs w:val="24"/>
        </w:rPr>
        <w:t>ountry-specific Central Banks’ and</w:t>
      </w:r>
      <w:r w:rsidR="00B77939" w:rsidRPr="00DF318C">
        <w:rPr>
          <w:rFonts w:ascii="Times New Roman" w:eastAsia="Calibri" w:hAnsi="Times New Roman" w:cs="Times New Roman"/>
          <w:sz w:val="24"/>
          <w:szCs w:val="24"/>
        </w:rPr>
        <w:t xml:space="preserve"> the National Bureau of Statistics databases</w:t>
      </w:r>
      <w:r w:rsidR="00B77939">
        <w:rPr>
          <w:rFonts w:ascii="Times New Roman" w:eastAsia="Calibri" w:hAnsi="Times New Roman" w:cs="Times New Roman"/>
          <w:sz w:val="24"/>
          <w:szCs w:val="24"/>
        </w:rPr>
        <w:t>.</w:t>
      </w:r>
      <w:r w:rsidR="00B77939">
        <w:rPr>
          <w:rFonts w:ascii="Times New Roman" w:eastAsia="Calibri" w:hAnsi="Times New Roman" w:cs="Times New Roman"/>
        </w:rPr>
        <w:t xml:space="preserve"> </w:t>
      </w:r>
      <w:r w:rsidR="00B77939" w:rsidRPr="006B54EC">
        <w:rPr>
          <w:rFonts w:ascii="Times New Roman" w:eastAsia="Calibri" w:hAnsi="Times New Roman" w:cs="Times New Roman"/>
          <w:sz w:val="24"/>
          <w:szCs w:val="24"/>
        </w:rPr>
        <w:t xml:space="preserve">The data on </w:t>
      </w:r>
      <w:r w:rsidR="00A832E5" w:rsidRPr="006B54EC">
        <w:rPr>
          <w:rFonts w:ascii="Times New Roman" w:eastAsia="Calibri" w:hAnsi="Times New Roman" w:cs="Times New Roman"/>
          <w:sz w:val="24"/>
          <w:szCs w:val="24"/>
        </w:rPr>
        <w:t>COVID-19 confirmed cases were</w:t>
      </w:r>
      <w:r w:rsidR="00B77939" w:rsidRPr="006B54EC">
        <w:rPr>
          <w:rFonts w:ascii="Times New Roman" w:eastAsia="Calibri" w:hAnsi="Times New Roman" w:cs="Times New Roman"/>
          <w:sz w:val="24"/>
          <w:szCs w:val="24"/>
        </w:rPr>
        <w:t xml:space="preserve"> sourced from WHO reports and country-specific ministries of health database</w:t>
      </w:r>
      <w:r w:rsidR="003163D4">
        <w:rPr>
          <w:rFonts w:ascii="Times New Roman" w:eastAsia="Calibri" w:hAnsi="Times New Roman" w:cs="Times New Roman"/>
          <w:sz w:val="24"/>
          <w:szCs w:val="24"/>
        </w:rPr>
        <w:t>s while data on oil prices were</w:t>
      </w:r>
      <w:r w:rsidR="006B54EC">
        <w:rPr>
          <w:rFonts w:ascii="Times New Roman" w:eastAsia="Calibri" w:hAnsi="Times New Roman" w:cs="Times New Roman"/>
          <w:sz w:val="24"/>
          <w:szCs w:val="24"/>
        </w:rPr>
        <w:t xml:space="preserve"> obtained from the OPEC database.</w:t>
      </w:r>
    </w:p>
    <w:p w:rsidR="005E58EA" w:rsidRDefault="005E58EA" w:rsidP="005E58EA">
      <w:pPr>
        <w:spacing w:after="0" w:line="360" w:lineRule="auto"/>
        <w:jc w:val="both"/>
        <w:rPr>
          <w:rFonts w:ascii="Times New Roman" w:eastAsia="Times New Roman" w:hAnsi="Times New Roman" w:cs="Times New Roman"/>
          <w:b/>
          <w:sz w:val="24"/>
          <w:szCs w:val="24"/>
        </w:rPr>
      </w:pPr>
    </w:p>
    <w:p w:rsidR="00D101A5" w:rsidRPr="00D101A5" w:rsidRDefault="00992DB4" w:rsidP="005E58E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Empirical Findings</w:t>
      </w:r>
    </w:p>
    <w:p w:rsidR="00EE0BE0" w:rsidRPr="00316ABB" w:rsidRDefault="0011008E" w:rsidP="005E58EA">
      <w:pPr>
        <w:spacing w:line="360" w:lineRule="auto"/>
        <w:jc w:val="both"/>
        <w:rPr>
          <w:rFonts w:ascii="Times New Roman" w:eastAsia="Calibri" w:hAnsi="Times New Roman" w:cs="Times New Roman"/>
          <w:b/>
          <w:bCs/>
          <w:sz w:val="24"/>
          <w:szCs w:val="24"/>
        </w:rPr>
      </w:pPr>
      <w:proofErr w:type="gramStart"/>
      <w:r>
        <w:rPr>
          <w:rFonts w:ascii="Times New Roman" w:hAnsi="Times New Roman" w:cs="Times New Roman"/>
          <w:b/>
          <w:bCs/>
          <w:sz w:val="24"/>
          <w:szCs w:val="24"/>
        </w:rPr>
        <w:t xml:space="preserve">4. </w:t>
      </w:r>
      <w:r w:rsidR="00D101A5">
        <w:rPr>
          <w:rFonts w:ascii="Times New Roman" w:hAnsi="Times New Roman" w:cs="Times New Roman"/>
          <w:b/>
          <w:bCs/>
          <w:sz w:val="24"/>
          <w:szCs w:val="24"/>
        </w:rPr>
        <w:t>1</w:t>
      </w:r>
      <w:r w:rsidR="00FD0796">
        <w:rPr>
          <w:rFonts w:ascii="Times New Roman" w:hAnsi="Times New Roman" w:cs="Times New Roman"/>
          <w:b/>
          <w:bCs/>
          <w:sz w:val="24"/>
          <w:szCs w:val="24"/>
        </w:rPr>
        <w:t xml:space="preserve"> Pre-estimation t</w:t>
      </w:r>
      <w:r w:rsidR="00EE0BE0" w:rsidRPr="00316ABB">
        <w:rPr>
          <w:rFonts w:ascii="Times New Roman" w:hAnsi="Times New Roman" w:cs="Times New Roman"/>
          <w:b/>
          <w:bCs/>
          <w:sz w:val="24"/>
          <w:szCs w:val="24"/>
        </w:rPr>
        <w:t>est</w:t>
      </w:r>
      <w:r w:rsidR="00A8726E">
        <w:rPr>
          <w:rFonts w:ascii="Times New Roman" w:hAnsi="Times New Roman" w:cs="Times New Roman"/>
          <w:b/>
          <w:bCs/>
          <w:sz w:val="24"/>
          <w:szCs w:val="24"/>
        </w:rPr>
        <w:t>s</w:t>
      </w:r>
      <w:proofErr w:type="gramEnd"/>
    </w:p>
    <w:p w:rsidR="002D1188" w:rsidRDefault="00B26D63" w:rsidP="005E58E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E0BE0">
        <w:rPr>
          <w:rFonts w:ascii="Times New Roman" w:hAnsi="Times New Roman" w:cs="Times New Roman"/>
          <w:sz w:val="24"/>
          <w:szCs w:val="24"/>
        </w:rPr>
        <w:t>o obtain efficient and unbiased estimates</w:t>
      </w:r>
      <w:r>
        <w:rPr>
          <w:rFonts w:ascii="Times New Roman" w:hAnsi="Times New Roman" w:cs="Times New Roman"/>
          <w:sz w:val="24"/>
          <w:szCs w:val="24"/>
        </w:rPr>
        <w:t>,</w:t>
      </w:r>
      <w:r w:rsidR="002D1188">
        <w:rPr>
          <w:rFonts w:ascii="Times New Roman" w:hAnsi="Times New Roman" w:cs="Times New Roman"/>
          <w:sz w:val="24"/>
          <w:szCs w:val="24"/>
        </w:rPr>
        <w:t xml:space="preserve"> several pre-estimation tests were</w:t>
      </w:r>
      <w:r w:rsidR="00EE0BE0">
        <w:rPr>
          <w:rFonts w:ascii="Times New Roman" w:hAnsi="Times New Roman" w:cs="Times New Roman"/>
          <w:sz w:val="24"/>
          <w:szCs w:val="24"/>
        </w:rPr>
        <w:t xml:space="preserve"> </w:t>
      </w:r>
      <w:r w:rsidR="00D101A5">
        <w:rPr>
          <w:rFonts w:ascii="Times New Roman" w:hAnsi="Times New Roman" w:cs="Times New Roman"/>
          <w:sz w:val="24"/>
          <w:szCs w:val="24"/>
        </w:rPr>
        <w:t xml:space="preserve">first </w:t>
      </w:r>
      <w:r w:rsidR="00EE0BE0">
        <w:rPr>
          <w:rFonts w:ascii="Times New Roman" w:hAnsi="Times New Roman" w:cs="Times New Roman"/>
          <w:sz w:val="24"/>
          <w:szCs w:val="24"/>
        </w:rPr>
        <w:t xml:space="preserve">carried out. </w:t>
      </w:r>
    </w:p>
    <w:p w:rsidR="002D1188" w:rsidRPr="002D1188" w:rsidRDefault="00B77939" w:rsidP="005E58E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4.1.1 </w:t>
      </w:r>
      <w:r w:rsidR="002D1188" w:rsidRPr="002D1188">
        <w:rPr>
          <w:rFonts w:ascii="Times New Roman" w:hAnsi="Times New Roman" w:cs="Times New Roman"/>
          <w:b/>
          <w:sz w:val="24"/>
          <w:szCs w:val="24"/>
        </w:rPr>
        <w:t>Correlation analysis</w:t>
      </w:r>
    </w:p>
    <w:p w:rsidR="002D1188" w:rsidRDefault="005E58EA" w:rsidP="00EE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265">
        <w:rPr>
          <w:rFonts w:ascii="Times New Roman" w:hAnsi="Times New Roman" w:cs="Times New Roman"/>
          <w:sz w:val="24"/>
          <w:szCs w:val="24"/>
        </w:rPr>
        <w:t>The c</w:t>
      </w:r>
      <w:r w:rsidR="002D1188">
        <w:rPr>
          <w:rFonts w:ascii="Times New Roman" w:hAnsi="Times New Roman" w:cs="Times New Roman"/>
          <w:sz w:val="24"/>
          <w:szCs w:val="24"/>
        </w:rPr>
        <w:t xml:space="preserve">orrelation analysis was </w:t>
      </w:r>
      <w:r w:rsidR="00640265">
        <w:rPr>
          <w:rFonts w:ascii="Times New Roman" w:hAnsi="Times New Roman" w:cs="Times New Roman"/>
          <w:sz w:val="24"/>
          <w:szCs w:val="24"/>
        </w:rPr>
        <w:t>conducted to test for the presence of multicollinearity</w:t>
      </w:r>
      <w:r w:rsidR="00EE0BE0">
        <w:rPr>
          <w:rFonts w:ascii="Times New Roman" w:hAnsi="Times New Roman" w:cs="Times New Roman"/>
          <w:sz w:val="24"/>
          <w:szCs w:val="24"/>
        </w:rPr>
        <w:t>.</w:t>
      </w:r>
      <w:r w:rsidR="002D1188">
        <w:rPr>
          <w:rFonts w:ascii="Times New Roman" w:hAnsi="Times New Roman" w:cs="Times New Roman"/>
          <w:sz w:val="24"/>
          <w:szCs w:val="24"/>
        </w:rPr>
        <w:t xml:space="preserve"> The pairwise correlation matrix revealed a weak degree of correlation among the independent variables </w:t>
      </w:r>
      <w:r w:rsidR="0028548A" w:rsidRPr="00A62C95">
        <w:rPr>
          <w:rFonts w:ascii="Times New Roman" w:hAnsi="Times New Roman" w:cs="Times New Roman"/>
          <w:sz w:val="24"/>
          <w:szCs w:val="24"/>
        </w:rPr>
        <w:t>(</w:t>
      </w:r>
      <w:r w:rsidR="0028548A" w:rsidRPr="00A62C95">
        <w:rPr>
          <w:rFonts w:ascii="Times New Roman" w:eastAsia="Times New Roman" w:hAnsi="Times New Roman" w:cs="Times New Roman"/>
          <w:sz w:val="24"/>
          <w:szCs w:val="24"/>
        </w:rPr>
        <w:t>see Appendix Table A2</w:t>
      </w:r>
      <w:r w:rsidR="0028548A" w:rsidRPr="00A62C95">
        <w:rPr>
          <w:rFonts w:ascii="Times New Roman" w:hAnsi="Times New Roman" w:cs="Times New Roman"/>
          <w:sz w:val="24"/>
          <w:szCs w:val="24"/>
        </w:rPr>
        <w:t>)</w:t>
      </w:r>
      <w:r w:rsidR="000C7D43">
        <w:rPr>
          <w:rFonts w:ascii="Times New Roman" w:hAnsi="Times New Roman" w:cs="Times New Roman"/>
          <w:sz w:val="24"/>
          <w:szCs w:val="24"/>
        </w:rPr>
        <w:t>.</w:t>
      </w:r>
      <w:r w:rsidR="00EE0BE0">
        <w:rPr>
          <w:rFonts w:ascii="Times New Roman" w:hAnsi="Times New Roman" w:cs="Times New Roman"/>
          <w:sz w:val="24"/>
          <w:szCs w:val="24"/>
        </w:rPr>
        <w:t xml:space="preserve"> </w:t>
      </w:r>
    </w:p>
    <w:p w:rsidR="000C7D43" w:rsidRDefault="000C7D43" w:rsidP="00EE0BE0">
      <w:pPr>
        <w:spacing w:after="0" w:line="360" w:lineRule="auto"/>
        <w:jc w:val="both"/>
        <w:rPr>
          <w:rFonts w:ascii="Times New Roman" w:hAnsi="Times New Roman" w:cs="Times New Roman"/>
          <w:sz w:val="24"/>
          <w:szCs w:val="24"/>
        </w:rPr>
      </w:pPr>
    </w:p>
    <w:p w:rsidR="002D1188" w:rsidRPr="003E3475" w:rsidRDefault="00B77939" w:rsidP="00AE5168">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8A2B5A" w:rsidRPr="003E3475">
        <w:rPr>
          <w:rFonts w:ascii="Times New Roman" w:hAnsi="Times New Roman" w:cs="Times New Roman"/>
          <w:b/>
          <w:sz w:val="24"/>
          <w:szCs w:val="24"/>
        </w:rPr>
        <w:t xml:space="preserve">.2 </w:t>
      </w:r>
      <w:r w:rsidR="00FD0796">
        <w:rPr>
          <w:rFonts w:ascii="Times New Roman" w:hAnsi="Times New Roman" w:cs="Times New Roman"/>
          <w:b/>
          <w:sz w:val="24"/>
          <w:szCs w:val="24"/>
        </w:rPr>
        <w:t>Panel unit root t</w:t>
      </w:r>
      <w:r w:rsidR="003E3475" w:rsidRPr="003E3475">
        <w:rPr>
          <w:rFonts w:ascii="Times New Roman" w:hAnsi="Times New Roman" w:cs="Times New Roman"/>
          <w:b/>
          <w:sz w:val="24"/>
          <w:szCs w:val="24"/>
        </w:rPr>
        <w:t>est</w:t>
      </w:r>
    </w:p>
    <w:p w:rsidR="00C469AE" w:rsidRDefault="00AE5168" w:rsidP="00EE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37A0">
        <w:rPr>
          <w:rFonts w:ascii="Times New Roman" w:hAnsi="Times New Roman" w:cs="Times New Roman"/>
          <w:sz w:val="24"/>
          <w:szCs w:val="24"/>
        </w:rPr>
        <w:t xml:space="preserve">This study conducted a panel </w:t>
      </w:r>
      <w:r w:rsidR="003E3475">
        <w:rPr>
          <w:rFonts w:ascii="Times New Roman" w:hAnsi="Times New Roman" w:cs="Times New Roman"/>
          <w:sz w:val="24"/>
          <w:szCs w:val="24"/>
        </w:rPr>
        <w:t>u</w:t>
      </w:r>
      <w:r w:rsidR="00EE0BE0">
        <w:rPr>
          <w:rFonts w:ascii="Times New Roman" w:hAnsi="Times New Roman" w:cs="Times New Roman"/>
          <w:sz w:val="24"/>
          <w:szCs w:val="24"/>
        </w:rPr>
        <w:t xml:space="preserve">nit </w:t>
      </w:r>
      <w:r w:rsidR="00CD2079">
        <w:rPr>
          <w:rFonts w:ascii="Times New Roman" w:hAnsi="Times New Roman" w:cs="Times New Roman"/>
          <w:sz w:val="24"/>
          <w:szCs w:val="24"/>
        </w:rPr>
        <w:t xml:space="preserve">root test using the IPS test (Im </w:t>
      </w:r>
      <w:r w:rsidR="00CD2079" w:rsidRPr="00794121">
        <w:rPr>
          <w:rFonts w:ascii="Times New Roman" w:hAnsi="Times New Roman" w:cs="Times New Roman"/>
          <w:i/>
          <w:sz w:val="24"/>
          <w:szCs w:val="24"/>
        </w:rPr>
        <w:t>et al.,</w:t>
      </w:r>
      <w:r w:rsidR="00CD2079">
        <w:rPr>
          <w:rFonts w:ascii="Times New Roman" w:hAnsi="Times New Roman" w:cs="Times New Roman"/>
          <w:sz w:val="24"/>
          <w:szCs w:val="24"/>
        </w:rPr>
        <w:t xml:space="preserve"> 1997) </w:t>
      </w:r>
      <w:r w:rsidR="003E3475">
        <w:rPr>
          <w:rFonts w:ascii="Times New Roman" w:hAnsi="Times New Roman" w:cs="Times New Roman"/>
          <w:sz w:val="24"/>
          <w:szCs w:val="24"/>
        </w:rPr>
        <w:t>to</w:t>
      </w:r>
      <w:r w:rsidR="00EE0BE0">
        <w:rPr>
          <w:rFonts w:ascii="Times New Roman" w:hAnsi="Times New Roman" w:cs="Times New Roman"/>
          <w:sz w:val="24"/>
          <w:szCs w:val="24"/>
        </w:rPr>
        <w:t xml:space="preserve"> check </w:t>
      </w:r>
      <w:r w:rsidR="00A737A0">
        <w:rPr>
          <w:rFonts w:ascii="Times New Roman" w:hAnsi="Times New Roman" w:cs="Times New Roman"/>
          <w:sz w:val="24"/>
          <w:szCs w:val="24"/>
        </w:rPr>
        <w:t xml:space="preserve">for the stationarity level of </w:t>
      </w:r>
      <w:r w:rsidR="00EE0BE0">
        <w:rPr>
          <w:rFonts w:ascii="Times New Roman" w:hAnsi="Times New Roman" w:cs="Times New Roman"/>
          <w:sz w:val="24"/>
          <w:szCs w:val="24"/>
        </w:rPr>
        <w:t xml:space="preserve">the variables. </w:t>
      </w:r>
      <w:r w:rsidR="009468C3">
        <w:rPr>
          <w:rFonts w:ascii="Times New Roman" w:hAnsi="Times New Roman" w:cs="Times New Roman"/>
          <w:sz w:val="24"/>
          <w:szCs w:val="24"/>
        </w:rPr>
        <w:t>The panel ARDL model requires that the variables be integrated of order 0 or 1 or a combination of</w:t>
      </w:r>
      <w:r w:rsidR="00CD2079">
        <w:rPr>
          <w:rFonts w:ascii="Times New Roman" w:hAnsi="Times New Roman" w:cs="Times New Roman"/>
          <w:sz w:val="24"/>
          <w:szCs w:val="24"/>
        </w:rPr>
        <w:t xml:space="preserve"> both. The IPS unit root test </w:t>
      </w:r>
      <w:r w:rsidR="009468C3">
        <w:rPr>
          <w:rFonts w:ascii="Times New Roman" w:hAnsi="Times New Roman" w:cs="Times New Roman"/>
          <w:sz w:val="24"/>
          <w:szCs w:val="24"/>
        </w:rPr>
        <w:t xml:space="preserve">assumes </w:t>
      </w:r>
      <w:r w:rsidR="00CD2079">
        <w:rPr>
          <w:rFonts w:ascii="Times New Roman" w:hAnsi="Times New Roman" w:cs="Times New Roman"/>
          <w:sz w:val="24"/>
          <w:szCs w:val="24"/>
        </w:rPr>
        <w:t xml:space="preserve">that slopes are </w:t>
      </w:r>
      <w:r w:rsidR="009468C3">
        <w:rPr>
          <w:rFonts w:ascii="Times New Roman" w:hAnsi="Times New Roman" w:cs="Times New Roman"/>
          <w:sz w:val="24"/>
          <w:szCs w:val="24"/>
        </w:rPr>
        <w:t>heteroge</w:t>
      </w:r>
      <w:r w:rsidR="00CD2079">
        <w:rPr>
          <w:rFonts w:ascii="Times New Roman" w:hAnsi="Times New Roman" w:cs="Times New Roman"/>
          <w:sz w:val="24"/>
          <w:szCs w:val="24"/>
        </w:rPr>
        <w:t xml:space="preserve">neous across the panels. </w:t>
      </w:r>
      <w:r w:rsidR="000F4C36">
        <w:rPr>
          <w:rFonts w:ascii="Times New Roman" w:hAnsi="Times New Roman" w:cs="Times New Roman"/>
          <w:sz w:val="24"/>
          <w:szCs w:val="24"/>
        </w:rPr>
        <w:t>The null hypothesis postulates that all</w:t>
      </w:r>
      <w:r w:rsidR="00CD2079">
        <w:rPr>
          <w:rFonts w:ascii="Times New Roman" w:hAnsi="Times New Roman" w:cs="Times New Roman"/>
          <w:sz w:val="24"/>
          <w:szCs w:val="24"/>
        </w:rPr>
        <w:t xml:space="preserve"> panels contain unit roots against</w:t>
      </w:r>
      <w:r w:rsidR="000F4C36">
        <w:rPr>
          <w:rFonts w:ascii="Times New Roman" w:hAnsi="Times New Roman" w:cs="Times New Roman"/>
          <w:sz w:val="24"/>
          <w:szCs w:val="24"/>
        </w:rPr>
        <w:t xml:space="preserve"> t</w:t>
      </w:r>
      <w:r w:rsidR="00CD2079">
        <w:rPr>
          <w:rFonts w:ascii="Times New Roman" w:hAnsi="Times New Roman" w:cs="Times New Roman"/>
          <w:sz w:val="24"/>
          <w:szCs w:val="24"/>
        </w:rPr>
        <w:t xml:space="preserve">he alternative hypothesis </w:t>
      </w:r>
      <w:r w:rsidR="000F4C36">
        <w:rPr>
          <w:rFonts w:ascii="Times New Roman" w:hAnsi="Times New Roman" w:cs="Times New Roman"/>
          <w:sz w:val="24"/>
          <w:szCs w:val="24"/>
        </w:rPr>
        <w:t>that some panels are stationary. If the probability value is less than the 0.05 level of significance, we reject the null hypothesis of non-stationarity.</w:t>
      </w:r>
      <w:r w:rsidR="003E3475">
        <w:rPr>
          <w:rFonts w:ascii="Times New Roman" w:hAnsi="Times New Roman" w:cs="Times New Roman"/>
          <w:sz w:val="24"/>
          <w:szCs w:val="24"/>
        </w:rPr>
        <w:t xml:space="preserve"> </w:t>
      </w:r>
      <w:r w:rsidR="00A62C95" w:rsidRPr="00A62C95">
        <w:rPr>
          <w:rFonts w:ascii="Times New Roman" w:hAnsi="Times New Roman" w:cs="Times New Roman"/>
          <w:sz w:val="24"/>
          <w:szCs w:val="24"/>
        </w:rPr>
        <w:t xml:space="preserve">Table </w:t>
      </w:r>
      <w:r w:rsidR="00A62C95">
        <w:rPr>
          <w:rFonts w:ascii="Times New Roman" w:hAnsi="Times New Roman" w:cs="Times New Roman"/>
          <w:sz w:val="24"/>
          <w:szCs w:val="24"/>
        </w:rPr>
        <w:t>4</w:t>
      </w:r>
      <w:r w:rsidR="00CD2079">
        <w:rPr>
          <w:rFonts w:ascii="Times New Roman" w:hAnsi="Times New Roman" w:cs="Times New Roman"/>
          <w:sz w:val="24"/>
          <w:szCs w:val="24"/>
        </w:rPr>
        <w:t xml:space="preserve"> shows the</w:t>
      </w:r>
      <w:r w:rsidR="003E3475">
        <w:rPr>
          <w:rFonts w:ascii="Times New Roman" w:hAnsi="Times New Roman" w:cs="Times New Roman"/>
          <w:sz w:val="24"/>
          <w:szCs w:val="24"/>
        </w:rPr>
        <w:t xml:space="preserve"> </w:t>
      </w:r>
      <w:r w:rsidR="009468C3">
        <w:rPr>
          <w:rFonts w:ascii="Times New Roman" w:hAnsi="Times New Roman" w:cs="Times New Roman"/>
          <w:sz w:val="24"/>
          <w:szCs w:val="24"/>
        </w:rPr>
        <w:t xml:space="preserve">unit root test </w:t>
      </w:r>
      <w:r w:rsidR="00CD2079">
        <w:rPr>
          <w:rFonts w:ascii="Times New Roman" w:hAnsi="Times New Roman" w:cs="Times New Roman"/>
          <w:sz w:val="24"/>
          <w:szCs w:val="24"/>
        </w:rPr>
        <w:t>results.</w:t>
      </w:r>
    </w:p>
    <w:p w:rsidR="00374631" w:rsidRDefault="00374631"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4F5188" w:rsidRPr="000F4C36" w:rsidRDefault="00A62C95" w:rsidP="00EE0BE0">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4</w:t>
      </w:r>
      <w:r w:rsidR="000F4C36" w:rsidRPr="000F4C36">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0F4C36" w:rsidRPr="000F4C36">
        <w:rPr>
          <w:rFonts w:ascii="Times New Roman" w:hAnsi="Times New Roman" w:cs="Times New Roman"/>
          <w:b/>
          <w:sz w:val="24"/>
          <w:szCs w:val="24"/>
        </w:rPr>
        <w:t>Stationarity test results</w:t>
      </w:r>
    </w:p>
    <w:tbl>
      <w:tblPr>
        <w:tblStyle w:val="TableGrid"/>
        <w:tblW w:w="0" w:type="auto"/>
        <w:tblInd w:w="108" w:type="dxa"/>
        <w:tblLook w:val="04A0" w:firstRow="1" w:lastRow="0" w:firstColumn="1" w:lastColumn="0" w:noHBand="0" w:noVBand="1"/>
      </w:tblPr>
      <w:tblGrid>
        <w:gridCol w:w="4173"/>
        <w:gridCol w:w="1249"/>
        <w:gridCol w:w="1338"/>
        <w:gridCol w:w="1332"/>
        <w:gridCol w:w="1376"/>
      </w:tblGrid>
      <w:tr w:rsidR="000369A1" w:rsidTr="00E40F0E">
        <w:tc>
          <w:tcPr>
            <w:tcW w:w="4173" w:type="dxa"/>
          </w:tcPr>
          <w:p w:rsidR="00D23BB4" w:rsidRPr="00BF197F" w:rsidRDefault="00D23BB4" w:rsidP="00EE0BE0">
            <w:pPr>
              <w:spacing w:line="360" w:lineRule="auto"/>
              <w:jc w:val="both"/>
              <w:rPr>
                <w:rFonts w:ascii="Times New Roman" w:hAnsi="Times New Roman" w:cs="Times New Roman"/>
                <w:b/>
                <w:sz w:val="24"/>
                <w:szCs w:val="24"/>
              </w:rPr>
            </w:pPr>
            <w:r w:rsidRPr="00BF197F">
              <w:rPr>
                <w:rFonts w:ascii="Times New Roman" w:hAnsi="Times New Roman" w:cs="Times New Roman"/>
                <w:b/>
                <w:sz w:val="24"/>
                <w:szCs w:val="24"/>
              </w:rPr>
              <w:t>Variable</w:t>
            </w:r>
          </w:p>
        </w:tc>
        <w:tc>
          <w:tcPr>
            <w:tcW w:w="1249" w:type="dxa"/>
          </w:tcPr>
          <w:p w:rsidR="00D23BB4" w:rsidRPr="00BF197F" w:rsidRDefault="00D23BB4" w:rsidP="00EE0BE0">
            <w:pPr>
              <w:spacing w:line="360" w:lineRule="auto"/>
              <w:jc w:val="both"/>
              <w:rPr>
                <w:rFonts w:ascii="Times New Roman" w:hAnsi="Times New Roman" w:cs="Times New Roman"/>
                <w:b/>
                <w:sz w:val="24"/>
                <w:szCs w:val="24"/>
              </w:rPr>
            </w:pPr>
            <w:r w:rsidRPr="00BF197F">
              <w:rPr>
                <w:rFonts w:ascii="Times New Roman" w:hAnsi="Times New Roman" w:cs="Times New Roman"/>
                <w:b/>
                <w:sz w:val="24"/>
                <w:szCs w:val="24"/>
              </w:rPr>
              <w:t>Testing level</w:t>
            </w:r>
          </w:p>
        </w:tc>
        <w:tc>
          <w:tcPr>
            <w:tcW w:w="1338" w:type="dxa"/>
          </w:tcPr>
          <w:p w:rsidR="00D23BB4" w:rsidRPr="00BF197F" w:rsidRDefault="00D23BB4" w:rsidP="00EE0BE0">
            <w:pPr>
              <w:spacing w:line="360" w:lineRule="auto"/>
              <w:jc w:val="both"/>
              <w:rPr>
                <w:rFonts w:ascii="Times New Roman" w:hAnsi="Times New Roman" w:cs="Times New Roman"/>
                <w:b/>
                <w:sz w:val="24"/>
                <w:szCs w:val="24"/>
              </w:rPr>
            </w:pPr>
            <w:r w:rsidRPr="00BF197F">
              <w:rPr>
                <w:rFonts w:ascii="Times New Roman" w:hAnsi="Times New Roman" w:cs="Times New Roman"/>
                <w:b/>
                <w:sz w:val="24"/>
                <w:szCs w:val="24"/>
              </w:rPr>
              <w:t>W-t-bar Statistic</w:t>
            </w:r>
          </w:p>
        </w:tc>
        <w:tc>
          <w:tcPr>
            <w:tcW w:w="1332" w:type="dxa"/>
          </w:tcPr>
          <w:p w:rsidR="00D23BB4" w:rsidRPr="00BF197F" w:rsidRDefault="00D23BB4" w:rsidP="00EE0BE0">
            <w:pPr>
              <w:spacing w:line="360" w:lineRule="auto"/>
              <w:jc w:val="both"/>
              <w:rPr>
                <w:rFonts w:ascii="Times New Roman" w:hAnsi="Times New Roman" w:cs="Times New Roman"/>
                <w:b/>
                <w:sz w:val="24"/>
                <w:szCs w:val="24"/>
              </w:rPr>
            </w:pPr>
            <w:r w:rsidRPr="00BF197F">
              <w:rPr>
                <w:rFonts w:ascii="Times New Roman" w:hAnsi="Times New Roman" w:cs="Times New Roman"/>
                <w:b/>
                <w:sz w:val="24"/>
                <w:szCs w:val="24"/>
              </w:rPr>
              <w:t xml:space="preserve">W-t-bar </w:t>
            </w:r>
          </w:p>
          <w:p w:rsidR="00D23BB4" w:rsidRPr="00BF197F" w:rsidRDefault="00D23BB4" w:rsidP="00EE0BE0">
            <w:pPr>
              <w:spacing w:line="360" w:lineRule="auto"/>
              <w:jc w:val="both"/>
              <w:rPr>
                <w:rFonts w:ascii="Times New Roman" w:hAnsi="Times New Roman" w:cs="Times New Roman"/>
                <w:b/>
                <w:sz w:val="24"/>
                <w:szCs w:val="24"/>
              </w:rPr>
            </w:pPr>
            <w:r w:rsidRPr="00BF197F">
              <w:rPr>
                <w:rFonts w:ascii="Times New Roman" w:hAnsi="Times New Roman" w:cs="Times New Roman"/>
                <w:b/>
                <w:sz w:val="24"/>
                <w:szCs w:val="24"/>
              </w:rPr>
              <w:t>P-value</w:t>
            </w:r>
          </w:p>
        </w:tc>
        <w:tc>
          <w:tcPr>
            <w:tcW w:w="1376" w:type="dxa"/>
          </w:tcPr>
          <w:p w:rsidR="00D23BB4" w:rsidRPr="00BF197F" w:rsidRDefault="00D23BB4" w:rsidP="00EE0BE0">
            <w:pPr>
              <w:spacing w:line="360" w:lineRule="auto"/>
              <w:jc w:val="both"/>
              <w:rPr>
                <w:rFonts w:ascii="Times New Roman" w:hAnsi="Times New Roman" w:cs="Times New Roman"/>
                <w:b/>
                <w:sz w:val="24"/>
                <w:szCs w:val="24"/>
              </w:rPr>
            </w:pPr>
            <w:r w:rsidRPr="00BF197F">
              <w:rPr>
                <w:rFonts w:ascii="Times New Roman" w:hAnsi="Times New Roman" w:cs="Times New Roman"/>
                <w:b/>
                <w:sz w:val="24"/>
                <w:szCs w:val="24"/>
              </w:rPr>
              <w:t>Order of Integration</w:t>
            </w:r>
          </w:p>
        </w:tc>
      </w:tr>
      <w:tr w:rsidR="000369A1" w:rsidTr="00E40F0E">
        <w:tc>
          <w:tcPr>
            <w:tcW w:w="4173" w:type="dxa"/>
          </w:tcPr>
          <w:p w:rsidR="00D23BB4" w:rsidRPr="00BF197F" w:rsidRDefault="004D06B3" w:rsidP="004D06B3">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lnConsumer Price Index</m:t>
                </m:r>
              </m:oMath>
            </m:oMathPara>
          </w:p>
        </w:tc>
        <w:tc>
          <w:tcPr>
            <w:tcW w:w="1249" w:type="dxa"/>
          </w:tcPr>
          <w:p w:rsidR="00D23BB4" w:rsidRPr="00BF197F" w:rsidRDefault="004D06B3"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Level</w:t>
            </w:r>
          </w:p>
          <w:p w:rsidR="004D06B3" w:rsidRPr="00BF197F" w:rsidRDefault="004D06B3"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1</w:t>
            </w:r>
            <w:r w:rsidRPr="00BF197F">
              <w:rPr>
                <w:rFonts w:ascii="Times New Roman" w:hAnsi="Times New Roman" w:cs="Times New Roman"/>
                <w:sz w:val="24"/>
                <w:szCs w:val="24"/>
                <w:vertAlign w:val="superscript"/>
              </w:rPr>
              <w:t>st</w:t>
            </w:r>
            <w:r w:rsidRPr="00BF197F">
              <w:rPr>
                <w:rFonts w:ascii="Times New Roman" w:hAnsi="Times New Roman" w:cs="Times New Roman"/>
                <w:sz w:val="24"/>
                <w:szCs w:val="24"/>
              </w:rPr>
              <w:t xml:space="preserve">  D</w:t>
            </w:r>
          </w:p>
        </w:tc>
        <w:tc>
          <w:tcPr>
            <w:tcW w:w="1338" w:type="dxa"/>
          </w:tcPr>
          <w:p w:rsidR="00D23BB4" w:rsidRPr="00BF197F" w:rsidRDefault="00A35AFF"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-1.0382</w:t>
            </w:r>
          </w:p>
          <w:p w:rsidR="004D06B3" w:rsidRPr="00BF197F" w:rsidRDefault="00A35AFF"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-3.2160</w:t>
            </w:r>
          </w:p>
        </w:tc>
        <w:tc>
          <w:tcPr>
            <w:tcW w:w="1332" w:type="dxa"/>
          </w:tcPr>
          <w:p w:rsidR="00D23BB4" w:rsidRPr="00BF197F" w:rsidRDefault="00A35AFF"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0.1496</w:t>
            </w:r>
          </w:p>
          <w:p w:rsidR="004D06B3" w:rsidRPr="00BF197F" w:rsidRDefault="00A35AFF"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0.000</w:t>
            </w:r>
            <w:r w:rsidR="004D06B3" w:rsidRPr="00BF197F">
              <w:rPr>
                <w:rFonts w:ascii="Times New Roman" w:hAnsi="Times New Roman" w:cs="Times New Roman"/>
                <w:sz w:val="24"/>
                <w:szCs w:val="24"/>
              </w:rPr>
              <w:t>6</w:t>
            </w:r>
          </w:p>
        </w:tc>
        <w:tc>
          <w:tcPr>
            <w:tcW w:w="1376" w:type="dxa"/>
          </w:tcPr>
          <w:p w:rsidR="00D23BB4" w:rsidRPr="00BF197F" w:rsidRDefault="004D06B3"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I (1)</w:t>
            </w:r>
          </w:p>
        </w:tc>
      </w:tr>
      <w:tr w:rsidR="00C469AE" w:rsidTr="00E40F0E">
        <w:tc>
          <w:tcPr>
            <w:tcW w:w="4173" w:type="dxa"/>
          </w:tcPr>
          <w:p w:rsidR="00C469AE" w:rsidRPr="00BF197F" w:rsidRDefault="00C469AE" w:rsidP="00124274">
            <w:pPr>
              <w:spacing w:line="360" w:lineRule="auto"/>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lnOil Price</m:t>
                </m:r>
              </m:oMath>
            </m:oMathPara>
          </w:p>
        </w:tc>
        <w:tc>
          <w:tcPr>
            <w:tcW w:w="1249" w:type="dxa"/>
          </w:tcPr>
          <w:p w:rsidR="00C469AE" w:rsidRPr="00BF197F" w:rsidRDefault="00C469AE"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Level</w:t>
            </w:r>
          </w:p>
        </w:tc>
        <w:tc>
          <w:tcPr>
            <w:tcW w:w="1338" w:type="dxa"/>
          </w:tcPr>
          <w:p w:rsidR="00C469AE" w:rsidRPr="00BF197F" w:rsidRDefault="00C469AE"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-3.5196</w:t>
            </w:r>
          </w:p>
        </w:tc>
        <w:tc>
          <w:tcPr>
            <w:tcW w:w="1332" w:type="dxa"/>
          </w:tcPr>
          <w:p w:rsidR="00C469AE" w:rsidRPr="00BF197F" w:rsidRDefault="00C469AE"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0.0002</w:t>
            </w:r>
          </w:p>
        </w:tc>
        <w:tc>
          <w:tcPr>
            <w:tcW w:w="1376" w:type="dxa"/>
          </w:tcPr>
          <w:p w:rsidR="00C469AE" w:rsidRPr="00BF197F" w:rsidRDefault="00C469AE"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I (0)</w:t>
            </w:r>
          </w:p>
        </w:tc>
      </w:tr>
      <w:tr w:rsidR="00E95F0C" w:rsidTr="00E40F0E">
        <w:tc>
          <w:tcPr>
            <w:tcW w:w="4173" w:type="dxa"/>
          </w:tcPr>
          <w:p w:rsidR="00E95F0C" w:rsidRPr="00BF197F" w:rsidRDefault="00E95F0C" w:rsidP="00124274">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lnCovid Cases</m:t>
                </m:r>
              </m:oMath>
            </m:oMathPara>
          </w:p>
        </w:tc>
        <w:tc>
          <w:tcPr>
            <w:tcW w:w="1249"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Level</w:t>
            </w:r>
          </w:p>
        </w:tc>
        <w:tc>
          <w:tcPr>
            <w:tcW w:w="1338"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-3.4229</w:t>
            </w:r>
          </w:p>
        </w:tc>
        <w:tc>
          <w:tcPr>
            <w:tcW w:w="1332"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0.0003</w:t>
            </w:r>
          </w:p>
        </w:tc>
        <w:tc>
          <w:tcPr>
            <w:tcW w:w="1376"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I (0)</w:t>
            </w:r>
          </w:p>
        </w:tc>
      </w:tr>
      <w:tr w:rsidR="00E95F0C" w:rsidTr="00E40F0E">
        <w:tc>
          <w:tcPr>
            <w:tcW w:w="4173" w:type="dxa"/>
          </w:tcPr>
          <w:p w:rsidR="00E95F0C" w:rsidRPr="00BF197F" w:rsidRDefault="00E95F0C" w:rsidP="00CD2079">
            <w:pPr>
              <w:spacing w:line="360" w:lineRule="auto"/>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lnTrade Balance</m:t>
                </m:r>
              </m:oMath>
            </m:oMathPara>
          </w:p>
        </w:tc>
        <w:tc>
          <w:tcPr>
            <w:tcW w:w="1249" w:type="dxa"/>
          </w:tcPr>
          <w:p w:rsidR="00E36A0A" w:rsidRDefault="00E95F0C" w:rsidP="00CD2079">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Level</w:t>
            </w:r>
          </w:p>
          <w:p w:rsidR="00E36A0A" w:rsidRPr="00BF197F" w:rsidRDefault="00E36A0A" w:rsidP="00B66248">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1</w:t>
            </w:r>
            <w:r w:rsidRPr="00BF197F">
              <w:rPr>
                <w:rFonts w:ascii="Times New Roman" w:hAnsi="Times New Roman" w:cs="Times New Roman"/>
                <w:sz w:val="24"/>
                <w:szCs w:val="24"/>
                <w:vertAlign w:val="superscript"/>
              </w:rPr>
              <w:t>st</w:t>
            </w:r>
            <w:r w:rsidRPr="00BF197F">
              <w:rPr>
                <w:rFonts w:ascii="Times New Roman" w:hAnsi="Times New Roman" w:cs="Times New Roman"/>
                <w:sz w:val="24"/>
                <w:szCs w:val="24"/>
              </w:rPr>
              <w:t xml:space="preserve"> D</w:t>
            </w:r>
          </w:p>
        </w:tc>
        <w:tc>
          <w:tcPr>
            <w:tcW w:w="1338" w:type="dxa"/>
          </w:tcPr>
          <w:p w:rsidR="00E95F0C" w:rsidRPr="00BF197F" w:rsidRDefault="001409E5" w:rsidP="00CD2079">
            <w:pPr>
              <w:spacing w:line="360" w:lineRule="auto"/>
              <w:jc w:val="both"/>
              <w:rPr>
                <w:rFonts w:ascii="Times New Roman" w:hAnsi="Times New Roman" w:cs="Times New Roman"/>
                <w:sz w:val="24"/>
                <w:szCs w:val="24"/>
              </w:rPr>
            </w:pPr>
            <w:r>
              <w:rPr>
                <w:rFonts w:ascii="Times New Roman" w:hAnsi="Times New Roman" w:cs="Times New Roman"/>
                <w:sz w:val="24"/>
                <w:szCs w:val="24"/>
              </w:rPr>
              <w:t>0.2187</w:t>
            </w:r>
          </w:p>
          <w:p w:rsidR="00E95F0C" w:rsidRPr="00BF197F" w:rsidRDefault="001409E5" w:rsidP="00CD2079">
            <w:pPr>
              <w:spacing w:line="360" w:lineRule="auto"/>
              <w:jc w:val="both"/>
              <w:rPr>
                <w:rFonts w:ascii="Times New Roman" w:hAnsi="Times New Roman" w:cs="Times New Roman"/>
                <w:sz w:val="24"/>
                <w:szCs w:val="24"/>
              </w:rPr>
            </w:pPr>
            <w:r>
              <w:rPr>
                <w:rFonts w:ascii="Times New Roman" w:hAnsi="Times New Roman" w:cs="Times New Roman"/>
                <w:sz w:val="24"/>
                <w:szCs w:val="24"/>
              </w:rPr>
              <w:t>-4.7161</w:t>
            </w:r>
          </w:p>
        </w:tc>
        <w:tc>
          <w:tcPr>
            <w:tcW w:w="1332" w:type="dxa"/>
          </w:tcPr>
          <w:p w:rsidR="00E95F0C" w:rsidRPr="00BF197F" w:rsidRDefault="001409E5" w:rsidP="00CD2079">
            <w:pPr>
              <w:spacing w:line="360" w:lineRule="auto"/>
              <w:jc w:val="both"/>
              <w:rPr>
                <w:rFonts w:ascii="Times New Roman" w:hAnsi="Times New Roman" w:cs="Times New Roman"/>
                <w:sz w:val="24"/>
                <w:szCs w:val="24"/>
              </w:rPr>
            </w:pPr>
            <w:r>
              <w:rPr>
                <w:rFonts w:ascii="Times New Roman" w:hAnsi="Times New Roman" w:cs="Times New Roman"/>
                <w:sz w:val="24"/>
                <w:szCs w:val="24"/>
              </w:rPr>
              <w:t>0.5866</w:t>
            </w:r>
          </w:p>
          <w:p w:rsidR="00E95F0C" w:rsidRPr="00BF197F" w:rsidRDefault="00E95F0C" w:rsidP="00CD2079">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0.0000</w:t>
            </w:r>
          </w:p>
        </w:tc>
        <w:tc>
          <w:tcPr>
            <w:tcW w:w="1376" w:type="dxa"/>
          </w:tcPr>
          <w:p w:rsidR="00E95F0C" w:rsidRPr="00BF197F" w:rsidRDefault="00E95F0C" w:rsidP="00CD2079">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I (1)</w:t>
            </w:r>
          </w:p>
        </w:tc>
      </w:tr>
      <w:tr w:rsidR="00E95F0C" w:rsidTr="00E40F0E">
        <w:tc>
          <w:tcPr>
            <w:tcW w:w="4173" w:type="dxa"/>
          </w:tcPr>
          <w:p w:rsidR="00E95F0C" w:rsidRPr="00BF197F" w:rsidRDefault="00E95F0C" w:rsidP="00124274">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lnM2 Money</m:t>
                </m:r>
              </m:oMath>
            </m:oMathPara>
          </w:p>
        </w:tc>
        <w:tc>
          <w:tcPr>
            <w:tcW w:w="1249"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Level</w:t>
            </w:r>
          </w:p>
        </w:tc>
        <w:tc>
          <w:tcPr>
            <w:tcW w:w="1338"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-1.6489</w:t>
            </w:r>
          </w:p>
        </w:tc>
        <w:tc>
          <w:tcPr>
            <w:tcW w:w="1332"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0.0496</w:t>
            </w:r>
          </w:p>
        </w:tc>
        <w:tc>
          <w:tcPr>
            <w:tcW w:w="1376" w:type="dxa"/>
          </w:tcPr>
          <w:p w:rsidR="00E95F0C" w:rsidRPr="00BF197F" w:rsidRDefault="00E95F0C" w:rsidP="00124274">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I (0)</w:t>
            </w:r>
          </w:p>
        </w:tc>
      </w:tr>
      <w:tr w:rsidR="00E95F0C" w:rsidTr="00E40F0E">
        <w:trPr>
          <w:trHeight w:val="413"/>
        </w:trPr>
        <w:tc>
          <w:tcPr>
            <w:tcW w:w="4173" w:type="dxa"/>
          </w:tcPr>
          <w:p w:rsidR="00E95F0C" w:rsidRPr="00BF197F" w:rsidRDefault="00E95F0C" w:rsidP="00EE0BE0">
            <w:pPr>
              <w:spacing w:line="360" w:lineRule="auto"/>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lnExchange Rate</m:t>
                </m:r>
              </m:oMath>
            </m:oMathPara>
          </w:p>
        </w:tc>
        <w:tc>
          <w:tcPr>
            <w:tcW w:w="1249" w:type="dxa"/>
          </w:tcPr>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Level</w:t>
            </w:r>
          </w:p>
        </w:tc>
        <w:tc>
          <w:tcPr>
            <w:tcW w:w="1338" w:type="dxa"/>
          </w:tcPr>
          <w:p w:rsidR="00E95F0C" w:rsidRPr="00BF197F" w:rsidRDefault="00E95F0C" w:rsidP="00D91049">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-2.0</w:t>
            </w:r>
            <w:r>
              <w:rPr>
                <w:rFonts w:ascii="Times New Roman" w:hAnsi="Times New Roman" w:cs="Times New Roman"/>
                <w:sz w:val="24"/>
                <w:szCs w:val="24"/>
              </w:rPr>
              <w:t>753</w:t>
            </w:r>
          </w:p>
        </w:tc>
        <w:tc>
          <w:tcPr>
            <w:tcW w:w="1332" w:type="dxa"/>
          </w:tcPr>
          <w:p w:rsidR="00E95F0C" w:rsidRPr="00BF197F" w:rsidRDefault="00E95F0C" w:rsidP="00D91049">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0.0190</w:t>
            </w:r>
          </w:p>
        </w:tc>
        <w:tc>
          <w:tcPr>
            <w:tcW w:w="1376" w:type="dxa"/>
          </w:tcPr>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I (0)</w:t>
            </w:r>
          </w:p>
        </w:tc>
      </w:tr>
      <w:tr w:rsidR="00E95F0C" w:rsidTr="00E40F0E">
        <w:tc>
          <w:tcPr>
            <w:tcW w:w="4173" w:type="dxa"/>
          </w:tcPr>
          <w:p w:rsidR="00E95F0C" w:rsidRPr="00BF197F" w:rsidRDefault="00E95F0C" w:rsidP="00EE0BE0">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Lending Rate</m:t>
                </m:r>
              </m:oMath>
            </m:oMathPara>
          </w:p>
        </w:tc>
        <w:tc>
          <w:tcPr>
            <w:tcW w:w="1249" w:type="dxa"/>
          </w:tcPr>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Level</w:t>
            </w:r>
          </w:p>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1</w:t>
            </w:r>
            <w:r w:rsidRPr="00BF197F">
              <w:rPr>
                <w:rFonts w:ascii="Times New Roman" w:hAnsi="Times New Roman" w:cs="Times New Roman"/>
                <w:sz w:val="24"/>
                <w:szCs w:val="24"/>
                <w:vertAlign w:val="superscript"/>
              </w:rPr>
              <w:t>st</w:t>
            </w:r>
            <w:r w:rsidRPr="00BF197F">
              <w:rPr>
                <w:rFonts w:ascii="Times New Roman" w:hAnsi="Times New Roman" w:cs="Times New Roman"/>
                <w:sz w:val="24"/>
                <w:szCs w:val="24"/>
              </w:rPr>
              <w:t xml:space="preserve"> D</w:t>
            </w:r>
          </w:p>
        </w:tc>
        <w:tc>
          <w:tcPr>
            <w:tcW w:w="1338" w:type="dxa"/>
          </w:tcPr>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-0.7678</w:t>
            </w:r>
          </w:p>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-3.5540</w:t>
            </w:r>
          </w:p>
        </w:tc>
        <w:tc>
          <w:tcPr>
            <w:tcW w:w="1332" w:type="dxa"/>
          </w:tcPr>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0.2213</w:t>
            </w:r>
          </w:p>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0.0002</w:t>
            </w:r>
          </w:p>
        </w:tc>
        <w:tc>
          <w:tcPr>
            <w:tcW w:w="1376" w:type="dxa"/>
          </w:tcPr>
          <w:p w:rsidR="00E95F0C" w:rsidRPr="00BF197F" w:rsidRDefault="00E95F0C" w:rsidP="00EE0BE0">
            <w:pPr>
              <w:spacing w:line="360" w:lineRule="auto"/>
              <w:jc w:val="both"/>
              <w:rPr>
                <w:rFonts w:ascii="Times New Roman" w:hAnsi="Times New Roman" w:cs="Times New Roman"/>
                <w:sz w:val="24"/>
                <w:szCs w:val="24"/>
              </w:rPr>
            </w:pPr>
            <w:r w:rsidRPr="00BF197F">
              <w:rPr>
                <w:rFonts w:ascii="Times New Roman" w:hAnsi="Times New Roman" w:cs="Times New Roman"/>
                <w:sz w:val="24"/>
                <w:szCs w:val="24"/>
              </w:rPr>
              <w:t>I (1)</w:t>
            </w:r>
          </w:p>
        </w:tc>
      </w:tr>
    </w:tbl>
    <w:p w:rsidR="000F4C36" w:rsidRDefault="001805D0" w:rsidP="00EE0BE0">
      <w:pPr>
        <w:spacing w:after="0" w:line="360" w:lineRule="auto"/>
        <w:jc w:val="both"/>
        <w:rPr>
          <w:rFonts w:ascii="Times New Roman" w:hAnsi="Times New Roman" w:cs="Times New Roman"/>
          <w:sz w:val="24"/>
          <w:szCs w:val="24"/>
        </w:rPr>
      </w:pPr>
      <w:r w:rsidRPr="001805D0">
        <w:rPr>
          <w:rFonts w:ascii="Times New Roman" w:hAnsi="Times New Roman" w:cs="Times New Roman"/>
          <w:b/>
          <w:sz w:val="24"/>
          <w:szCs w:val="24"/>
        </w:rPr>
        <w:t>Source:</w:t>
      </w:r>
      <w:r>
        <w:rPr>
          <w:rFonts w:ascii="Times New Roman" w:hAnsi="Times New Roman" w:cs="Times New Roman"/>
          <w:sz w:val="24"/>
          <w:szCs w:val="24"/>
        </w:rPr>
        <w:t xml:space="preserve"> Author’s computation from stata</w:t>
      </w:r>
    </w:p>
    <w:p w:rsidR="00573678" w:rsidRDefault="003C1C16" w:rsidP="00EE0BE0">
      <w:pPr>
        <w:spacing w:after="0" w:line="360" w:lineRule="auto"/>
        <w:jc w:val="both"/>
        <w:rPr>
          <w:rFonts w:ascii="Times New Roman" w:hAnsi="Times New Roman" w:cs="Times New Roman"/>
          <w:i/>
          <w:sz w:val="24"/>
          <w:szCs w:val="24"/>
        </w:rPr>
      </w:pPr>
      <w:r w:rsidRPr="003C1C16">
        <w:rPr>
          <w:rFonts w:ascii="Times New Roman" w:hAnsi="Times New Roman" w:cs="Times New Roman"/>
          <w:b/>
          <w:sz w:val="24"/>
          <w:szCs w:val="24"/>
        </w:rPr>
        <w:t>Notes:</w:t>
      </w:r>
      <w:r>
        <w:rPr>
          <w:rFonts w:ascii="Times New Roman" w:hAnsi="Times New Roman" w:cs="Times New Roman"/>
          <w:sz w:val="24"/>
          <w:szCs w:val="24"/>
        </w:rPr>
        <w:t xml:space="preserve"> </w:t>
      </w:r>
      <w:r w:rsidRPr="003C1C16">
        <w:rPr>
          <w:rFonts w:ascii="Times New Roman" w:hAnsi="Times New Roman" w:cs="Times New Roman"/>
          <w:i/>
          <w:sz w:val="24"/>
          <w:szCs w:val="24"/>
        </w:rPr>
        <w:t>D denotes difference.</w:t>
      </w:r>
    </w:p>
    <w:p w:rsidR="00374631" w:rsidRPr="00374631" w:rsidRDefault="00374631" w:rsidP="00EE0BE0">
      <w:pPr>
        <w:spacing w:after="0" w:line="360" w:lineRule="auto"/>
        <w:jc w:val="both"/>
        <w:rPr>
          <w:rFonts w:ascii="Times New Roman" w:hAnsi="Times New Roman" w:cs="Times New Roman"/>
          <w:i/>
          <w:sz w:val="24"/>
          <w:szCs w:val="24"/>
        </w:rPr>
      </w:pPr>
    </w:p>
    <w:p w:rsidR="000E0BB8" w:rsidRPr="007C4F2E" w:rsidRDefault="00374631" w:rsidP="00EE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03D">
        <w:rPr>
          <w:rFonts w:ascii="Times New Roman" w:hAnsi="Times New Roman" w:cs="Times New Roman"/>
          <w:sz w:val="24"/>
          <w:szCs w:val="24"/>
        </w:rPr>
        <w:t>From the stationarity test results</w:t>
      </w:r>
      <w:r w:rsidR="007C4F2E">
        <w:rPr>
          <w:rFonts w:ascii="Times New Roman" w:hAnsi="Times New Roman" w:cs="Times New Roman"/>
          <w:sz w:val="24"/>
          <w:szCs w:val="24"/>
        </w:rPr>
        <w:t xml:space="preserve"> presented in </w:t>
      </w:r>
      <w:r w:rsidR="007C4F2E" w:rsidRPr="005D48DA">
        <w:rPr>
          <w:rFonts w:ascii="Times New Roman" w:hAnsi="Times New Roman" w:cs="Times New Roman"/>
          <w:sz w:val="24"/>
          <w:szCs w:val="24"/>
        </w:rPr>
        <w:t xml:space="preserve">Table </w:t>
      </w:r>
      <w:r w:rsidR="005D48DA">
        <w:rPr>
          <w:rFonts w:ascii="Times New Roman" w:hAnsi="Times New Roman" w:cs="Times New Roman"/>
          <w:sz w:val="24"/>
          <w:szCs w:val="24"/>
        </w:rPr>
        <w:t>4</w:t>
      </w:r>
      <w:r w:rsidR="007C4F2E" w:rsidRPr="005D48DA">
        <w:rPr>
          <w:rFonts w:ascii="Times New Roman" w:hAnsi="Times New Roman" w:cs="Times New Roman"/>
          <w:sz w:val="24"/>
          <w:szCs w:val="24"/>
        </w:rPr>
        <w:t>,</w:t>
      </w:r>
      <w:r w:rsidR="007C4F2E">
        <w:rPr>
          <w:rFonts w:ascii="Times New Roman" w:hAnsi="Times New Roman" w:cs="Times New Roman"/>
          <w:sz w:val="24"/>
          <w:szCs w:val="24"/>
        </w:rPr>
        <w:t xml:space="preserve"> the variables were found to be integrated of order 0 or 1 or a combination of both. Thus, we estimate a panel ARDL model</w:t>
      </w:r>
      <w:r w:rsidR="0079003D">
        <w:rPr>
          <w:rFonts w:ascii="Times New Roman" w:hAnsi="Times New Roman" w:cs="Times New Roman"/>
          <w:sz w:val="24"/>
          <w:szCs w:val="24"/>
        </w:rPr>
        <w:t xml:space="preserve">. </w:t>
      </w:r>
      <w:r w:rsidR="001743C1">
        <w:rPr>
          <w:rFonts w:ascii="Times New Roman" w:hAnsi="Times New Roman" w:cs="Times New Roman"/>
          <w:sz w:val="24"/>
          <w:szCs w:val="24"/>
        </w:rPr>
        <w:t>The o</w:t>
      </w:r>
      <w:r w:rsidR="00EE0BE0">
        <w:rPr>
          <w:rFonts w:ascii="Times New Roman" w:hAnsi="Times New Roman" w:cs="Times New Roman"/>
          <w:sz w:val="24"/>
          <w:szCs w:val="24"/>
        </w:rPr>
        <w:t>ptim</w:t>
      </w:r>
      <w:r w:rsidR="009E6559">
        <w:rPr>
          <w:rFonts w:ascii="Times New Roman" w:hAnsi="Times New Roman" w:cs="Times New Roman"/>
          <w:sz w:val="24"/>
          <w:szCs w:val="24"/>
        </w:rPr>
        <w:t>al l</w:t>
      </w:r>
      <w:r w:rsidR="0017169C">
        <w:rPr>
          <w:rFonts w:ascii="Times New Roman" w:hAnsi="Times New Roman" w:cs="Times New Roman"/>
          <w:sz w:val="24"/>
          <w:szCs w:val="24"/>
        </w:rPr>
        <w:t xml:space="preserve">ag length of the </w:t>
      </w:r>
      <w:r w:rsidR="00EE0BE0">
        <w:rPr>
          <w:rFonts w:ascii="Times New Roman" w:hAnsi="Times New Roman" w:cs="Times New Roman"/>
          <w:sz w:val="24"/>
          <w:szCs w:val="24"/>
        </w:rPr>
        <w:t>varia</w:t>
      </w:r>
      <w:r w:rsidR="00B20945">
        <w:rPr>
          <w:rFonts w:ascii="Times New Roman" w:hAnsi="Times New Roman" w:cs="Times New Roman"/>
          <w:sz w:val="24"/>
          <w:szCs w:val="24"/>
        </w:rPr>
        <w:t>ble</w:t>
      </w:r>
      <w:r w:rsidR="0017169C">
        <w:rPr>
          <w:rFonts w:ascii="Times New Roman" w:hAnsi="Times New Roman" w:cs="Times New Roman"/>
          <w:sz w:val="24"/>
          <w:szCs w:val="24"/>
        </w:rPr>
        <w:t>s</w:t>
      </w:r>
      <w:r w:rsidR="00B94783">
        <w:rPr>
          <w:rFonts w:ascii="Times New Roman" w:hAnsi="Times New Roman" w:cs="Times New Roman"/>
          <w:sz w:val="24"/>
          <w:szCs w:val="24"/>
        </w:rPr>
        <w:t xml:space="preserve"> was </w:t>
      </w:r>
      <w:r w:rsidR="00EE0BE0">
        <w:rPr>
          <w:rFonts w:ascii="Times New Roman" w:hAnsi="Times New Roman" w:cs="Times New Roman"/>
          <w:sz w:val="24"/>
          <w:szCs w:val="24"/>
        </w:rPr>
        <w:t xml:space="preserve">determined using </w:t>
      </w:r>
      <w:r w:rsidR="00B94783" w:rsidRPr="007C4F2E">
        <w:rPr>
          <w:rFonts w:ascii="Times New Roman" w:hAnsi="Times New Roman" w:cs="Times New Roman"/>
          <w:sz w:val="24"/>
          <w:szCs w:val="24"/>
        </w:rPr>
        <w:t>Schwarz’s Bayesian Information Criterion (SB</w:t>
      </w:r>
      <w:r w:rsidR="00B20945" w:rsidRPr="007C4F2E">
        <w:rPr>
          <w:rFonts w:ascii="Times New Roman" w:hAnsi="Times New Roman" w:cs="Times New Roman"/>
          <w:sz w:val="24"/>
          <w:szCs w:val="24"/>
        </w:rPr>
        <w:t>IC)</w:t>
      </w:r>
      <w:r w:rsidR="00EE0BE0" w:rsidRPr="007C4F2E">
        <w:rPr>
          <w:rFonts w:ascii="Times New Roman" w:hAnsi="Times New Roman" w:cs="Times New Roman"/>
          <w:sz w:val="24"/>
          <w:szCs w:val="24"/>
        </w:rPr>
        <w:t xml:space="preserve">. </w:t>
      </w:r>
      <w:bookmarkStart w:id="8" w:name="_Hlk71945058"/>
      <w:r w:rsidR="007C4F2E" w:rsidRPr="007C4F2E">
        <w:rPr>
          <w:rFonts w:ascii="Times New Roman" w:hAnsi="Times New Roman" w:cs="Times New Roman"/>
          <w:sz w:val="24"/>
          <w:szCs w:val="24"/>
        </w:rPr>
        <w:t xml:space="preserve">The criterion specified a lag selection of </w:t>
      </w:r>
      <w:r w:rsidR="00CC3E04">
        <w:rPr>
          <w:rFonts w:ascii="Times New Roman" w:hAnsi="Times New Roman" w:cs="Times New Roman"/>
          <w:sz w:val="24"/>
          <w:szCs w:val="24"/>
        </w:rPr>
        <w:t xml:space="preserve">1 for the CPI &amp; oil price variables and </w:t>
      </w:r>
      <w:r w:rsidR="007C4F2E" w:rsidRPr="007C4F2E">
        <w:rPr>
          <w:rFonts w:ascii="Times New Roman" w:hAnsi="Times New Roman" w:cs="Times New Roman"/>
          <w:sz w:val="24"/>
          <w:szCs w:val="24"/>
        </w:rPr>
        <w:t>0</w:t>
      </w:r>
      <w:r w:rsidR="007C4F2E">
        <w:rPr>
          <w:rFonts w:ascii="Times New Roman" w:hAnsi="Times New Roman" w:cs="Times New Roman"/>
          <w:sz w:val="24"/>
          <w:szCs w:val="24"/>
        </w:rPr>
        <w:t xml:space="preserve"> </w:t>
      </w:r>
      <w:r w:rsidR="00CC3E04">
        <w:rPr>
          <w:rFonts w:ascii="Times New Roman" w:hAnsi="Times New Roman" w:cs="Times New Roman"/>
          <w:sz w:val="24"/>
          <w:szCs w:val="24"/>
        </w:rPr>
        <w:t xml:space="preserve">for the rest of the variables </w:t>
      </w:r>
      <w:r w:rsidR="00BB0144">
        <w:rPr>
          <w:rFonts w:ascii="Times New Roman" w:hAnsi="Times New Roman" w:cs="Times New Roman"/>
          <w:sz w:val="24"/>
          <w:szCs w:val="24"/>
        </w:rPr>
        <w:t xml:space="preserve">which was common for each variable across </w:t>
      </w:r>
      <w:r w:rsidR="007C4F2E">
        <w:rPr>
          <w:rFonts w:ascii="Times New Roman" w:hAnsi="Times New Roman" w:cs="Times New Roman"/>
          <w:sz w:val="24"/>
          <w:szCs w:val="24"/>
        </w:rPr>
        <w:t xml:space="preserve">all </w:t>
      </w:r>
      <w:r w:rsidR="00BB0144">
        <w:rPr>
          <w:rFonts w:ascii="Times New Roman" w:hAnsi="Times New Roman" w:cs="Times New Roman"/>
          <w:sz w:val="24"/>
          <w:szCs w:val="24"/>
        </w:rPr>
        <w:t>the c</w:t>
      </w:r>
      <w:r w:rsidR="007C4F2E">
        <w:rPr>
          <w:rFonts w:ascii="Times New Roman" w:hAnsi="Times New Roman" w:cs="Times New Roman"/>
          <w:sz w:val="24"/>
          <w:szCs w:val="24"/>
        </w:rPr>
        <w:t>ountries forming the panel.</w:t>
      </w:r>
    </w:p>
    <w:p w:rsidR="00573678" w:rsidRDefault="00573678" w:rsidP="00EE0BE0">
      <w:pPr>
        <w:spacing w:after="0" w:line="360" w:lineRule="auto"/>
        <w:jc w:val="both"/>
        <w:rPr>
          <w:rFonts w:ascii="Times New Roman" w:hAnsi="Times New Roman" w:cs="Times New Roman"/>
          <w:b/>
          <w:sz w:val="24"/>
          <w:szCs w:val="24"/>
        </w:rPr>
      </w:pPr>
    </w:p>
    <w:p w:rsidR="0079003D" w:rsidRPr="00025BA2" w:rsidRDefault="00025BA2" w:rsidP="00374631">
      <w:pPr>
        <w:spacing w:line="360" w:lineRule="auto"/>
        <w:jc w:val="both"/>
        <w:rPr>
          <w:rFonts w:ascii="Times New Roman" w:hAnsi="Times New Roman" w:cs="Times New Roman"/>
          <w:b/>
          <w:sz w:val="24"/>
          <w:szCs w:val="24"/>
        </w:rPr>
      </w:pPr>
      <w:r w:rsidRPr="00025BA2">
        <w:rPr>
          <w:rFonts w:ascii="Times New Roman" w:hAnsi="Times New Roman" w:cs="Times New Roman"/>
          <w:b/>
          <w:sz w:val="24"/>
          <w:szCs w:val="24"/>
        </w:rPr>
        <w:t>4.1.3 Hausman model specification test</w:t>
      </w:r>
    </w:p>
    <w:p w:rsidR="00374631" w:rsidRDefault="00374631" w:rsidP="00374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0BE0">
        <w:rPr>
          <w:rFonts w:ascii="Times New Roman" w:hAnsi="Times New Roman" w:cs="Times New Roman"/>
          <w:sz w:val="24"/>
          <w:szCs w:val="24"/>
        </w:rPr>
        <w:t>Hausman</w:t>
      </w:r>
      <w:r w:rsidR="002208FE">
        <w:rPr>
          <w:rFonts w:ascii="Times New Roman" w:hAnsi="Times New Roman" w:cs="Times New Roman"/>
          <w:sz w:val="24"/>
          <w:szCs w:val="24"/>
        </w:rPr>
        <w:t>’s</w:t>
      </w:r>
      <w:r w:rsidR="00025BA2">
        <w:rPr>
          <w:rFonts w:ascii="Times New Roman" w:hAnsi="Times New Roman" w:cs="Times New Roman"/>
          <w:sz w:val="24"/>
          <w:szCs w:val="24"/>
        </w:rPr>
        <w:t xml:space="preserve"> (1978) test was </w:t>
      </w:r>
      <w:r w:rsidR="00EE0BE0">
        <w:rPr>
          <w:rFonts w:ascii="Times New Roman" w:hAnsi="Times New Roman" w:cs="Times New Roman"/>
          <w:sz w:val="24"/>
          <w:szCs w:val="24"/>
        </w:rPr>
        <w:t>carried out to determ</w:t>
      </w:r>
      <w:r w:rsidR="00025BA2">
        <w:rPr>
          <w:rFonts w:ascii="Times New Roman" w:hAnsi="Times New Roman" w:cs="Times New Roman"/>
          <w:sz w:val="24"/>
          <w:szCs w:val="24"/>
        </w:rPr>
        <w:t xml:space="preserve">ine the most suitable model to be </w:t>
      </w:r>
      <w:r w:rsidR="0032324D">
        <w:rPr>
          <w:rFonts w:ascii="Times New Roman" w:hAnsi="Times New Roman" w:cs="Times New Roman"/>
          <w:sz w:val="24"/>
          <w:szCs w:val="24"/>
        </w:rPr>
        <w:t xml:space="preserve">estimated between </w:t>
      </w:r>
      <w:r w:rsidR="005C5029">
        <w:rPr>
          <w:rFonts w:ascii="Times New Roman" w:hAnsi="Times New Roman" w:cs="Times New Roman"/>
          <w:sz w:val="24"/>
          <w:szCs w:val="24"/>
        </w:rPr>
        <w:t>the</w:t>
      </w:r>
      <w:r w:rsidR="00877273">
        <w:rPr>
          <w:rFonts w:ascii="Times New Roman" w:hAnsi="Times New Roman" w:cs="Times New Roman"/>
          <w:sz w:val="24"/>
          <w:szCs w:val="24"/>
        </w:rPr>
        <w:t xml:space="preserve"> MG &amp;</w:t>
      </w:r>
      <w:r w:rsidR="00025BA2">
        <w:rPr>
          <w:rFonts w:ascii="Times New Roman" w:hAnsi="Times New Roman" w:cs="Times New Roman"/>
          <w:sz w:val="24"/>
          <w:szCs w:val="24"/>
        </w:rPr>
        <w:t xml:space="preserve"> </w:t>
      </w:r>
      <w:r w:rsidR="00EE0BE0">
        <w:rPr>
          <w:rFonts w:ascii="Times New Roman" w:hAnsi="Times New Roman" w:cs="Times New Roman"/>
          <w:sz w:val="24"/>
          <w:szCs w:val="24"/>
        </w:rPr>
        <w:t>the</w:t>
      </w:r>
      <w:bookmarkEnd w:id="8"/>
      <w:r w:rsidR="005C5029">
        <w:rPr>
          <w:rFonts w:ascii="Times New Roman" w:hAnsi="Times New Roman" w:cs="Times New Roman"/>
          <w:sz w:val="24"/>
          <w:szCs w:val="24"/>
        </w:rPr>
        <w:t xml:space="preserve"> PMG </w:t>
      </w:r>
      <w:r w:rsidR="00380A35">
        <w:rPr>
          <w:rFonts w:ascii="Times New Roman" w:hAnsi="Times New Roman" w:cs="Times New Roman"/>
          <w:sz w:val="24"/>
          <w:szCs w:val="24"/>
        </w:rPr>
        <w:t>estimators</w:t>
      </w:r>
      <w:r w:rsidR="00EE0BE0">
        <w:rPr>
          <w:rFonts w:ascii="Times New Roman" w:hAnsi="Times New Roman" w:cs="Times New Roman"/>
          <w:sz w:val="24"/>
          <w:szCs w:val="24"/>
        </w:rPr>
        <w:t xml:space="preserve">. </w:t>
      </w:r>
      <w:r w:rsidR="007164F2">
        <w:rPr>
          <w:rFonts w:ascii="Times New Roman" w:hAnsi="Times New Roman" w:cs="Times New Roman"/>
          <w:sz w:val="24"/>
          <w:szCs w:val="24"/>
        </w:rPr>
        <w:t>In choosing between the MG and PMG, t</w:t>
      </w:r>
      <w:r w:rsidR="00EE0BE0">
        <w:rPr>
          <w:rFonts w:ascii="Times New Roman" w:hAnsi="Times New Roman" w:cs="Times New Roman"/>
          <w:sz w:val="24"/>
          <w:szCs w:val="24"/>
        </w:rPr>
        <w:t>he null hypothesis</w:t>
      </w:r>
      <w:r w:rsidR="003A0350">
        <w:rPr>
          <w:rFonts w:ascii="Times New Roman" w:hAnsi="Times New Roman" w:cs="Times New Roman"/>
          <w:sz w:val="24"/>
          <w:szCs w:val="24"/>
        </w:rPr>
        <w:t xml:space="preserve"> states that </w:t>
      </w:r>
      <w:r w:rsidR="00EE0BE0">
        <w:rPr>
          <w:rFonts w:ascii="Times New Roman" w:hAnsi="Times New Roman" w:cs="Times New Roman"/>
          <w:sz w:val="24"/>
          <w:szCs w:val="24"/>
        </w:rPr>
        <w:t xml:space="preserve">MG and PMG </w:t>
      </w:r>
      <w:r w:rsidR="007164F2">
        <w:rPr>
          <w:rFonts w:ascii="Times New Roman" w:hAnsi="Times New Roman" w:cs="Times New Roman"/>
          <w:sz w:val="24"/>
          <w:szCs w:val="24"/>
        </w:rPr>
        <w:t>estimates are not significantly different; hence,</w:t>
      </w:r>
      <w:r w:rsidR="00EE0BE0">
        <w:rPr>
          <w:rFonts w:ascii="Times New Roman" w:hAnsi="Times New Roman" w:cs="Times New Roman"/>
          <w:sz w:val="24"/>
          <w:szCs w:val="24"/>
        </w:rPr>
        <w:t xml:space="preserve"> PMG is more efficient. </w:t>
      </w:r>
      <w:r w:rsidR="007164F2">
        <w:rPr>
          <w:rFonts w:ascii="Times New Roman" w:hAnsi="Times New Roman" w:cs="Times New Roman"/>
          <w:sz w:val="24"/>
          <w:szCs w:val="24"/>
        </w:rPr>
        <w:t xml:space="preserve">Failing to reject the null hypothesis implies that we employ the </w:t>
      </w:r>
      <w:r w:rsidR="00EE0BE0">
        <w:rPr>
          <w:rFonts w:ascii="Times New Roman" w:hAnsi="Times New Roman" w:cs="Times New Roman"/>
          <w:sz w:val="24"/>
          <w:szCs w:val="24"/>
        </w:rPr>
        <w:t>P</w:t>
      </w:r>
      <w:r w:rsidR="007164F2">
        <w:rPr>
          <w:rFonts w:ascii="Times New Roman" w:hAnsi="Times New Roman" w:cs="Times New Roman"/>
          <w:sz w:val="24"/>
          <w:szCs w:val="24"/>
        </w:rPr>
        <w:t>MG model</w:t>
      </w:r>
      <w:r w:rsidR="00EE0BE0">
        <w:rPr>
          <w:rFonts w:ascii="Times New Roman" w:hAnsi="Times New Roman" w:cs="Times New Roman"/>
          <w:sz w:val="24"/>
          <w:szCs w:val="24"/>
        </w:rPr>
        <w:t>.</w:t>
      </w:r>
      <w:r w:rsidR="0032324D">
        <w:rPr>
          <w:rFonts w:ascii="Times New Roman" w:hAnsi="Times New Roman" w:cs="Times New Roman"/>
          <w:sz w:val="24"/>
          <w:szCs w:val="24"/>
        </w:rPr>
        <w:t xml:space="preserve"> For both the two</w:t>
      </w:r>
      <w:r w:rsidR="009561A3">
        <w:rPr>
          <w:rFonts w:ascii="Times New Roman" w:hAnsi="Times New Roman" w:cs="Times New Roman"/>
          <w:sz w:val="24"/>
          <w:szCs w:val="24"/>
        </w:rPr>
        <w:t xml:space="preserve"> social welfare models, the probability value of chi2 was found to be greater than the 0.05 level of significance. That is </w:t>
      </w:r>
      <w:r w:rsidR="00314229">
        <w:rPr>
          <w:rFonts w:ascii="Times New Roman" w:hAnsi="Times New Roman" w:cs="Times New Roman"/>
          <w:sz w:val="24"/>
          <w:szCs w:val="24"/>
        </w:rPr>
        <w:t xml:space="preserve">0.131 </w:t>
      </w:r>
      <w:r w:rsidR="0032324D" w:rsidRPr="0032324D">
        <w:rPr>
          <w:rFonts w:ascii="Times New Roman" w:hAnsi="Times New Roman" w:cs="Times New Roman"/>
          <w:sz w:val="24"/>
          <w:szCs w:val="24"/>
        </w:rPr>
        <w:t>&amp; 0.642</w:t>
      </w:r>
      <w:r w:rsidR="00317C51">
        <w:rPr>
          <w:rFonts w:ascii="Times New Roman" w:hAnsi="Times New Roman" w:cs="Times New Roman"/>
          <w:sz w:val="24"/>
          <w:szCs w:val="24"/>
        </w:rPr>
        <w:t xml:space="preserve"> for </w:t>
      </w:r>
      <w:r w:rsidR="0032324D">
        <w:rPr>
          <w:rFonts w:ascii="Times New Roman" w:hAnsi="Times New Roman" w:cs="Times New Roman"/>
          <w:sz w:val="24"/>
          <w:szCs w:val="24"/>
        </w:rPr>
        <w:t xml:space="preserve">the two models </w:t>
      </w:r>
      <w:r w:rsidR="00317C51">
        <w:rPr>
          <w:rFonts w:ascii="Times New Roman" w:hAnsi="Times New Roman" w:cs="Times New Roman"/>
          <w:sz w:val="24"/>
          <w:szCs w:val="24"/>
        </w:rPr>
        <w:t>respectively</w:t>
      </w:r>
      <w:r w:rsidR="00980030">
        <w:rPr>
          <w:rFonts w:ascii="Times New Roman" w:hAnsi="Times New Roman" w:cs="Times New Roman"/>
          <w:sz w:val="24"/>
          <w:szCs w:val="24"/>
        </w:rPr>
        <w:t xml:space="preserve">. We, thus, </w:t>
      </w:r>
      <w:r w:rsidR="00980030">
        <w:rPr>
          <w:rFonts w:ascii="Times New Roman" w:hAnsi="Times New Roman" w:cs="Times New Roman"/>
          <w:sz w:val="24"/>
          <w:szCs w:val="24"/>
        </w:rPr>
        <w:lastRenderedPageBreak/>
        <w:t>failed to reject the null hypothesis and concluded that the PMG wa</w:t>
      </w:r>
      <w:r w:rsidR="00232150">
        <w:rPr>
          <w:rFonts w:ascii="Times New Roman" w:hAnsi="Times New Roman" w:cs="Times New Roman"/>
          <w:sz w:val="24"/>
          <w:szCs w:val="24"/>
        </w:rPr>
        <w:t>s the most suitable estimator to be used in this study</w:t>
      </w:r>
      <w:r w:rsidR="00980030">
        <w:rPr>
          <w:rFonts w:ascii="Times New Roman" w:hAnsi="Times New Roman" w:cs="Times New Roman"/>
          <w:sz w:val="24"/>
          <w:szCs w:val="24"/>
        </w:rPr>
        <w:t>.</w:t>
      </w:r>
    </w:p>
    <w:p w:rsidR="0050246A" w:rsidRPr="006A213E" w:rsidRDefault="00374631" w:rsidP="00374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1577">
        <w:rPr>
          <w:rFonts w:ascii="Times New Roman" w:hAnsi="Times New Roman" w:cs="Times New Roman"/>
          <w:sz w:val="24"/>
          <w:szCs w:val="24"/>
        </w:rPr>
        <w:t xml:space="preserve">The PMG estimator proposed by Pesaran </w:t>
      </w:r>
      <w:r w:rsidR="00380DC7" w:rsidRPr="00794121">
        <w:rPr>
          <w:rFonts w:ascii="Times New Roman" w:hAnsi="Times New Roman" w:cs="Times New Roman"/>
          <w:i/>
          <w:sz w:val="24"/>
          <w:szCs w:val="24"/>
        </w:rPr>
        <w:t>et al.</w:t>
      </w:r>
      <w:r w:rsidR="00380DC7">
        <w:rPr>
          <w:rFonts w:ascii="Times New Roman" w:hAnsi="Times New Roman" w:cs="Times New Roman"/>
          <w:sz w:val="24"/>
          <w:szCs w:val="24"/>
        </w:rPr>
        <w:t xml:space="preserve"> </w:t>
      </w:r>
      <w:r w:rsidR="00AA1577">
        <w:rPr>
          <w:rFonts w:ascii="Times New Roman" w:hAnsi="Times New Roman" w:cs="Times New Roman"/>
          <w:sz w:val="24"/>
          <w:szCs w:val="24"/>
        </w:rPr>
        <w:t>(1999) assumes the homogeneity of long-run coefficients</w:t>
      </w:r>
      <w:r w:rsidR="00877273">
        <w:rPr>
          <w:rFonts w:ascii="Times New Roman" w:hAnsi="Times New Roman" w:cs="Times New Roman"/>
          <w:sz w:val="24"/>
          <w:szCs w:val="24"/>
        </w:rPr>
        <w:t>. It does allow</w:t>
      </w:r>
      <w:r w:rsidR="00AA1577">
        <w:rPr>
          <w:rFonts w:ascii="Times New Roman" w:hAnsi="Times New Roman" w:cs="Times New Roman"/>
          <w:sz w:val="24"/>
          <w:szCs w:val="24"/>
        </w:rPr>
        <w:t xml:space="preserve"> the intercepts, short-run coefficients &amp; error variances to differ freely across groups. It is, therefore, consistent and efficient under the assumption of long-run slope homogeneity. On the other hand, the MG estimator earlier proposed by Pesaran and Smith (1995) </w:t>
      </w:r>
      <w:r w:rsidR="00B116E5">
        <w:rPr>
          <w:rFonts w:ascii="Times New Roman" w:hAnsi="Times New Roman" w:cs="Times New Roman"/>
          <w:sz w:val="24"/>
          <w:szCs w:val="24"/>
        </w:rPr>
        <w:t xml:space="preserve">produces </w:t>
      </w:r>
      <w:r w:rsidR="00AA1577">
        <w:rPr>
          <w:rFonts w:ascii="Times New Roman" w:hAnsi="Times New Roman" w:cs="Times New Roman"/>
          <w:sz w:val="24"/>
          <w:szCs w:val="24"/>
        </w:rPr>
        <w:t>consistent estimates of the mean of the long-run coefficients</w:t>
      </w:r>
      <w:r w:rsidR="00282F6E">
        <w:rPr>
          <w:rFonts w:ascii="Times New Roman" w:hAnsi="Times New Roman" w:cs="Times New Roman"/>
          <w:sz w:val="24"/>
          <w:szCs w:val="24"/>
        </w:rPr>
        <w:t xml:space="preserve"> but these will be inefficient if the slope homogeneity holds. In other words, MG fails to recognize the fact that certain parameters may be the same across groups hence less informative compared to the PMG.</w:t>
      </w:r>
    </w:p>
    <w:p w:rsidR="00282F6E" w:rsidRDefault="006A213E" w:rsidP="00374631">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00282F6E" w:rsidRPr="003906E0">
        <w:rPr>
          <w:rFonts w:ascii="Times New Roman" w:hAnsi="Times New Roman" w:cs="Times New Roman"/>
          <w:b/>
          <w:sz w:val="24"/>
          <w:szCs w:val="24"/>
        </w:rPr>
        <w:t xml:space="preserve"> </w:t>
      </w:r>
      <w:r w:rsidR="000474D9">
        <w:rPr>
          <w:rFonts w:ascii="Times New Roman" w:hAnsi="Times New Roman" w:cs="Times New Roman"/>
          <w:b/>
          <w:sz w:val="24"/>
          <w:szCs w:val="24"/>
        </w:rPr>
        <w:t>E</w:t>
      </w:r>
      <w:r w:rsidR="006E76E8">
        <w:rPr>
          <w:rFonts w:ascii="Times New Roman" w:hAnsi="Times New Roman" w:cs="Times New Roman"/>
          <w:b/>
          <w:sz w:val="24"/>
          <w:szCs w:val="24"/>
        </w:rPr>
        <w:t>stimation r</w:t>
      </w:r>
      <w:r w:rsidR="000474D9" w:rsidRPr="003906E0">
        <w:rPr>
          <w:rFonts w:ascii="Times New Roman" w:hAnsi="Times New Roman" w:cs="Times New Roman"/>
          <w:b/>
          <w:sz w:val="24"/>
          <w:szCs w:val="24"/>
        </w:rPr>
        <w:t>esults</w:t>
      </w:r>
    </w:p>
    <w:p w:rsidR="00B270CC" w:rsidRDefault="00374631" w:rsidP="00EE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DD3">
        <w:rPr>
          <w:rFonts w:ascii="Times New Roman" w:hAnsi="Times New Roman" w:cs="Times New Roman"/>
          <w:sz w:val="24"/>
          <w:szCs w:val="24"/>
        </w:rPr>
        <w:t>In analyzing</w:t>
      </w:r>
      <w:r w:rsidR="005E317B" w:rsidRPr="005E317B">
        <w:rPr>
          <w:rFonts w:ascii="Times New Roman" w:hAnsi="Times New Roman" w:cs="Times New Roman"/>
          <w:sz w:val="24"/>
          <w:szCs w:val="24"/>
        </w:rPr>
        <w:t xml:space="preserve"> the </w:t>
      </w:r>
      <w:r w:rsidR="00890DD3">
        <w:rPr>
          <w:rFonts w:ascii="Times New Roman" w:hAnsi="Times New Roman" w:cs="Times New Roman"/>
          <w:sz w:val="24"/>
          <w:szCs w:val="24"/>
        </w:rPr>
        <w:t xml:space="preserve">impact of COVID-19 on social welfare </w:t>
      </w:r>
      <w:r w:rsidR="005E317B" w:rsidRPr="005E317B">
        <w:rPr>
          <w:rFonts w:ascii="Times New Roman" w:hAnsi="Times New Roman" w:cs="Times New Roman"/>
          <w:sz w:val="24"/>
          <w:szCs w:val="24"/>
        </w:rPr>
        <w:t>among selected EAC countries, we estimate</w:t>
      </w:r>
      <w:r w:rsidR="008A55A9">
        <w:rPr>
          <w:rFonts w:ascii="Times New Roman" w:hAnsi="Times New Roman" w:cs="Times New Roman"/>
          <w:sz w:val="24"/>
          <w:szCs w:val="24"/>
        </w:rPr>
        <w:t>d two</w:t>
      </w:r>
      <w:r w:rsidR="005E317B" w:rsidRPr="005E317B">
        <w:rPr>
          <w:rFonts w:ascii="Times New Roman" w:hAnsi="Times New Roman" w:cs="Times New Roman"/>
          <w:sz w:val="24"/>
          <w:szCs w:val="24"/>
        </w:rPr>
        <w:t xml:space="preserve"> </w:t>
      </w:r>
      <w:r w:rsidR="00890DD3">
        <w:rPr>
          <w:rFonts w:ascii="Times New Roman" w:hAnsi="Times New Roman" w:cs="Times New Roman"/>
          <w:sz w:val="24"/>
          <w:szCs w:val="24"/>
        </w:rPr>
        <w:t xml:space="preserve">separate </w:t>
      </w:r>
      <w:r w:rsidR="005E317B" w:rsidRPr="005E317B">
        <w:rPr>
          <w:rFonts w:ascii="Times New Roman" w:hAnsi="Times New Roman" w:cs="Times New Roman"/>
          <w:sz w:val="24"/>
          <w:szCs w:val="24"/>
        </w:rPr>
        <w:t>models</w:t>
      </w:r>
      <w:r w:rsidR="00890DD3">
        <w:rPr>
          <w:rFonts w:ascii="Times New Roman" w:hAnsi="Times New Roman" w:cs="Times New Roman"/>
          <w:sz w:val="24"/>
          <w:szCs w:val="24"/>
        </w:rPr>
        <w:t>. Model 1 showed the impact of COVID-19 on CPI</w:t>
      </w:r>
      <w:r w:rsidR="00BB4B55">
        <w:rPr>
          <w:rFonts w:ascii="Times New Roman" w:hAnsi="Times New Roman" w:cs="Times New Roman"/>
          <w:sz w:val="24"/>
          <w:szCs w:val="24"/>
        </w:rPr>
        <w:t xml:space="preserve"> (see </w:t>
      </w:r>
      <w:r w:rsidR="00DD1B94" w:rsidRPr="00DD1B94">
        <w:rPr>
          <w:rFonts w:ascii="Times New Roman" w:hAnsi="Times New Roman" w:cs="Times New Roman"/>
          <w:sz w:val="24"/>
          <w:szCs w:val="24"/>
        </w:rPr>
        <w:t xml:space="preserve">Table </w:t>
      </w:r>
      <w:r w:rsidR="00DD1B94">
        <w:rPr>
          <w:rFonts w:ascii="Times New Roman" w:hAnsi="Times New Roman" w:cs="Times New Roman"/>
          <w:sz w:val="24"/>
          <w:szCs w:val="24"/>
        </w:rPr>
        <w:t>5</w:t>
      </w:r>
      <w:r w:rsidR="00BB4B55">
        <w:rPr>
          <w:rFonts w:ascii="Times New Roman" w:hAnsi="Times New Roman" w:cs="Times New Roman"/>
          <w:sz w:val="24"/>
          <w:szCs w:val="24"/>
        </w:rPr>
        <w:t xml:space="preserve"> for results)</w:t>
      </w:r>
      <w:r w:rsidR="008A55A9">
        <w:rPr>
          <w:rFonts w:ascii="Times New Roman" w:hAnsi="Times New Roman" w:cs="Times New Roman"/>
          <w:sz w:val="24"/>
          <w:szCs w:val="24"/>
        </w:rPr>
        <w:t xml:space="preserve"> while </w:t>
      </w:r>
      <w:r w:rsidR="00890DD3">
        <w:rPr>
          <w:rFonts w:ascii="Times New Roman" w:hAnsi="Times New Roman" w:cs="Times New Roman"/>
          <w:sz w:val="24"/>
          <w:szCs w:val="24"/>
        </w:rPr>
        <w:t xml:space="preserve">Model 2 showed the impact of COVID-19 </w:t>
      </w:r>
      <w:r w:rsidR="008A55A9">
        <w:rPr>
          <w:rFonts w:ascii="Times New Roman" w:hAnsi="Times New Roman" w:cs="Times New Roman"/>
          <w:sz w:val="24"/>
          <w:szCs w:val="24"/>
        </w:rPr>
        <w:t>on oil prices</w:t>
      </w:r>
      <w:r w:rsidR="00BB4B55">
        <w:rPr>
          <w:rFonts w:ascii="Times New Roman" w:hAnsi="Times New Roman" w:cs="Times New Roman"/>
          <w:sz w:val="24"/>
          <w:szCs w:val="24"/>
        </w:rPr>
        <w:t xml:space="preserve"> (see </w:t>
      </w:r>
      <w:r w:rsidR="00DD1B94" w:rsidRPr="00DD1B94">
        <w:rPr>
          <w:rFonts w:ascii="Times New Roman" w:hAnsi="Times New Roman" w:cs="Times New Roman"/>
          <w:sz w:val="24"/>
          <w:szCs w:val="24"/>
        </w:rPr>
        <w:t xml:space="preserve">Table </w:t>
      </w:r>
      <w:r w:rsidR="00DD1B94">
        <w:rPr>
          <w:rFonts w:ascii="Times New Roman" w:hAnsi="Times New Roman" w:cs="Times New Roman"/>
          <w:sz w:val="24"/>
          <w:szCs w:val="24"/>
        </w:rPr>
        <w:t>6</w:t>
      </w:r>
      <w:r w:rsidR="00BB4B55">
        <w:rPr>
          <w:rFonts w:ascii="Times New Roman" w:hAnsi="Times New Roman" w:cs="Times New Roman"/>
          <w:sz w:val="24"/>
          <w:szCs w:val="24"/>
        </w:rPr>
        <w:t xml:space="preserve"> for results)</w:t>
      </w:r>
      <w:r w:rsidR="000548DF">
        <w:rPr>
          <w:rFonts w:ascii="Times New Roman" w:hAnsi="Times New Roman" w:cs="Times New Roman"/>
          <w:sz w:val="24"/>
          <w:szCs w:val="24"/>
        </w:rPr>
        <w:t xml:space="preserve"> </w:t>
      </w:r>
      <w:r w:rsidR="008A55A9">
        <w:rPr>
          <w:rFonts w:ascii="Times New Roman" w:hAnsi="Times New Roman" w:cs="Times New Roman"/>
          <w:sz w:val="24"/>
          <w:szCs w:val="24"/>
        </w:rPr>
        <w:t>The CPI</w:t>
      </w:r>
      <w:r w:rsidR="00B6541D">
        <w:rPr>
          <w:rFonts w:ascii="Times New Roman" w:hAnsi="Times New Roman" w:cs="Times New Roman"/>
          <w:sz w:val="24"/>
          <w:szCs w:val="24"/>
        </w:rPr>
        <w:t xml:space="preserve"> and oil prices were used as</w:t>
      </w:r>
      <w:r w:rsidR="00BE473B">
        <w:rPr>
          <w:rFonts w:ascii="Times New Roman" w:hAnsi="Times New Roman" w:cs="Times New Roman"/>
          <w:sz w:val="24"/>
          <w:szCs w:val="24"/>
        </w:rPr>
        <w:t xml:space="preserve"> indicators for social welfare. </w:t>
      </w:r>
      <w:r w:rsidR="00890DD3">
        <w:rPr>
          <w:rFonts w:ascii="Times New Roman" w:hAnsi="Times New Roman" w:cs="Times New Roman"/>
          <w:sz w:val="24"/>
          <w:szCs w:val="24"/>
        </w:rPr>
        <w:t xml:space="preserve">In this study, we estimated the full PMG models to visualize the degree of impact of the pandemic </w:t>
      </w:r>
      <w:r w:rsidR="00BE473B">
        <w:rPr>
          <w:rFonts w:ascii="Times New Roman" w:hAnsi="Times New Roman" w:cs="Times New Roman"/>
          <w:sz w:val="24"/>
          <w:szCs w:val="24"/>
        </w:rPr>
        <w:t xml:space="preserve">on social welfare </w:t>
      </w:r>
      <w:r w:rsidR="00890DD3">
        <w:rPr>
          <w:rFonts w:ascii="Times New Roman" w:hAnsi="Times New Roman" w:cs="Times New Roman"/>
          <w:sz w:val="24"/>
          <w:szCs w:val="24"/>
        </w:rPr>
        <w:t>across the selected EAC countries.</w:t>
      </w:r>
    </w:p>
    <w:p w:rsidR="00911E42" w:rsidRDefault="00911E42" w:rsidP="00EE0BE0">
      <w:pPr>
        <w:spacing w:after="0" w:line="360" w:lineRule="auto"/>
        <w:jc w:val="both"/>
        <w:rPr>
          <w:rFonts w:ascii="Times New Roman" w:hAnsi="Times New Roman" w:cs="Times New Roman"/>
          <w:sz w:val="24"/>
          <w:szCs w:val="24"/>
        </w:rPr>
      </w:pPr>
    </w:p>
    <w:p w:rsidR="00911E42" w:rsidRDefault="00911E42" w:rsidP="00EE0BE0">
      <w:pPr>
        <w:spacing w:after="0" w:line="360" w:lineRule="auto"/>
        <w:jc w:val="both"/>
        <w:rPr>
          <w:rFonts w:ascii="Times New Roman" w:hAnsi="Times New Roman" w:cs="Times New Roman"/>
          <w:sz w:val="24"/>
          <w:szCs w:val="24"/>
        </w:rPr>
      </w:pPr>
    </w:p>
    <w:p w:rsidR="00911E42" w:rsidRDefault="00911E42" w:rsidP="00EE0BE0">
      <w:pPr>
        <w:spacing w:after="0" w:line="360" w:lineRule="auto"/>
        <w:jc w:val="both"/>
        <w:rPr>
          <w:rFonts w:ascii="Times New Roman" w:hAnsi="Times New Roman" w:cs="Times New Roman"/>
          <w:sz w:val="24"/>
          <w:szCs w:val="24"/>
        </w:rPr>
      </w:pPr>
    </w:p>
    <w:p w:rsidR="00911E42" w:rsidRDefault="00911E42" w:rsidP="00EE0BE0">
      <w:pPr>
        <w:spacing w:after="0" w:line="360" w:lineRule="auto"/>
        <w:jc w:val="both"/>
        <w:rPr>
          <w:rFonts w:ascii="Times New Roman" w:hAnsi="Times New Roman" w:cs="Times New Roman"/>
          <w:sz w:val="24"/>
          <w:szCs w:val="24"/>
        </w:rPr>
      </w:pPr>
    </w:p>
    <w:p w:rsidR="00911E42" w:rsidRDefault="00911E42" w:rsidP="00EE0BE0">
      <w:pPr>
        <w:spacing w:after="0" w:line="360" w:lineRule="auto"/>
        <w:jc w:val="both"/>
        <w:rPr>
          <w:rFonts w:ascii="Times New Roman" w:hAnsi="Times New Roman" w:cs="Times New Roman"/>
          <w:sz w:val="24"/>
          <w:szCs w:val="24"/>
        </w:rPr>
      </w:pPr>
    </w:p>
    <w:p w:rsidR="00911E42" w:rsidRDefault="00911E42" w:rsidP="00EE0BE0">
      <w:pPr>
        <w:spacing w:after="0" w:line="360" w:lineRule="auto"/>
        <w:jc w:val="both"/>
        <w:rPr>
          <w:rFonts w:ascii="Times New Roman" w:hAnsi="Times New Roman" w:cs="Times New Roman"/>
          <w:sz w:val="24"/>
          <w:szCs w:val="24"/>
        </w:rPr>
      </w:pPr>
    </w:p>
    <w:p w:rsidR="00911E42" w:rsidRDefault="00911E42" w:rsidP="00EE0BE0">
      <w:pPr>
        <w:spacing w:after="0" w:line="360" w:lineRule="auto"/>
        <w:jc w:val="both"/>
        <w:rPr>
          <w:rFonts w:ascii="Times New Roman" w:hAnsi="Times New Roman" w:cs="Times New Roman"/>
          <w:sz w:val="24"/>
          <w:szCs w:val="24"/>
        </w:rPr>
      </w:pPr>
    </w:p>
    <w:p w:rsidR="00911E42" w:rsidRDefault="00911E42"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374631" w:rsidRDefault="00374631" w:rsidP="00EE0BE0">
      <w:pPr>
        <w:spacing w:after="0" w:line="360" w:lineRule="auto"/>
        <w:jc w:val="both"/>
        <w:rPr>
          <w:rFonts w:ascii="Times New Roman" w:hAnsi="Times New Roman" w:cs="Times New Roman"/>
          <w:sz w:val="24"/>
          <w:szCs w:val="24"/>
        </w:rPr>
      </w:pPr>
    </w:p>
    <w:p w:rsidR="00172FA7" w:rsidRDefault="00E57D14" w:rsidP="00EE0BE0">
      <w:pPr>
        <w:spacing w:after="0" w:line="360" w:lineRule="auto"/>
        <w:jc w:val="both"/>
        <w:rPr>
          <w:rFonts w:ascii="Times New Roman" w:hAnsi="Times New Roman" w:cs="Times New Roman"/>
          <w:b/>
          <w:sz w:val="24"/>
          <w:szCs w:val="24"/>
        </w:rPr>
      </w:pPr>
      <w:proofErr w:type="gramStart"/>
      <w:r w:rsidRPr="00DD1B94">
        <w:rPr>
          <w:rFonts w:ascii="Times New Roman" w:hAnsi="Times New Roman" w:cs="Times New Roman"/>
          <w:b/>
          <w:sz w:val="24"/>
          <w:szCs w:val="24"/>
        </w:rPr>
        <w:lastRenderedPageBreak/>
        <w:t>Tabl</w:t>
      </w:r>
      <w:r w:rsidR="00DD1B94" w:rsidRPr="00DD1B94">
        <w:rPr>
          <w:rFonts w:ascii="Times New Roman" w:hAnsi="Times New Roman" w:cs="Times New Roman"/>
          <w:b/>
          <w:sz w:val="24"/>
          <w:szCs w:val="24"/>
        </w:rPr>
        <w:t xml:space="preserve">e </w:t>
      </w:r>
      <w:r w:rsidR="00DD1B94">
        <w:rPr>
          <w:rFonts w:ascii="Times New Roman" w:hAnsi="Times New Roman" w:cs="Times New Roman"/>
          <w:b/>
          <w:sz w:val="24"/>
          <w:szCs w:val="24"/>
        </w:rPr>
        <w:t>5</w:t>
      </w:r>
      <w:r w:rsidRPr="00E57D14">
        <w:rPr>
          <w:rFonts w:ascii="Times New Roman" w:hAnsi="Times New Roman" w:cs="Times New Roman"/>
          <w:b/>
          <w:sz w:val="24"/>
          <w:szCs w:val="24"/>
        </w:rPr>
        <w:t>.</w:t>
      </w:r>
      <w:proofErr w:type="gramEnd"/>
      <w:r w:rsidR="00B270CC">
        <w:rPr>
          <w:rFonts w:ascii="Times New Roman" w:hAnsi="Times New Roman" w:cs="Times New Roman"/>
          <w:b/>
          <w:sz w:val="24"/>
          <w:szCs w:val="24"/>
        </w:rPr>
        <w:t xml:space="preserve"> Model 1: </w:t>
      </w:r>
      <w:r w:rsidRPr="00E57D14">
        <w:rPr>
          <w:rFonts w:ascii="Times New Roman" w:hAnsi="Times New Roman" w:cs="Times New Roman"/>
          <w:b/>
          <w:sz w:val="24"/>
          <w:szCs w:val="24"/>
        </w:rPr>
        <w:t xml:space="preserve">Pooled Mean Group (PMG) </w:t>
      </w:r>
      <w:r w:rsidR="00B270CC">
        <w:rPr>
          <w:rFonts w:ascii="Times New Roman" w:hAnsi="Times New Roman" w:cs="Times New Roman"/>
          <w:b/>
          <w:sz w:val="24"/>
          <w:szCs w:val="24"/>
        </w:rPr>
        <w:t>regression results</w:t>
      </w:r>
    </w:p>
    <w:tbl>
      <w:tblPr>
        <w:tblW w:w="10443" w:type="dxa"/>
        <w:jc w:val="center"/>
        <w:tblLayout w:type="fixed"/>
        <w:tblCellMar>
          <w:left w:w="75" w:type="dxa"/>
          <w:right w:w="75" w:type="dxa"/>
        </w:tblCellMar>
        <w:tblLook w:val="0000" w:firstRow="0" w:lastRow="0" w:firstColumn="0" w:lastColumn="0" w:noHBand="0" w:noVBand="0"/>
      </w:tblPr>
      <w:tblGrid>
        <w:gridCol w:w="2667"/>
        <w:gridCol w:w="1584"/>
        <w:gridCol w:w="1728"/>
        <w:gridCol w:w="1440"/>
        <w:gridCol w:w="1440"/>
        <w:gridCol w:w="1584"/>
      </w:tblGrid>
      <w:tr w:rsidR="00FD5547" w:rsidRPr="00FD5547" w:rsidTr="00124274">
        <w:trPr>
          <w:jc w:val="center"/>
        </w:trPr>
        <w:tc>
          <w:tcPr>
            <w:tcW w:w="2667" w:type="dxa"/>
            <w:tcBorders>
              <w:top w:val="single" w:sz="6" w:space="0" w:color="auto"/>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single" w:sz="6" w:space="0" w:color="auto"/>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(1)</w:t>
            </w:r>
          </w:p>
        </w:tc>
        <w:tc>
          <w:tcPr>
            <w:tcW w:w="1728" w:type="dxa"/>
            <w:tcBorders>
              <w:top w:val="single" w:sz="6" w:space="0" w:color="auto"/>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(2)</w:t>
            </w:r>
          </w:p>
        </w:tc>
        <w:tc>
          <w:tcPr>
            <w:tcW w:w="1440" w:type="dxa"/>
            <w:tcBorders>
              <w:top w:val="single" w:sz="6" w:space="0" w:color="auto"/>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(3)</w:t>
            </w:r>
          </w:p>
        </w:tc>
        <w:tc>
          <w:tcPr>
            <w:tcW w:w="1440" w:type="dxa"/>
            <w:tcBorders>
              <w:top w:val="single" w:sz="6" w:space="0" w:color="auto"/>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(4)</w:t>
            </w:r>
          </w:p>
        </w:tc>
        <w:tc>
          <w:tcPr>
            <w:tcW w:w="1584" w:type="dxa"/>
            <w:tcBorders>
              <w:top w:val="single" w:sz="6" w:space="0" w:color="auto"/>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(5)</w:t>
            </w:r>
          </w:p>
        </w:tc>
      </w:tr>
      <w:tr w:rsidR="00FD5547" w:rsidRPr="00FD5547" w:rsidTr="00124274">
        <w:trPr>
          <w:jc w:val="center"/>
        </w:trPr>
        <w:tc>
          <w:tcPr>
            <w:tcW w:w="2667"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VARIABLES</w:t>
            </w:r>
          </w:p>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D. lnCPI</w:t>
            </w:r>
          </w:p>
        </w:tc>
        <w:tc>
          <w:tcPr>
            <w:tcW w:w="1584"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EC</w:t>
            </w:r>
          </w:p>
        </w:tc>
        <w:tc>
          <w:tcPr>
            <w:tcW w:w="1728"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Kenya</w:t>
            </w:r>
          </w:p>
        </w:tc>
        <w:tc>
          <w:tcPr>
            <w:tcW w:w="1440"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Rwanda</w:t>
            </w:r>
          </w:p>
        </w:tc>
        <w:tc>
          <w:tcPr>
            <w:tcW w:w="1440"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South Sudan</w:t>
            </w:r>
          </w:p>
        </w:tc>
        <w:tc>
          <w:tcPr>
            <w:tcW w:w="1584"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Uganda</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FD5547">
              <w:rPr>
                <w:rFonts w:ascii="Times New Roman" w:eastAsiaTheme="minorEastAsia" w:hAnsi="Times New Roman" w:cs="Times New Roman"/>
                <w:b/>
                <w:sz w:val="24"/>
                <w:szCs w:val="24"/>
              </w:rPr>
              <w:t>EC</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-0.208***</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-0.00724</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-0.405***</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0.00351</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(0.0698)</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(0.0373)</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(0.0692)</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(0.00597)</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D.lnCovid Cases</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-0.00945***</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-0.000512</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0.00395</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-0.000481</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(0.00312)</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(0.00248)</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(0.00264)</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(0.000986)</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 xml:space="preserve">D.lnTrade </w:t>
            </w:r>
            <w:r w:rsidR="008C246B">
              <w:rPr>
                <w:rFonts w:ascii="Times New Roman" w:eastAsiaTheme="minorEastAsia" w:hAnsi="Times New Roman" w:cs="Times New Roman"/>
                <w:sz w:val="24"/>
                <w:szCs w:val="24"/>
              </w:rPr>
              <w:t>B</w:t>
            </w:r>
            <w:r w:rsidRPr="00FD5547">
              <w:rPr>
                <w:rFonts w:ascii="Times New Roman" w:eastAsiaTheme="minorEastAsia" w:hAnsi="Times New Roman" w:cs="Times New Roman"/>
                <w:sz w:val="24"/>
                <w:szCs w:val="24"/>
              </w:rPr>
              <w:t>alance</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-0.00365</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-0.0139*</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-0.110***</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-0.00783*</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(0.0196)</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(0.00773)</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(0.0108)</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(0.00429)</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D.lnM2 Money</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1.015***</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0.250**</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0.0796**</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0.110***</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(0.193)</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(0.123)</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(0.0377)</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(0.0228)</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D.lnExchange Rate</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2.016***</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-0.175</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0.467***</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-0.141*</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(0.378)</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(0.201)</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(0.0469)</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(0.0834)</w:t>
            </w:r>
          </w:p>
        </w:tc>
      </w:tr>
      <w:tr w:rsidR="00FD5547" w:rsidRPr="00FD5547" w:rsidTr="00124274">
        <w:trPr>
          <w:jc w:val="center"/>
        </w:trPr>
        <w:tc>
          <w:tcPr>
            <w:tcW w:w="2667" w:type="dxa"/>
            <w:tcBorders>
              <w:top w:val="nil"/>
              <w:left w:val="nil"/>
              <w:bottom w:val="nil"/>
              <w:right w:val="nil"/>
            </w:tcBorders>
          </w:tcPr>
          <w:p w:rsidR="00FD5547" w:rsidRPr="00FD5547" w:rsidRDefault="008C246B"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D.lnLending R</w:t>
            </w:r>
            <w:r w:rsidR="00FD5547" w:rsidRPr="00FD5547">
              <w:rPr>
                <w:rFonts w:ascii="Times New Roman" w:eastAsiaTheme="minorEastAsia" w:hAnsi="Times New Roman" w:cs="Times New Roman"/>
                <w:sz w:val="24"/>
                <w:szCs w:val="24"/>
              </w:rPr>
              <w:t>ate</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0.864***</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-0.00992</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-0.754***</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0.0136</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(0.308)</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(0.0791)</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(0.0905)</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(0.0180)</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lnCovid Cases</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-0.0203***</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(0.00774)</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 xml:space="preserve">lnTrade </w:t>
            </w:r>
            <w:r w:rsidR="008C246B">
              <w:rPr>
                <w:rFonts w:ascii="Times New Roman" w:eastAsiaTheme="minorEastAsia" w:hAnsi="Times New Roman" w:cs="Times New Roman"/>
                <w:sz w:val="24"/>
                <w:szCs w:val="24"/>
              </w:rPr>
              <w:t>B</w:t>
            </w:r>
            <w:r w:rsidRPr="00FD5547">
              <w:rPr>
                <w:rFonts w:ascii="Times New Roman" w:eastAsiaTheme="minorEastAsia" w:hAnsi="Times New Roman" w:cs="Times New Roman"/>
                <w:sz w:val="24"/>
                <w:szCs w:val="24"/>
              </w:rPr>
              <w:t>alance</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-0.0293</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(0.0197)</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lnM2 Money</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-1.046***</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(0.0980)</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lnExchange Rate</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-0.720***</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(0.234)</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 xml:space="preserve">lnLending </w:t>
            </w:r>
            <w:r w:rsidR="008C246B">
              <w:rPr>
                <w:rFonts w:ascii="Times New Roman" w:eastAsiaTheme="minorEastAsia" w:hAnsi="Times New Roman" w:cs="Times New Roman"/>
                <w:sz w:val="24"/>
                <w:szCs w:val="24"/>
              </w:rPr>
              <w:t>R</w:t>
            </w:r>
            <w:r w:rsidRPr="00FD5547">
              <w:rPr>
                <w:rFonts w:ascii="Times New Roman" w:eastAsiaTheme="minorEastAsia" w:hAnsi="Times New Roman" w:cs="Times New Roman"/>
                <w:sz w:val="24"/>
                <w:szCs w:val="24"/>
              </w:rPr>
              <w:t>ate</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3.246***</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(0.491)</w:t>
            </w: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Constant</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2.316***</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0.0667</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4.829***</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-0.0363</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(0.807)</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(0.339)</w:t>
            </w: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(0.686)</w:t>
            </w: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(0.0623)</w:t>
            </w:r>
          </w:p>
        </w:tc>
      </w:tr>
      <w:tr w:rsidR="00FD5547" w:rsidRPr="00FD5547" w:rsidTr="00124274">
        <w:trPr>
          <w:jc w:val="center"/>
        </w:trPr>
        <w:tc>
          <w:tcPr>
            <w:tcW w:w="2667"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FD5547" w:rsidRPr="00FD5547" w:rsidTr="00124274">
        <w:tblPrEx>
          <w:tblBorders>
            <w:bottom w:val="single" w:sz="6" w:space="0" w:color="auto"/>
          </w:tblBorders>
        </w:tblPrEx>
        <w:trPr>
          <w:jc w:val="center"/>
        </w:trPr>
        <w:tc>
          <w:tcPr>
            <w:tcW w:w="2667"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Observations</w:t>
            </w:r>
          </w:p>
        </w:tc>
        <w:tc>
          <w:tcPr>
            <w:tcW w:w="1584"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56</w:t>
            </w:r>
          </w:p>
        </w:tc>
        <w:tc>
          <w:tcPr>
            <w:tcW w:w="1728"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56</w:t>
            </w:r>
          </w:p>
        </w:tc>
        <w:tc>
          <w:tcPr>
            <w:tcW w:w="1440"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56</w:t>
            </w:r>
          </w:p>
        </w:tc>
        <w:tc>
          <w:tcPr>
            <w:tcW w:w="1440"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56</w:t>
            </w:r>
          </w:p>
        </w:tc>
        <w:tc>
          <w:tcPr>
            <w:tcW w:w="1584" w:type="dxa"/>
            <w:tcBorders>
              <w:top w:val="nil"/>
              <w:left w:val="nil"/>
              <w:bottom w:val="single" w:sz="6" w:space="0" w:color="auto"/>
              <w:right w:val="nil"/>
            </w:tcBorders>
          </w:tcPr>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56</w:t>
            </w:r>
          </w:p>
        </w:tc>
      </w:tr>
    </w:tbl>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Standard errors in parentheses</w:t>
      </w:r>
    </w:p>
    <w:p w:rsidR="00FD5547" w:rsidRPr="00FD5547" w:rsidRDefault="00FD5547" w:rsidP="00FD5547">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D5547">
        <w:rPr>
          <w:rFonts w:ascii="Times New Roman" w:eastAsiaTheme="minorEastAsia" w:hAnsi="Times New Roman" w:cs="Times New Roman"/>
          <w:sz w:val="24"/>
          <w:szCs w:val="24"/>
        </w:rPr>
        <w:t>*** p&lt;0.01, ** p&lt;0.05, * p&lt;0.1</w:t>
      </w:r>
    </w:p>
    <w:p w:rsidR="00167D3E" w:rsidRDefault="00372799" w:rsidP="00167D3E">
      <w:pPr>
        <w:spacing w:after="0" w:line="360" w:lineRule="auto"/>
        <w:jc w:val="both"/>
        <w:rPr>
          <w:rFonts w:ascii="Times New Roman" w:eastAsiaTheme="minorEastAsia" w:hAnsi="Times New Roman" w:cs="Times New Roman"/>
          <w:i/>
          <w:sz w:val="24"/>
          <w:szCs w:val="24"/>
        </w:rPr>
      </w:pPr>
      <w:r>
        <w:rPr>
          <w:rFonts w:ascii="Times New Roman" w:hAnsi="Times New Roman" w:cs="Times New Roman"/>
          <w:b/>
          <w:sz w:val="24"/>
          <w:szCs w:val="24"/>
        </w:rPr>
        <w:t xml:space="preserve">Notes: </w:t>
      </w:r>
      <w:r w:rsidR="00DC57DE">
        <w:rPr>
          <w:rFonts w:ascii="Times New Roman" w:hAnsi="Times New Roman" w:cs="Times New Roman"/>
          <w:i/>
          <w:sz w:val="24"/>
          <w:szCs w:val="24"/>
        </w:rPr>
        <w:t>In model 1, CPI</w:t>
      </w:r>
      <w:r w:rsidR="00D1108A">
        <w:rPr>
          <w:rFonts w:ascii="Times New Roman" w:hAnsi="Times New Roman" w:cs="Times New Roman"/>
          <w:i/>
          <w:sz w:val="24"/>
          <w:szCs w:val="24"/>
        </w:rPr>
        <w:t xml:space="preserve"> is the </w:t>
      </w:r>
      <w:r w:rsidRPr="00372799">
        <w:rPr>
          <w:rFonts w:ascii="Times New Roman" w:hAnsi="Times New Roman" w:cs="Times New Roman"/>
          <w:i/>
          <w:sz w:val="24"/>
          <w:szCs w:val="24"/>
        </w:rPr>
        <w:t>dependent variable</w:t>
      </w:r>
      <w:r w:rsidR="00167D3E">
        <w:rPr>
          <w:rFonts w:ascii="Times New Roman" w:hAnsi="Times New Roman" w:cs="Times New Roman"/>
          <w:i/>
          <w:sz w:val="24"/>
          <w:szCs w:val="24"/>
        </w:rPr>
        <w:t>.</w:t>
      </w:r>
      <w:r w:rsidR="00167D3E" w:rsidRPr="00167D3E">
        <w:rPr>
          <w:rFonts w:ascii="Times New Roman" w:eastAsiaTheme="minorEastAsia" w:hAnsi="Times New Roman" w:cs="Times New Roman"/>
          <w:i/>
          <w:sz w:val="24"/>
          <w:szCs w:val="24"/>
        </w:rPr>
        <w:t xml:space="preserve"> </w:t>
      </w:r>
      <w:r w:rsidR="00167D3E" w:rsidRPr="00364995">
        <w:rPr>
          <w:rFonts w:ascii="Times New Roman" w:eastAsiaTheme="minorEastAsia" w:hAnsi="Times New Roman" w:cs="Times New Roman"/>
          <w:i/>
          <w:sz w:val="24"/>
          <w:szCs w:val="24"/>
        </w:rPr>
        <w:t xml:space="preserve">The long-run estimates are represented </w:t>
      </w:r>
      <w:r w:rsidR="00167D3E">
        <w:rPr>
          <w:rFonts w:ascii="Times New Roman" w:eastAsiaTheme="minorEastAsia" w:hAnsi="Times New Roman" w:cs="Times New Roman"/>
          <w:i/>
          <w:sz w:val="24"/>
          <w:szCs w:val="24"/>
        </w:rPr>
        <w:t>i</w:t>
      </w:r>
      <w:r w:rsidR="00167D3E" w:rsidRPr="00364995">
        <w:rPr>
          <w:rFonts w:ascii="Times New Roman" w:eastAsiaTheme="minorEastAsia" w:hAnsi="Times New Roman" w:cs="Times New Roman"/>
          <w:i/>
          <w:sz w:val="24"/>
          <w:szCs w:val="24"/>
        </w:rPr>
        <w:t xml:space="preserve">n </w:t>
      </w:r>
      <w:r w:rsidR="00167D3E">
        <w:rPr>
          <w:rFonts w:ascii="Times New Roman" w:eastAsiaTheme="minorEastAsia" w:hAnsi="Times New Roman" w:cs="Times New Roman"/>
          <w:i/>
          <w:sz w:val="24"/>
          <w:szCs w:val="24"/>
        </w:rPr>
        <w:t xml:space="preserve">the second column </w:t>
      </w:r>
      <w:r w:rsidR="00167D3E" w:rsidRPr="00364995">
        <w:rPr>
          <w:rFonts w:ascii="Times New Roman" w:eastAsiaTheme="minorEastAsia" w:hAnsi="Times New Roman" w:cs="Times New Roman"/>
          <w:i/>
          <w:sz w:val="24"/>
          <w:szCs w:val="24"/>
        </w:rPr>
        <w:t xml:space="preserve">and lack the difference operator </w:t>
      </w:r>
      <w:r w:rsidR="00167D3E">
        <w:rPr>
          <w:rFonts w:ascii="Times New Roman" w:eastAsiaTheme="minorEastAsia" w:hAnsi="Times New Roman" w:cs="Times New Roman"/>
          <w:i/>
          <w:sz w:val="24"/>
          <w:szCs w:val="24"/>
        </w:rPr>
        <w:t>‘</w:t>
      </w:r>
      <w:r w:rsidR="00167D3E" w:rsidRPr="00364995">
        <w:rPr>
          <w:rFonts w:ascii="Times New Roman" w:eastAsiaTheme="minorEastAsia" w:hAnsi="Times New Roman" w:cs="Times New Roman"/>
          <w:b/>
          <w:i/>
          <w:sz w:val="24"/>
          <w:szCs w:val="24"/>
        </w:rPr>
        <w:t>D</w:t>
      </w:r>
      <w:r w:rsidR="00167D3E">
        <w:rPr>
          <w:rFonts w:ascii="Times New Roman" w:eastAsiaTheme="minorEastAsia" w:hAnsi="Times New Roman" w:cs="Times New Roman"/>
          <w:b/>
          <w:i/>
          <w:sz w:val="24"/>
          <w:szCs w:val="24"/>
        </w:rPr>
        <w:t>’</w:t>
      </w:r>
      <w:r w:rsidR="00167D3E" w:rsidRPr="00364995">
        <w:rPr>
          <w:rFonts w:ascii="Times New Roman" w:eastAsiaTheme="minorEastAsia" w:hAnsi="Times New Roman" w:cs="Times New Roman"/>
          <w:b/>
          <w:i/>
          <w:sz w:val="24"/>
          <w:szCs w:val="24"/>
        </w:rPr>
        <w:t xml:space="preserve"> </w:t>
      </w:r>
      <w:r w:rsidR="003163D4">
        <w:rPr>
          <w:rFonts w:ascii="Times New Roman" w:eastAsiaTheme="minorEastAsia" w:hAnsi="Times New Roman" w:cs="Times New Roman"/>
          <w:i/>
          <w:sz w:val="24"/>
          <w:szCs w:val="24"/>
        </w:rPr>
        <w:t xml:space="preserve">while </w:t>
      </w:r>
      <w:r w:rsidR="00F22C30">
        <w:rPr>
          <w:rFonts w:ascii="Times New Roman" w:eastAsiaTheme="minorEastAsia" w:hAnsi="Times New Roman" w:cs="Times New Roman"/>
          <w:i/>
          <w:sz w:val="24"/>
          <w:szCs w:val="24"/>
        </w:rPr>
        <w:t xml:space="preserve">columns 3, 4, 5, </w:t>
      </w:r>
      <w:r w:rsidR="00167D3E">
        <w:rPr>
          <w:rFonts w:ascii="Times New Roman" w:eastAsiaTheme="minorEastAsia" w:hAnsi="Times New Roman" w:cs="Times New Roman"/>
          <w:i/>
          <w:sz w:val="24"/>
          <w:szCs w:val="24"/>
        </w:rPr>
        <w:t>and 6 present the short-</w:t>
      </w:r>
      <w:r w:rsidR="00167D3E" w:rsidRPr="00364995">
        <w:rPr>
          <w:rFonts w:ascii="Times New Roman" w:eastAsiaTheme="minorEastAsia" w:hAnsi="Times New Roman" w:cs="Times New Roman"/>
          <w:i/>
          <w:sz w:val="24"/>
          <w:szCs w:val="24"/>
        </w:rPr>
        <w:t xml:space="preserve">run PMG estimates with </w:t>
      </w:r>
      <w:r w:rsidR="00167D3E">
        <w:rPr>
          <w:rFonts w:ascii="Times New Roman" w:eastAsiaTheme="minorEastAsia" w:hAnsi="Times New Roman" w:cs="Times New Roman"/>
          <w:i/>
          <w:sz w:val="24"/>
          <w:szCs w:val="24"/>
        </w:rPr>
        <w:t xml:space="preserve">the </w:t>
      </w:r>
      <w:r w:rsidR="00167D3E" w:rsidRPr="00364995">
        <w:rPr>
          <w:rFonts w:ascii="Times New Roman" w:eastAsiaTheme="minorEastAsia" w:hAnsi="Times New Roman" w:cs="Times New Roman"/>
          <w:i/>
          <w:sz w:val="24"/>
          <w:szCs w:val="24"/>
        </w:rPr>
        <w:t>difference operator</w:t>
      </w:r>
      <w:r w:rsidR="00167D3E">
        <w:rPr>
          <w:rFonts w:ascii="Times New Roman" w:eastAsiaTheme="minorEastAsia" w:hAnsi="Times New Roman" w:cs="Times New Roman"/>
          <w:i/>
          <w:sz w:val="24"/>
          <w:szCs w:val="24"/>
        </w:rPr>
        <w:t xml:space="preserve">. </w:t>
      </w:r>
      <w:r w:rsidR="00167D3E" w:rsidRPr="00364995">
        <w:rPr>
          <w:rFonts w:ascii="Times New Roman" w:eastAsiaTheme="minorEastAsia" w:hAnsi="Times New Roman" w:cs="Times New Roman"/>
          <w:b/>
          <w:i/>
          <w:sz w:val="24"/>
          <w:szCs w:val="24"/>
        </w:rPr>
        <w:t>ECT</w:t>
      </w:r>
      <w:r w:rsidR="00167D3E">
        <w:rPr>
          <w:rFonts w:ascii="Times New Roman" w:eastAsiaTheme="minorEastAsia" w:hAnsi="Times New Roman" w:cs="Times New Roman"/>
          <w:i/>
          <w:sz w:val="24"/>
          <w:szCs w:val="24"/>
        </w:rPr>
        <w:t xml:space="preserve"> is the Error Correction Term and denotes model convergence in the long run.</w:t>
      </w:r>
    </w:p>
    <w:p w:rsidR="00C90AF5" w:rsidRDefault="00C90AF5" w:rsidP="00167D3E">
      <w:pPr>
        <w:spacing w:after="0" w:line="360" w:lineRule="auto"/>
        <w:jc w:val="both"/>
        <w:rPr>
          <w:rFonts w:ascii="Times New Roman" w:eastAsiaTheme="minorEastAsia" w:hAnsi="Times New Roman" w:cs="Times New Roman"/>
          <w:i/>
          <w:sz w:val="24"/>
          <w:szCs w:val="24"/>
        </w:rPr>
      </w:pPr>
    </w:p>
    <w:p w:rsidR="00BB651B" w:rsidRDefault="00374631" w:rsidP="00374631">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4969ED" w:rsidRPr="004969ED">
        <w:rPr>
          <w:rFonts w:ascii="Times New Roman" w:eastAsiaTheme="minorEastAsia" w:hAnsi="Times New Roman" w:cs="Times New Roman"/>
          <w:sz w:val="24"/>
          <w:szCs w:val="24"/>
        </w:rPr>
        <w:t xml:space="preserve">The estimation results in </w:t>
      </w:r>
      <w:r w:rsidR="00DD1B94" w:rsidRPr="00DD1B94">
        <w:rPr>
          <w:rFonts w:ascii="Times New Roman" w:eastAsiaTheme="minorEastAsia" w:hAnsi="Times New Roman" w:cs="Times New Roman"/>
          <w:sz w:val="24"/>
          <w:szCs w:val="24"/>
        </w:rPr>
        <w:t xml:space="preserve">Table </w:t>
      </w:r>
      <w:r w:rsidR="00DD1B94">
        <w:rPr>
          <w:rFonts w:ascii="Times New Roman" w:eastAsiaTheme="minorEastAsia" w:hAnsi="Times New Roman" w:cs="Times New Roman"/>
          <w:sz w:val="24"/>
          <w:szCs w:val="24"/>
        </w:rPr>
        <w:t>5</w:t>
      </w:r>
      <w:r w:rsidR="004969ED" w:rsidRPr="004969ED">
        <w:rPr>
          <w:rFonts w:ascii="Times New Roman" w:eastAsiaTheme="minorEastAsia" w:hAnsi="Times New Roman" w:cs="Times New Roman"/>
          <w:sz w:val="24"/>
          <w:szCs w:val="24"/>
        </w:rPr>
        <w:t xml:space="preserve"> </w:t>
      </w:r>
      <w:r w:rsidR="004969ED">
        <w:rPr>
          <w:rFonts w:ascii="Times New Roman" w:eastAsiaTheme="minorEastAsia" w:hAnsi="Times New Roman" w:cs="Times New Roman"/>
          <w:sz w:val="24"/>
          <w:szCs w:val="24"/>
        </w:rPr>
        <w:t>revealed that COVID-19 signific</w:t>
      </w:r>
      <w:r w:rsidR="008F19FD">
        <w:rPr>
          <w:rFonts w:ascii="Times New Roman" w:eastAsiaTheme="minorEastAsia" w:hAnsi="Times New Roman" w:cs="Times New Roman"/>
          <w:sz w:val="24"/>
          <w:szCs w:val="24"/>
        </w:rPr>
        <w:t xml:space="preserve">antly decreased CPI in the long </w:t>
      </w:r>
      <w:r w:rsidR="004969ED">
        <w:rPr>
          <w:rFonts w:ascii="Times New Roman" w:eastAsiaTheme="minorEastAsia" w:hAnsi="Times New Roman" w:cs="Times New Roman"/>
          <w:sz w:val="24"/>
          <w:szCs w:val="24"/>
        </w:rPr>
        <w:t xml:space="preserve">run. The impact was negative and significant for Kenya but insignificant for Rwanda, South Sudan, and Uganda in the short run. </w:t>
      </w:r>
      <w:r w:rsidR="00477FFC">
        <w:rPr>
          <w:rFonts w:ascii="Times New Roman" w:eastAsiaTheme="minorEastAsia" w:hAnsi="Times New Roman" w:cs="Times New Roman"/>
          <w:sz w:val="24"/>
          <w:szCs w:val="24"/>
        </w:rPr>
        <w:t>T</w:t>
      </w:r>
      <w:r w:rsidR="004969ED">
        <w:rPr>
          <w:rFonts w:ascii="Times New Roman" w:eastAsiaTheme="minorEastAsia" w:hAnsi="Times New Roman" w:cs="Times New Roman"/>
          <w:sz w:val="24"/>
          <w:szCs w:val="24"/>
        </w:rPr>
        <w:t xml:space="preserve">hese results support the findings by </w:t>
      </w:r>
      <w:r w:rsidR="00F972A1">
        <w:rPr>
          <w:rFonts w:ascii="Times New Roman" w:eastAsiaTheme="minorEastAsia" w:hAnsi="Times New Roman" w:cs="Times New Roman"/>
          <w:sz w:val="24"/>
          <w:szCs w:val="24"/>
        </w:rPr>
        <w:t xml:space="preserve">Ebrahimy </w:t>
      </w:r>
      <w:r w:rsidR="00380DC7" w:rsidRPr="00794121">
        <w:rPr>
          <w:rFonts w:ascii="Times New Roman" w:eastAsiaTheme="minorEastAsia" w:hAnsi="Times New Roman" w:cs="Times New Roman"/>
          <w:i/>
          <w:sz w:val="24"/>
          <w:szCs w:val="24"/>
        </w:rPr>
        <w:t>et al.</w:t>
      </w:r>
      <w:r w:rsidR="00380DC7">
        <w:rPr>
          <w:rFonts w:ascii="Times New Roman" w:eastAsiaTheme="minorEastAsia" w:hAnsi="Times New Roman" w:cs="Times New Roman"/>
          <w:sz w:val="24"/>
          <w:szCs w:val="24"/>
        </w:rPr>
        <w:t xml:space="preserve"> </w:t>
      </w:r>
      <w:r w:rsidR="00F972A1">
        <w:rPr>
          <w:rFonts w:ascii="Times New Roman" w:eastAsiaTheme="minorEastAsia" w:hAnsi="Times New Roman" w:cs="Times New Roman"/>
          <w:sz w:val="24"/>
          <w:szCs w:val="24"/>
        </w:rPr>
        <w:t>(2020)</w:t>
      </w:r>
      <w:r w:rsidR="00477FFC">
        <w:rPr>
          <w:rFonts w:ascii="Times New Roman" w:eastAsiaTheme="minorEastAsia" w:hAnsi="Times New Roman" w:cs="Times New Roman"/>
          <w:sz w:val="24"/>
          <w:szCs w:val="24"/>
        </w:rPr>
        <w:t xml:space="preserve"> who find </w:t>
      </w:r>
      <w:r w:rsidR="00477FFC" w:rsidRPr="00A43CCD">
        <w:rPr>
          <w:rFonts w:ascii="Times New Roman" w:hAnsi="Times New Roman" w:cs="Times New Roman"/>
          <w:sz w:val="24"/>
          <w:szCs w:val="24"/>
        </w:rPr>
        <w:t xml:space="preserve">no </w:t>
      </w:r>
      <w:r w:rsidR="00477FFC">
        <w:rPr>
          <w:rFonts w:ascii="Times New Roman" w:hAnsi="Times New Roman" w:cs="Times New Roman"/>
          <w:sz w:val="24"/>
          <w:szCs w:val="24"/>
        </w:rPr>
        <w:t>proof</w:t>
      </w:r>
      <w:r w:rsidR="00477FFC" w:rsidRPr="00A43CCD">
        <w:rPr>
          <w:rFonts w:ascii="Times New Roman" w:hAnsi="Times New Roman" w:cs="Times New Roman"/>
          <w:sz w:val="24"/>
          <w:szCs w:val="24"/>
        </w:rPr>
        <w:t xml:space="preserve"> of inf</w:t>
      </w:r>
      <w:r w:rsidR="00477FFC">
        <w:rPr>
          <w:rFonts w:ascii="Times New Roman" w:hAnsi="Times New Roman" w:cs="Times New Roman"/>
          <w:sz w:val="24"/>
          <w:szCs w:val="24"/>
        </w:rPr>
        <w:t xml:space="preserve">lation when </w:t>
      </w:r>
      <w:r w:rsidR="00477FFC" w:rsidRPr="00A43CCD">
        <w:rPr>
          <w:rFonts w:ascii="Times New Roman" w:hAnsi="Times New Roman" w:cs="Times New Roman"/>
          <w:sz w:val="24"/>
          <w:szCs w:val="24"/>
        </w:rPr>
        <w:t>broader indexes</w:t>
      </w:r>
      <w:r w:rsidR="00477FFC">
        <w:rPr>
          <w:rFonts w:ascii="Times New Roman" w:hAnsi="Times New Roman" w:cs="Times New Roman"/>
          <w:sz w:val="24"/>
          <w:szCs w:val="24"/>
        </w:rPr>
        <w:t xml:space="preserve"> are factored in</w:t>
      </w:r>
      <w:r w:rsidR="00477FFC" w:rsidRPr="00A43CCD">
        <w:rPr>
          <w:rFonts w:ascii="Times New Roman" w:hAnsi="Times New Roman" w:cs="Times New Roman"/>
          <w:sz w:val="24"/>
          <w:szCs w:val="24"/>
        </w:rPr>
        <w:t xml:space="preserve">. </w:t>
      </w:r>
      <w:r w:rsidR="00477FFC">
        <w:rPr>
          <w:rFonts w:ascii="Times New Roman" w:hAnsi="Times New Roman" w:cs="Times New Roman"/>
          <w:sz w:val="24"/>
          <w:szCs w:val="24"/>
        </w:rPr>
        <w:t xml:space="preserve">Their findings reiterate that </w:t>
      </w:r>
      <w:r w:rsidR="00477FFC" w:rsidRPr="00A43CCD">
        <w:rPr>
          <w:rFonts w:ascii="Times New Roman" w:hAnsi="Times New Roman" w:cs="Times New Roman"/>
          <w:sz w:val="24"/>
          <w:szCs w:val="24"/>
        </w:rPr>
        <w:lastRenderedPageBreak/>
        <w:t>the</w:t>
      </w:r>
      <w:r w:rsidR="00477FFC">
        <w:rPr>
          <w:rFonts w:ascii="Times New Roman" w:hAnsi="Times New Roman" w:cs="Times New Roman"/>
          <w:sz w:val="24"/>
          <w:szCs w:val="24"/>
        </w:rPr>
        <w:t xml:space="preserve"> time i</w:t>
      </w:r>
      <w:r w:rsidR="00477FFC" w:rsidRPr="004D22CD">
        <w:rPr>
          <w:rFonts w:ascii="Times New Roman" w:hAnsi="Times New Roman" w:cs="Times New Roman"/>
          <w:sz w:val="24"/>
          <w:szCs w:val="24"/>
        </w:rPr>
        <w:t>s</w:t>
      </w:r>
      <w:r w:rsidR="00477FFC">
        <w:rPr>
          <w:rFonts w:ascii="Times New Roman" w:hAnsi="Times New Roman" w:cs="Times New Roman"/>
          <w:sz w:val="24"/>
          <w:szCs w:val="24"/>
        </w:rPr>
        <w:t xml:space="preserve"> </w:t>
      </w:r>
      <w:r w:rsidR="00B6541D">
        <w:rPr>
          <w:rFonts w:ascii="Times New Roman" w:hAnsi="Times New Roman" w:cs="Times New Roman"/>
          <w:sz w:val="24"/>
          <w:szCs w:val="24"/>
        </w:rPr>
        <w:t xml:space="preserve">too </w:t>
      </w:r>
      <w:r w:rsidR="00477FFC">
        <w:rPr>
          <w:rFonts w:ascii="Times New Roman" w:hAnsi="Times New Roman" w:cs="Times New Roman"/>
          <w:sz w:val="24"/>
          <w:szCs w:val="24"/>
        </w:rPr>
        <w:t>short</w:t>
      </w:r>
      <w:r w:rsidR="00477FFC" w:rsidRPr="00A43CCD">
        <w:rPr>
          <w:rFonts w:ascii="Times New Roman" w:hAnsi="Times New Roman" w:cs="Times New Roman"/>
          <w:sz w:val="24"/>
          <w:szCs w:val="24"/>
        </w:rPr>
        <w:t xml:space="preserve"> to assess the inflation</w:t>
      </w:r>
      <w:r w:rsidR="00477FFC">
        <w:rPr>
          <w:rFonts w:ascii="Times New Roman" w:hAnsi="Times New Roman" w:cs="Times New Roman"/>
          <w:sz w:val="24"/>
          <w:szCs w:val="24"/>
        </w:rPr>
        <w:t xml:space="preserve"> trends</w:t>
      </w:r>
      <w:r w:rsidR="00477FFC" w:rsidRPr="00A43CCD">
        <w:rPr>
          <w:rFonts w:ascii="Times New Roman" w:hAnsi="Times New Roman" w:cs="Times New Roman"/>
          <w:sz w:val="24"/>
          <w:szCs w:val="24"/>
        </w:rPr>
        <w:t xml:space="preserve"> followin</w:t>
      </w:r>
      <w:r w:rsidR="00477FFC">
        <w:rPr>
          <w:rFonts w:ascii="Times New Roman" w:hAnsi="Times New Roman" w:cs="Times New Roman"/>
          <w:sz w:val="24"/>
          <w:szCs w:val="24"/>
        </w:rPr>
        <w:t>g the economy reopening and as such,</w:t>
      </w:r>
      <w:r w:rsidR="00477FFC" w:rsidRPr="00A43CCD">
        <w:rPr>
          <w:rFonts w:ascii="Times New Roman" w:hAnsi="Times New Roman" w:cs="Times New Roman"/>
          <w:sz w:val="24"/>
          <w:szCs w:val="24"/>
        </w:rPr>
        <w:t xml:space="preserve"> inflation expectation measures do not reveal </w:t>
      </w:r>
      <w:r w:rsidR="00477FFC">
        <w:rPr>
          <w:rFonts w:ascii="Times New Roman" w:hAnsi="Times New Roman" w:cs="Times New Roman"/>
          <w:sz w:val="24"/>
          <w:szCs w:val="24"/>
        </w:rPr>
        <w:t xml:space="preserve">a palpable trend of </w:t>
      </w:r>
      <w:r w:rsidR="00477FFC" w:rsidRPr="00A43CCD">
        <w:rPr>
          <w:rFonts w:ascii="Times New Roman" w:hAnsi="Times New Roman" w:cs="Times New Roman"/>
          <w:sz w:val="24"/>
          <w:szCs w:val="24"/>
        </w:rPr>
        <w:t>upward inflationary moves.</w:t>
      </w:r>
      <w:r w:rsidR="00BD18C1">
        <w:rPr>
          <w:rFonts w:ascii="Times New Roman" w:hAnsi="Times New Roman" w:cs="Times New Roman"/>
          <w:sz w:val="24"/>
          <w:szCs w:val="24"/>
        </w:rPr>
        <w:t xml:space="preserve"> However, this is contrary to findings by Coulibaly (2021) who finds a significant increase in CPI for the WAEMU countries in the wake of the COVID-19 pandemic.</w:t>
      </w:r>
      <w:r w:rsidR="00BB651B" w:rsidRPr="00BB651B">
        <w:rPr>
          <w:rFonts w:ascii="Times New Roman" w:hAnsi="Times New Roman" w:cs="Times New Roman"/>
          <w:sz w:val="24"/>
          <w:szCs w:val="24"/>
        </w:rPr>
        <w:t xml:space="preserve"> </w:t>
      </w:r>
    </w:p>
    <w:p w:rsidR="007846BA" w:rsidRDefault="00374631" w:rsidP="00374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51B">
        <w:rPr>
          <w:rFonts w:ascii="Times New Roman" w:hAnsi="Times New Roman" w:cs="Times New Roman"/>
          <w:sz w:val="24"/>
          <w:szCs w:val="24"/>
        </w:rPr>
        <w:t>Trade deficit significantly decreased CPI for Rwanda</w:t>
      </w:r>
      <w:r w:rsidR="003675C2">
        <w:rPr>
          <w:rFonts w:ascii="Times New Roman" w:hAnsi="Times New Roman" w:cs="Times New Roman"/>
          <w:sz w:val="24"/>
          <w:szCs w:val="24"/>
        </w:rPr>
        <w:t>, South Sudan,</w:t>
      </w:r>
      <w:r w:rsidR="00BB651B">
        <w:rPr>
          <w:rFonts w:ascii="Times New Roman" w:hAnsi="Times New Roman" w:cs="Times New Roman"/>
          <w:sz w:val="24"/>
          <w:szCs w:val="24"/>
        </w:rPr>
        <w:t xml:space="preserve"> and </w:t>
      </w:r>
      <w:r w:rsidR="003675C2">
        <w:rPr>
          <w:rFonts w:ascii="Times New Roman" w:hAnsi="Times New Roman" w:cs="Times New Roman"/>
          <w:sz w:val="24"/>
          <w:szCs w:val="24"/>
        </w:rPr>
        <w:t>Uganda in</w:t>
      </w:r>
      <w:r w:rsidR="00BB651B">
        <w:rPr>
          <w:rFonts w:ascii="Times New Roman" w:hAnsi="Times New Roman" w:cs="Times New Roman"/>
          <w:sz w:val="24"/>
          <w:szCs w:val="24"/>
        </w:rPr>
        <w:t xml:space="preserve"> the short run. The impact was</w:t>
      </w:r>
      <w:r w:rsidR="003675C2">
        <w:rPr>
          <w:rFonts w:ascii="Times New Roman" w:hAnsi="Times New Roman" w:cs="Times New Roman"/>
          <w:sz w:val="24"/>
          <w:szCs w:val="24"/>
        </w:rPr>
        <w:t>, however,</w:t>
      </w:r>
      <w:r w:rsidR="00BB651B">
        <w:rPr>
          <w:rFonts w:ascii="Times New Roman" w:hAnsi="Times New Roman" w:cs="Times New Roman"/>
          <w:sz w:val="24"/>
          <w:szCs w:val="24"/>
        </w:rPr>
        <w:t xml:space="preserve"> insignificant in the long run.</w:t>
      </w:r>
      <w:r w:rsidR="002301DB">
        <w:rPr>
          <w:rFonts w:ascii="Times New Roman" w:hAnsi="Times New Roman" w:cs="Times New Roman"/>
          <w:sz w:val="24"/>
          <w:szCs w:val="24"/>
        </w:rPr>
        <w:t xml:space="preserve"> The exchange rate increase (depreciation) and M2 money increase were surprisingly found to significant</w:t>
      </w:r>
      <w:r w:rsidR="00A30AB0">
        <w:rPr>
          <w:rFonts w:ascii="Times New Roman" w:hAnsi="Times New Roman" w:cs="Times New Roman"/>
          <w:sz w:val="24"/>
          <w:szCs w:val="24"/>
        </w:rPr>
        <w:t xml:space="preserve">ly decrease the CPI in the long </w:t>
      </w:r>
      <w:r w:rsidR="002301DB">
        <w:rPr>
          <w:rFonts w:ascii="Times New Roman" w:hAnsi="Times New Roman" w:cs="Times New Roman"/>
          <w:sz w:val="24"/>
          <w:szCs w:val="24"/>
        </w:rPr>
        <w:t xml:space="preserve">run. </w:t>
      </w:r>
      <w:r w:rsidR="004E4DA3">
        <w:rPr>
          <w:rFonts w:ascii="Times New Roman" w:hAnsi="Times New Roman" w:cs="Times New Roman"/>
          <w:sz w:val="24"/>
          <w:szCs w:val="24"/>
        </w:rPr>
        <w:t xml:space="preserve">In the short run, M2 money positively and significantly influenced the CPI. </w:t>
      </w:r>
      <w:r w:rsidR="0023459D">
        <w:rPr>
          <w:rFonts w:ascii="Times New Roman" w:hAnsi="Times New Roman" w:cs="Times New Roman"/>
          <w:sz w:val="24"/>
          <w:szCs w:val="24"/>
        </w:rPr>
        <w:t>This is primarily because</w:t>
      </w:r>
      <w:r w:rsidR="002B183D">
        <w:rPr>
          <w:rFonts w:ascii="Times New Roman" w:hAnsi="Times New Roman" w:cs="Times New Roman"/>
          <w:sz w:val="24"/>
          <w:szCs w:val="24"/>
        </w:rPr>
        <w:t>,</w:t>
      </w:r>
      <w:r w:rsidR="0023459D">
        <w:rPr>
          <w:rFonts w:ascii="Times New Roman" w:hAnsi="Times New Roman" w:cs="Times New Roman"/>
          <w:sz w:val="24"/>
          <w:szCs w:val="24"/>
        </w:rPr>
        <w:t xml:space="preserve"> a</w:t>
      </w:r>
      <w:r w:rsidR="004E4DA3">
        <w:rPr>
          <w:rFonts w:ascii="Times New Roman" w:hAnsi="Times New Roman" w:cs="Times New Roman"/>
          <w:sz w:val="24"/>
          <w:szCs w:val="24"/>
        </w:rPr>
        <w:t xml:space="preserve">t the onset of the pandemic, governments across </w:t>
      </w:r>
      <w:r w:rsidR="002B183D">
        <w:rPr>
          <w:rFonts w:ascii="Times New Roman" w:hAnsi="Times New Roman" w:cs="Times New Roman"/>
          <w:sz w:val="24"/>
          <w:szCs w:val="24"/>
        </w:rPr>
        <w:t xml:space="preserve">the </w:t>
      </w:r>
      <w:r w:rsidR="004E4DA3">
        <w:rPr>
          <w:rFonts w:ascii="Times New Roman" w:hAnsi="Times New Roman" w:cs="Times New Roman"/>
          <w:sz w:val="24"/>
          <w:szCs w:val="24"/>
        </w:rPr>
        <w:t xml:space="preserve">EAC </w:t>
      </w:r>
      <w:r w:rsidR="0023459D">
        <w:rPr>
          <w:rFonts w:ascii="Times New Roman" w:hAnsi="Times New Roman" w:cs="Times New Roman"/>
          <w:sz w:val="24"/>
          <w:szCs w:val="24"/>
        </w:rPr>
        <w:t xml:space="preserve">region instituted fiscal </w:t>
      </w:r>
      <w:r w:rsidR="002B183D">
        <w:rPr>
          <w:rFonts w:ascii="Times New Roman" w:hAnsi="Times New Roman" w:cs="Times New Roman"/>
          <w:sz w:val="24"/>
          <w:szCs w:val="24"/>
        </w:rPr>
        <w:t>measures to help cushion thei</w:t>
      </w:r>
      <w:r w:rsidR="004E4DA3">
        <w:rPr>
          <w:rFonts w:ascii="Times New Roman" w:hAnsi="Times New Roman" w:cs="Times New Roman"/>
          <w:sz w:val="24"/>
          <w:szCs w:val="24"/>
        </w:rPr>
        <w:t xml:space="preserve">r citizens from the effects of the pandemic. While these measures were instrumental in improving welfare, they at the same time increased government spending hence increasing the amount of money circulating in the economy. This yielded inflationary tendencies in the short run. However, in the long run, economic stabilization implied retracted movements from the fiscal &amp; monetary policy expansion </w:t>
      </w:r>
      <w:r w:rsidR="0023459D">
        <w:rPr>
          <w:rFonts w:ascii="Times New Roman" w:hAnsi="Times New Roman" w:cs="Times New Roman"/>
          <w:sz w:val="24"/>
          <w:szCs w:val="24"/>
        </w:rPr>
        <w:t>tools. Equally, in the short run, exchange rate increase (depreciation) was found to positively and significantly increase CPI in Kenya and South Sudan but significantly lowered CPI for Uganda.</w:t>
      </w:r>
    </w:p>
    <w:p w:rsidR="00832FE9" w:rsidRDefault="00374631" w:rsidP="00EE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6BA">
        <w:rPr>
          <w:rFonts w:ascii="Times New Roman" w:hAnsi="Times New Roman" w:cs="Times New Roman"/>
          <w:sz w:val="24"/>
          <w:szCs w:val="24"/>
        </w:rPr>
        <w:t xml:space="preserve">The </w:t>
      </w:r>
      <w:r w:rsidR="00BF502B">
        <w:rPr>
          <w:rFonts w:ascii="Times New Roman" w:hAnsi="Times New Roman" w:cs="Times New Roman"/>
          <w:sz w:val="24"/>
          <w:szCs w:val="24"/>
        </w:rPr>
        <w:t xml:space="preserve">commercial banks’ </w:t>
      </w:r>
      <w:r w:rsidR="007846BA">
        <w:rPr>
          <w:rFonts w:ascii="Times New Roman" w:hAnsi="Times New Roman" w:cs="Times New Roman"/>
          <w:sz w:val="24"/>
          <w:szCs w:val="24"/>
        </w:rPr>
        <w:t>l</w:t>
      </w:r>
      <w:r w:rsidR="002301DB">
        <w:rPr>
          <w:rFonts w:ascii="Times New Roman" w:hAnsi="Times New Roman" w:cs="Times New Roman"/>
          <w:sz w:val="24"/>
          <w:szCs w:val="24"/>
        </w:rPr>
        <w:t>ending rate was found to significant</w:t>
      </w:r>
      <w:r w:rsidR="00BF502B">
        <w:rPr>
          <w:rFonts w:ascii="Times New Roman" w:hAnsi="Times New Roman" w:cs="Times New Roman"/>
          <w:sz w:val="24"/>
          <w:szCs w:val="24"/>
        </w:rPr>
        <w:t xml:space="preserve">ly increase the CPI in the long </w:t>
      </w:r>
      <w:r w:rsidR="002301DB">
        <w:rPr>
          <w:rFonts w:ascii="Times New Roman" w:hAnsi="Times New Roman" w:cs="Times New Roman"/>
          <w:sz w:val="24"/>
          <w:szCs w:val="24"/>
        </w:rPr>
        <w:t>run.</w:t>
      </w:r>
      <w:r w:rsidR="00BF502B">
        <w:rPr>
          <w:rFonts w:ascii="Times New Roman" w:hAnsi="Times New Roman" w:cs="Times New Roman"/>
          <w:sz w:val="24"/>
          <w:szCs w:val="24"/>
        </w:rPr>
        <w:t xml:space="preserve"> In the short run, the impact was positive and significant for Kenya but negative and insignificant for South Sudan. </w:t>
      </w:r>
      <w:r w:rsidR="00F87E45">
        <w:rPr>
          <w:rFonts w:ascii="Times New Roman" w:hAnsi="Times New Roman" w:cs="Times New Roman"/>
          <w:sz w:val="24"/>
          <w:szCs w:val="24"/>
        </w:rPr>
        <w:t xml:space="preserve">The Error Correction Term (ECT) was found to be negative and statistically significant for Kenya and South </w:t>
      </w:r>
      <w:r w:rsidR="004E4E4A">
        <w:rPr>
          <w:rFonts w:ascii="Times New Roman" w:hAnsi="Times New Roman" w:cs="Times New Roman"/>
          <w:sz w:val="24"/>
          <w:szCs w:val="24"/>
        </w:rPr>
        <w:t>Sudan hence</w:t>
      </w:r>
      <w:r w:rsidR="00F87E45">
        <w:rPr>
          <w:rFonts w:ascii="Times New Roman" w:hAnsi="Times New Roman" w:cs="Times New Roman"/>
          <w:sz w:val="24"/>
          <w:szCs w:val="24"/>
        </w:rPr>
        <w:t xml:space="preserve"> denotin</w:t>
      </w:r>
      <w:r w:rsidR="006D2A14">
        <w:rPr>
          <w:rFonts w:ascii="Times New Roman" w:hAnsi="Times New Roman" w:cs="Times New Roman"/>
          <w:sz w:val="24"/>
          <w:szCs w:val="24"/>
        </w:rPr>
        <w:t xml:space="preserve">g model convergence in the long </w:t>
      </w:r>
      <w:r w:rsidR="00F87E45">
        <w:rPr>
          <w:rFonts w:ascii="Times New Roman" w:hAnsi="Times New Roman" w:cs="Times New Roman"/>
          <w:sz w:val="24"/>
          <w:szCs w:val="24"/>
        </w:rPr>
        <w:t>run for these two countries.</w:t>
      </w:r>
      <w:r w:rsidR="00BF502B">
        <w:rPr>
          <w:rFonts w:ascii="Times New Roman" w:hAnsi="Times New Roman" w:cs="Times New Roman"/>
          <w:sz w:val="24"/>
          <w:szCs w:val="24"/>
        </w:rPr>
        <w:t xml:space="preserve"> This implied that</w:t>
      </w:r>
      <w:r w:rsidR="00BE4C17">
        <w:rPr>
          <w:rFonts w:ascii="Times New Roman" w:hAnsi="Times New Roman" w:cs="Times New Roman"/>
          <w:sz w:val="24"/>
          <w:szCs w:val="24"/>
        </w:rPr>
        <w:t xml:space="preserve"> </w:t>
      </w:r>
      <w:r w:rsidR="00BF502B">
        <w:rPr>
          <w:rFonts w:ascii="Times New Roman" w:hAnsi="Times New Roman" w:cs="Times New Roman"/>
          <w:sz w:val="24"/>
          <w:szCs w:val="24"/>
        </w:rPr>
        <w:t xml:space="preserve">any deviations from the </w:t>
      </w:r>
      <w:r w:rsidR="006D2A14">
        <w:rPr>
          <w:rFonts w:ascii="Times New Roman" w:hAnsi="Times New Roman" w:cs="Times New Roman"/>
          <w:sz w:val="24"/>
          <w:szCs w:val="24"/>
        </w:rPr>
        <w:t>long-</w:t>
      </w:r>
      <w:r w:rsidR="00BE4C17">
        <w:rPr>
          <w:rFonts w:ascii="Times New Roman" w:hAnsi="Times New Roman" w:cs="Times New Roman"/>
          <w:sz w:val="24"/>
          <w:szCs w:val="24"/>
        </w:rPr>
        <w:t>run equilibrium are corrected at an adjustment speed of 20.8% and 40.5% for Ken</w:t>
      </w:r>
      <w:r>
        <w:rPr>
          <w:rFonts w:ascii="Times New Roman" w:hAnsi="Times New Roman" w:cs="Times New Roman"/>
          <w:sz w:val="24"/>
          <w:szCs w:val="24"/>
        </w:rPr>
        <w:t xml:space="preserve">ya and South Sudan respectively. </w:t>
      </w:r>
      <w:r w:rsidR="00832FE9">
        <w:rPr>
          <w:rFonts w:ascii="Times New Roman" w:hAnsi="Times New Roman" w:cs="Times New Roman"/>
          <w:sz w:val="24"/>
          <w:szCs w:val="24"/>
        </w:rPr>
        <w:t>Table 6 presents the PMG estimates for Model 2.</w:t>
      </w:r>
    </w:p>
    <w:p w:rsidR="00240DB1" w:rsidRDefault="00240DB1" w:rsidP="00E425CC">
      <w:pPr>
        <w:spacing w:after="0" w:line="360" w:lineRule="auto"/>
        <w:jc w:val="both"/>
        <w:rPr>
          <w:rFonts w:ascii="Times New Roman" w:hAnsi="Times New Roman" w:cs="Times New Roman"/>
          <w:b/>
          <w:sz w:val="24"/>
          <w:szCs w:val="24"/>
        </w:rPr>
      </w:pPr>
    </w:p>
    <w:p w:rsidR="00240DB1" w:rsidRDefault="00240DB1" w:rsidP="00E425CC">
      <w:pPr>
        <w:spacing w:after="0" w:line="360" w:lineRule="auto"/>
        <w:jc w:val="both"/>
        <w:rPr>
          <w:rFonts w:ascii="Times New Roman" w:hAnsi="Times New Roman" w:cs="Times New Roman"/>
          <w:b/>
          <w:sz w:val="24"/>
          <w:szCs w:val="24"/>
        </w:rPr>
      </w:pPr>
    </w:p>
    <w:p w:rsidR="00240DB1" w:rsidRDefault="00240DB1" w:rsidP="00E425CC">
      <w:pPr>
        <w:spacing w:after="0" w:line="360" w:lineRule="auto"/>
        <w:jc w:val="both"/>
        <w:rPr>
          <w:rFonts w:ascii="Times New Roman" w:hAnsi="Times New Roman" w:cs="Times New Roman"/>
          <w:b/>
          <w:sz w:val="24"/>
          <w:szCs w:val="24"/>
        </w:rPr>
      </w:pPr>
    </w:p>
    <w:p w:rsidR="00240DB1" w:rsidRDefault="00240DB1" w:rsidP="00E425CC">
      <w:pPr>
        <w:spacing w:after="0" w:line="360" w:lineRule="auto"/>
        <w:jc w:val="both"/>
        <w:rPr>
          <w:rFonts w:ascii="Times New Roman" w:hAnsi="Times New Roman" w:cs="Times New Roman"/>
          <w:b/>
          <w:sz w:val="24"/>
          <w:szCs w:val="24"/>
        </w:rPr>
      </w:pPr>
    </w:p>
    <w:p w:rsidR="00240DB1" w:rsidRDefault="00240DB1" w:rsidP="00E425CC">
      <w:pPr>
        <w:spacing w:after="0" w:line="360" w:lineRule="auto"/>
        <w:jc w:val="both"/>
        <w:rPr>
          <w:rFonts w:ascii="Times New Roman" w:hAnsi="Times New Roman" w:cs="Times New Roman"/>
          <w:b/>
          <w:sz w:val="24"/>
          <w:szCs w:val="24"/>
        </w:rPr>
      </w:pPr>
    </w:p>
    <w:p w:rsidR="00240DB1" w:rsidRDefault="00240DB1" w:rsidP="00E425CC">
      <w:pPr>
        <w:spacing w:after="0" w:line="360" w:lineRule="auto"/>
        <w:jc w:val="both"/>
        <w:rPr>
          <w:rFonts w:ascii="Times New Roman" w:hAnsi="Times New Roman" w:cs="Times New Roman"/>
          <w:b/>
          <w:sz w:val="24"/>
          <w:szCs w:val="24"/>
        </w:rPr>
      </w:pPr>
    </w:p>
    <w:p w:rsidR="00A30AB0" w:rsidRDefault="00A30AB0" w:rsidP="00E425CC">
      <w:pPr>
        <w:spacing w:after="0" w:line="360" w:lineRule="auto"/>
        <w:jc w:val="both"/>
        <w:rPr>
          <w:rFonts w:ascii="Times New Roman" w:hAnsi="Times New Roman" w:cs="Times New Roman"/>
          <w:b/>
          <w:sz w:val="24"/>
          <w:szCs w:val="24"/>
        </w:rPr>
      </w:pPr>
    </w:p>
    <w:p w:rsidR="00E425CC" w:rsidRDefault="00005FDD" w:rsidP="00E425CC">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6</w:t>
      </w:r>
      <w:r w:rsidR="00E425CC" w:rsidRPr="00DD1B94">
        <w:rPr>
          <w:rFonts w:ascii="Times New Roman" w:hAnsi="Times New Roman" w:cs="Times New Roman"/>
          <w:b/>
          <w:sz w:val="24"/>
          <w:szCs w:val="24"/>
        </w:rPr>
        <w:t>.</w:t>
      </w:r>
      <w:proofErr w:type="gramEnd"/>
      <w:r w:rsidR="006F2506">
        <w:rPr>
          <w:rFonts w:ascii="Times New Roman" w:hAnsi="Times New Roman" w:cs="Times New Roman"/>
          <w:b/>
          <w:sz w:val="24"/>
          <w:szCs w:val="24"/>
        </w:rPr>
        <w:t xml:space="preserve"> Model 2</w:t>
      </w:r>
      <w:r w:rsidR="00611214">
        <w:rPr>
          <w:rFonts w:ascii="Times New Roman" w:hAnsi="Times New Roman" w:cs="Times New Roman"/>
          <w:b/>
          <w:sz w:val="24"/>
          <w:szCs w:val="24"/>
        </w:rPr>
        <w:t>: PMG regression r</w:t>
      </w:r>
      <w:r w:rsidR="00E425CC">
        <w:rPr>
          <w:rFonts w:ascii="Times New Roman" w:hAnsi="Times New Roman" w:cs="Times New Roman"/>
          <w:b/>
          <w:sz w:val="24"/>
          <w:szCs w:val="24"/>
        </w:rPr>
        <w:t>esults</w:t>
      </w:r>
    </w:p>
    <w:tbl>
      <w:tblPr>
        <w:tblW w:w="9579" w:type="dxa"/>
        <w:jc w:val="center"/>
        <w:tblLayout w:type="fixed"/>
        <w:tblCellMar>
          <w:left w:w="75" w:type="dxa"/>
          <w:right w:w="75" w:type="dxa"/>
        </w:tblCellMar>
        <w:tblLook w:val="0000" w:firstRow="0" w:lastRow="0" w:firstColumn="0" w:lastColumn="0" w:noHBand="0" w:noVBand="0"/>
      </w:tblPr>
      <w:tblGrid>
        <w:gridCol w:w="2667"/>
        <w:gridCol w:w="1296"/>
        <w:gridCol w:w="1296"/>
        <w:gridCol w:w="1440"/>
        <w:gridCol w:w="1440"/>
        <w:gridCol w:w="1440"/>
      </w:tblGrid>
      <w:tr w:rsidR="00E15590" w:rsidRPr="00E15590" w:rsidTr="00124274">
        <w:trPr>
          <w:jc w:val="center"/>
        </w:trPr>
        <w:tc>
          <w:tcPr>
            <w:tcW w:w="2667" w:type="dxa"/>
            <w:tcBorders>
              <w:top w:val="single" w:sz="6" w:space="0" w:color="auto"/>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single" w:sz="6" w:space="0" w:color="auto"/>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(1)</w:t>
            </w:r>
          </w:p>
        </w:tc>
        <w:tc>
          <w:tcPr>
            <w:tcW w:w="1296" w:type="dxa"/>
            <w:tcBorders>
              <w:top w:val="single" w:sz="6" w:space="0" w:color="auto"/>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(2)</w:t>
            </w:r>
          </w:p>
        </w:tc>
        <w:tc>
          <w:tcPr>
            <w:tcW w:w="1440" w:type="dxa"/>
            <w:tcBorders>
              <w:top w:val="single" w:sz="6" w:space="0" w:color="auto"/>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(3)</w:t>
            </w:r>
          </w:p>
        </w:tc>
        <w:tc>
          <w:tcPr>
            <w:tcW w:w="1440" w:type="dxa"/>
            <w:tcBorders>
              <w:top w:val="single" w:sz="6" w:space="0" w:color="auto"/>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(4)</w:t>
            </w:r>
          </w:p>
        </w:tc>
        <w:tc>
          <w:tcPr>
            <w:tcW w:w="1440" w:type="dxa"/>
            <w:tcBorders>
              <w:top w:val="single" w:sz="6" w:space="0" w:color="auto"/>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(5)</w:t>
            </w:r>
          </w:p>
        </w:tc>
      </w:tr>
      <w:tr w:rsidR="00E15590" w:rsidRPr="00E15590" w:rsidTr="00124274">
        <w:trPr>
          <w:jc w:val="center"/>
        </w:trPr>
        <w:tc>
          <w:tcPr>
            <w:tcW w:w="2667"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VARIABLES</w:t>
            </w:r>
          </w:p>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D. lnOil price</w:t>
            </w:r>
          </w:p>
        </w:tc>
        <w:tc>
          <w:tcPr>
            <w:tcW w:w="1296"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EC</w:t>
            </w:r>
          </w:p>
        </w:tc>
        <w:tc>
          <w:tcPr>
            <w:tcW w:w="1296"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Kenya</w:t>
            </w:r>
          </w:p>
        </w:tc>
        <w:tc>
          <w:tcPr>
            <w:tcW w:w="1440"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Rwanda</w:t>
            </w:r>
          </w:p>
        </w:tc>
        <w:tc>
          <w:tcPr>
            <w:tcW w:w="1440"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South Sudan</w:t>
            </w:r>
          </w:p>
        </w:tc>
        <w:tc>
          <w:tcPr>
            <w:tcW w:w="1440"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Uganda</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E15590">
              <w:rPr>
                <w:rFonts w:ascii="Times New Roman" w:eastAsiaTheme="minorEastAsia" w:hAnsi="Times New Roman" w:cs="Times New Roman"/>
                <w:b/>
                <w:sz w:val="24"/>
                <w:szCs w:val="24"/>
              </w:rPr>
              <w:t>EC</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-0.542**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-0.751***</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-1.349***</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-0.907***</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(0.264)</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(0.225)</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(0.386)</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(0.212)</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D.lnCovid Cases</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0.00568</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-0.0240</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0.0945***</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-0.131***</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(0.0638)</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(0.0482)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(0.0270)</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(0.0440)</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 xml:space="preserve">D.lnTrade </w:t>
            </w:r>
            <w:r w:rsidR="008C246B">
              <w:rPr>
                <w:rFonts w:ascii="Times New Roman" w:eastAsiaTheme="minorEastAsia" w:hAnsi="Times New Roman" w:cs="Times New Roman"/>
                <w:sz w:val="24"/>
                <w:szCs w:val="24"/>
              </w:rPr>
              <w:t>B</w:t>
            </w:r>
            <w:r w:rsidRPr="00E15590">
              <w:rPr>
                <w:rFonts w:ascii="Times New Roman" w:eastAsiaTheme="minorEastAsia" w:hAnsi="Times New Roman" w:cs="Times New Roman"/>
                <w:sz w:val="24"/>
                <w:szCs w:val="24"/>
              </w:rPr>
              <w:t>alance</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0.539</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0.482***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0.306</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0.614***</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(0.374)</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(0.154)</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(0.246)</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(0.167)</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D.lnM2 Money</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7.196*</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4.422**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1.390***</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4.509***</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(3.877)</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(1.874)</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(0.453)</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(0.883)</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D.lnExchange Rate</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3.700</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1.462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1.373***</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5.727*</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(6.727)</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(4.053)</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(0.472)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(3.303)</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 xml:space="preserve">D.lnLending </w:t>
            </w:r>
            <w:r w:rsidR="008C246B">
              <w:rPr>
                <w:rFonts w:ascii="Times New Roman" w:eastAsiaTheme="minorEastAsia" w:hAnsi="Times New Roman" w:cs="Times New Roman"/>
                <w:sz w:val="24"/>
                <w:szCs w:val="24"/>
              </w:rPr>
              <w:t>R</w:t>
            </w:r>
            <w:r w:rsidRPr="00E15590">
              <w:rPr>
                <w:rFonts w:ascii="Times New Roman" w:eastAsiaTheme="minorEastAsia" w:hAnsi="Times New Roman" w:cs="Times New Roman"/>
                <w:sz w:val="24"/>
                <w:szCs w:val="24"/>
              </w:rPr>
              <w:t>ate</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3.830</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1.196</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-1.857**</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0.691</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(6.835)</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(1.142)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(0.907)</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(0.730)</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lnCovid Cases</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0.0423**</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(0.0193)</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 xml:space="preserve">lnTrade </w:t>
            </w:r>
            <w:r w:rsidR="008C246B">
              <w:rPr>
                <w:rFonts w:ascii="Times New Roman" w:eastAsiaTheme="minorEastAsia" w:hAnsi="Times New Roman" w:cs="Times New Roman"/>
                <w:sz w:val="24"/>
                <w:szCs w:val="24"/>
              </w:rPr>
              <w:t>B</w:t>
            </w:r>
            <w:r w:rsidRPr="00E15590">
              <w:rPr>
                <w:rFonts w:ascii="Times New Roman" w:eastAsiaTheme="minorEastAsia" w:hAnsi="Times New Roman" w:cs="Times New Roman"/>
                <w:sz w:val="24"/>
                <w:szCs w:val="24"/>
              </w:rPr>
              <w:t>alance</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-0.0596</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(0.0944)</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lnM2 Money</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-0.147</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(0.266)</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lnExchange Rate</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-1.563**</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(0.612)</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 xml:space="preserve">lnLending </w:t>
            </w:r>
            <w:r w:rsidR="008C246B">
              <w:rPr>
                <w:rFonts w:ascii="Times New Roman" w:eastAsiaTheme="minorEastAsia" w:hAnsi="Times New Roman" w:cs="Times New Roman"/>
                <w:sz w:val="24"/>
                <w:szCs w:val="24"/>
              </w:rPr>
              <w:t>R</w:t>
            </w:r>
            <w:r w:rsidRPr="00E15590">
              <w:rPr>
                <w:rFonts w:ascii="Times New Roman" w:eastAsiaTheme="minorEastAsia" w:hAnsi="Times New Roman" w:cs="Times New Roman"/>
                <w:sz w:val="24"/>
                <w:szCs w:val="24"/>
              </w:rPr>
              <w:t>ate</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-0.0232</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(0.820)</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Constant</w:t>
            </w: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6.872*</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11.76**</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17.53**</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16.31**</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(3.974)</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(4.953)</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(7.293)</w:t>
            </w: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(6.634)</w:t>
            </w:r>
          </w:p>
        </w:tc>
      </w:tr>
      <w:tr w:rsidR="00E15590" w:rsidRPr="00E15590" w:rsidTr="00124274">
        <w:trPr>
          <w:jc w:val="center"/>
        </w:trPr>
        <w:tc>
          <w:tcPr>
            <w:tcW w:w="2667"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96"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40" w:type="dxa"/>
            <w:tcBorders>
              <w:top w:val="nil"/>
              <w:left w:val="nil"/>
              <w:bottom w:val="nil"/>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E15590" w:rsidRPr="00E15590" w:rsidTr="00124274">
        <w:tblPrEx>
          <w:tblBorders>
            <w:bottom w:val="single" w:sz="6" w:space="0" w:color="auto"/>
          </w:tblBorders>
        </w:tblPrEx>
        <w:trPr>
          <w:jc w:val="center"/>
        </w:trPr>
        <w:tc>
          <w:tcPr>
            <w:tcW w:w="2667"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Observations</w:t>
            </w:r>
          </w:p>
        </w:tc>
        <w:tc>
          <w:tcPr>
            <w:tcW w:w="1296"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56</w:t>
            </w:r>
          </w:p>
        </w:tc>
        <w:tc>
          <w:tcPr>
            <w:tcW w:w="1296"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56</w:t>
            </w:r>
          </w:p>
        </w:tc>
        <w:tc>
          <w:tcPr>
            <w:tcW w:w="1440"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56</w:t>
            </w:r>
          </w:p>
        </w:tc>
        <w:tc>
          <w:tcPr>
            <w:tcW w:w="1440"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56</w:t>
            </w:r>
          </w:p>
        </w:tc>
        <w:tc>
          <w:tcPr>
            <w:tcW w:w="1440" w:type="dxa"/>
            <w:tcBorders>
              <w:top w:val="nil"/>
              <w:left w:val="nil"/>
              <w:bottom w:val="single" w:sz="6" w:space="0" w:color="auto"/>
              <w:right w:val="nil"/>
            </w:tcBorders>
          </w:tcPr>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56</w:t>
            </w:r>
          </w:p>
        </w:tc>
      </w:tr>
    </w:tbl>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Standard errors in parentheses</w:t>
      </w:r>
    </w:p>
    <w:p w:rsidR="00E15590" w:rsidRPr="00E15590" w:rsidRDefault="00E15590" w:rsidP="00E1559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E15590">
        <w:rPr>
          <w:rFonts w:ascii="Times New Roman" w:eastAsiaTheme="minorEastAsia" w:hAnsi="Times New Roman" w:cs="Times New Roman"/>
          <w:sz w:val="24"/>
          <w:szCs w:val="24"/>
        </w:rPr>
        <w:t>*** p&lt;0.01, ** p&lt;0.05, * p&lt;0.1</w:t>
      </w:r>
    </w:p>
    <w:p w:rsidR="00356A3A" w:rsidRDefault="00356A3A" w:rsidP="00E425CC">
      <w:pPr>
        <w:spacing w:after="0" w:line="360" w:lineRule="auto"/>
        <w:jc w:val="both"/>
        <w:rPr>
          <w:rFonts w:ascii="Times New Roman" w:hAnsi="Times New Roman" w:cs="Times New Roman"/>
          <w:b/>
          <w:sz w:val="24"/>
          <w:szCs w:val="24"/>
        </w:rPr>
      </w:pPr>
    </w:p>
    <w:p w:rsidR="00356A3A" w:rsidRPr="00137F84" w:rsidRDefault="00356A3A" w:rsidP="00137F84">
      <w:pPr>
        <w:spacing w:after="0" w:line="360" w:lineRule="auto"/>
        <w:jc w:val="both"/>
        <w:rPr>
          <w:rFonts w:ascii="Times New Roman" w:hAnsi="Times New Roman" w:cs="Times New Roman"/>
          <w:b/>
          <w:sz w:val="24"/>
          <w:szCs w:val="24"/>
        </w:rPr>
      </w:pPr>
      <w:r w:rsidRPr="00364995">
        <w:rPr>
          <w:rFonts w:ascii="Times New Roman" w:eastAsiaTheme="minorEastAsia" w:hAnsi="Times New Roman" w:cs="Times New Roman"/>
          <w:b/>
          <w:sz w:val="24"/>
          <w:szCs w:val="24"/>
        </w:rPr>
        <w:t>Notes:</w:t>
      </w:r>
      <w:r w:rsidR="00137F84">
        <w:rPr>
          <w:rFonts w:ascii="Times New Roman" w:eastAsiaTheme="minorEastAsia" w:hAnsi="Times New Roman" w:cs="Times New Roman"/>
          <w:sz w:val="24"/>
          <w:szCs w:val="24"/>
        </w:rPr>
        <w:t xml:space="preserve"> </w:t>
      </w:r>
      <w:r w:rsidR="00D1108A" w:rsidRPr="00372799">
        <w:rPr>
          <w:rFonts w:ascii="Times New Roman" w:hAnsi="Times New Roman" w:cs="Times New Roman"/>
          <w:i/>
          <w:sz w:val="24"/>
          <w:szCs w:val="24"/>
        </w:rPr>
        <w:t>I</w:t>
      </w:r>
      <w:r w:rsidR="002D65A9">
        <w:rPr>
          <w:rFonts w:ascii="Times New Roman" w:hAnsi="Times New Roman" w:cs="Times New Roman"/>
          <w:i/>
          <w:sz w:val="24"/>
          <w:szCs w:val="24"/>
        </w:rPr>
        <w:t>n model 2</w:t>
      </w:r>
      <w:r w:rsidR="00D1108A" w:rsidRPr="00372799">
        <w:rPr>
          <w:rFonts w:ascii="Times New Roman" w:hAnsi="Times New Roman" w:cs="Times New Roman"/>
          <w:i/>
          <w:sz w:val="24"/>
          <w:szCs w:val="24"/>
        </w:rPr>
        <w:t xml:space="preserve">, </w:t>
      </w:r>
      <w:r w:rsidR="00534C39">
        <w:rPr>
          <w:rFonts w:ascii="Times New Roman" w:hAnsi="Times New Roman" w:cs="Times New Roman"/>
          <w:i/>
          <w:sz w:val="24"/>
          <w:szCs w:val="24"/>
        </w:rPr>
        <w:t xml:space="preserve">the </w:t>
      </w:r>
      <w:r w:rsidR="00137F84">
        <w:rPr>
          <w:rFonts w:ascii="Times New Roman" w:hAnsi="Times New Roman" w:cs="Times New Roman"/>
          <w:i/>
          <w:sz w:val="24"/>
          <w:szCs w:val="24"/>
        </w:rPr>
        <w:t xml:space="preserve">oil price is the </w:t>
      </w:r>
      <w:r w:rsidR="00D1108A" w:rsidRPr="00372799">
        <w:rPr>
          <w:rFonts w:ascii="Times New Roman" w:hAnsi="Times New Roman" w:cs="Times New Roman"/>
          <w:i/>
          <w:sz w:val="24"/>
          <w:szCs w:val="24"/>
        </w:rPr>
        <w:t>dependent variable</w:t>
      </w:r>
      <w:r w:rsidR="00137F84">
        <w:rPr>
          <w:rFonts w:ascii="Times New Roman" w:hAnsi="Times New Roman" w:cs="Times New Roman"/>
          <w:b/>
          <w:sz w:val="24"/>
          <w:szCs w:val="24"/>
        </w:rPr>
        <w:t xml:space="preserve">. </w:t>
      </w:r>
    </w:p>
    <w:p w:rsidR="00380DC7" w:rsidRDefault="00380DC7" w:rsidP="00EE0BE0">
      <w:pPr>
        <w:spacing w:after="0" w:line="360" w:lineRule="auto"/>
        <w:jc w:val="both"/>
        <w:rPr>
          <w:rFonts w:ascii="Times New Roman" w:hAnsi="Times New Roman" w:cs="Times New Roman"/>
          <w:sz w:val="24"/>
          <w:szCs w:val="24"/>
        </w:rPr>
      </w:pPr>
    </w:p>
    <w:p w:rsidR="00502003" w:rsidRDefault="00A44194" w:rsidP="00A44194">
      <w:pPr>
        <w:spacing w:line="360" w:lineRule="auto"/>
        <w:jc w:val="both"/>
        <w:rPr>
          <w:rStyle w:val="websearch-marked"/>
          <w:rFonts w:ascii="Times New Roman" w:hAnsi="Times New Roman" w:cs="Times New Roman"/>
          <w:sz w:val="24"/>
          <w:szCs w:val="24"/>
        </w:rPr>
      </w:pPr>
      <w:r>
        <w:rPr>
          <w:rFonts w:ascii="Times New Roman" w:hAnsi="Times New Roman" w:cs="Times New Roman"/>
          <w:sz w:val="24"/>
          <w:szCs w:val="24"/>
        </w:rPr>
        <w:t xml:space="preserve">    </w:t>
      </w:r>
      <w:r w:rsidR="00B80A76" w:rsidRPr="00B80A76">
        <w:rPr>
          <w:rFonts w:ascii="Times New Roman" w:hAnsi="Times New Roman" w:cs="Times New Roman"/>
          <w:sz w:val="24"/>
          <w:szCs w:val="24"/>
        </w:rPr>
        <w:t>From</w:t>
      </w:r>
      <w:r w:rsidR="00B80A76">
        <w:rPr>
          <w:rFonts w:ascii="Times New Roman" w:hAnsi="Times New Roman" w:cs="Times New Roman"/>
          <w:b/>
          <w:sz w:val="24"/>
          <w:szCs w:val="24"/>
        </w:rPr>
        <w:t xml:space="preserve"> </w:t>
      </w:r>
      <w:r w:rsidR="00DD1B94" w:rsidRPr="00DD1B94">
        <w:rPr>
          <w:rFonts w:ascii="Times New Roman" w:hAnsi="Times New Roman" w:cs="Times New Roman"/>
          <w:sz w:val="24"/>
          <w:szCs w:val="24"/>
        </w:rPr>
        <w:t>Table</w:t>
      </w:r>
      <w:r w:rsidR="00DD1B94" w:rsidRPr="00DD1B94">
        <w:rPr>
          <w:rFonts w:ascii="Times New Roman" w:hAnsi="Times New Roman" w:cs="Times New Roman"/>
          <w:b/>
          <w:sz w:val="24"/>
          <w:szCs w:val="24"/>
        </w:rPr>
        <w:t xml:space="preserve"> </w:t>
      </w:r>
      <w:r w:rsidR="002D65A9" w:rsidRPr="002D65A9">
        <w:rPr>
          <w:rFonts w:ascii="Times New Roman" w:hAnsi="Times New Roman" w:cs="Times New Roman"/>
          <w:sz w:val="24"/>
          <w:szCs w:val="24"/>
        </w:rPr>
        <w:t>6</w:t>
      </w:r>
      <w:r w:rsidR="00B80A76">
        <w:rPr>
          <w:rFonts w:ascii="Times New Roman" w:hAnsi="Times New Roman" w:cs="Times New Roman"/>
          <w:b/>
          <w:sz w:val="24"/>
          <w:szCs w:val="24"/>
        </w:rPr>
        <w:t xml:space="preserve">, </w:t>
      </w:r>
      <w:r w:rsidR="00B80A76" w:rsidRPr="00B80A76">
        <w:rPr>
          <w:rFonts w:ascii="Times New Roman" w:hAnsi="Times New Roman" w:cs="Times New Roman"/>
          <w:sz w:val="24"/>
          <w:szCs w:val="24"/>
        </w:rPr>
        <w:t>COVID-19 was found to significantly</w:t>
      </w:r>
      <w:r w:rsidR="00B80A76">
        <w:rPr>
          <w:rFonts w:ascii="Times New Roman" w:hAnsi="Times New Roman" w:cs="Times New Roman"/>
          <w:b/>
          <w:sz w:val="24"/>
          <w:szCs w:val="24"/>
        </w:rPr>
        <w:t xml:space="preserve"> </w:t>
      </w:r>
      <w:r w:rsidR="00B80A76" w:rsidRPr="00B80A76">
        <w:rPr>
          <w:rFonts w:ascii="Times New Roman" w:hAnsi="Times New Roman" w:cs="Times New Roman"/>
          <w:sz w:val="24"/>
          <w:szCs w:val="24"/>
        </w:rPr>
        <w:t xml:space="preserve">increase oil prices in the </w:t>
      </w:r>
      <w:r w:rsidR="00BE4C17">
        <w:rPr>
          <w:rFonts w:ascii="Times New Roman" w:hAnsi="Times New Roman" w:cs="Times New Roman"/>
          <w:sz w:val="24"/>
          <w:szCs w:val="24"/>
        </w:rPr>
        <w:t xml:space="preserve">long run. In the </w:t>
      </w:r>
      <w:r w:rsidR="00B80A76" w:rsidRPr="00B80A76">
        <w:rPr>
          <w:rFonts w:ascii="Times New Roman" w:hAnsi="Times New Roman" w:cs="Times New Roman"/>
          <w:sz w:val="24"/>
          <w:szCs w:val="24"/>
        </w:rPr>
        <w:t>short run</w:t>
      </w:r>
      <w:r w:rsidR="00BE4C17">
        <w:rPr>
          <w:rFonts w:ascii="Times New Roman" w:hAnsi="Times New Roman" w:cs="Times New Roman"/>
          <w:sz w:val="24"/>
          <w:szCs w:val="24"/>
        </w:rPr>
        <w:t xml:space="preserve">, the impact was positive and significant for South Sudan but negative and insignificant for Uganda. </w:t>
      </w:r>
      <w:r w:rsidR="002435EE">
        <w:rPr>
          <w:rFonts w:ascii="Times New Roman" w:hAnsi="Times New Roman" w:cs="Times New Roman"/>
          <w:sz w:val="24"/>
          <w:szCs w:val="24"/>
        </w:rPr>
        <w:t xml:space="preserve">Consistent with the </w:t>
      </w:r>
      <w:r w:rsidR="00AC5FAB">
        <w:rPr>
          <w:rFonts w:ascii="Times New Roman" w:hAnsi="Times New Roman" w:cs="Times New Roman"/>
          <w:sz w:val="24"/>
          <w:szCs w:val="24"/>
        </w:rPr>
        <w:t xml:space="preserve">estimations by the </w:t>
      </w:r>
      <w:r w:rsidR="00AC5FAB" w:rsidRPr="00055D64">
        <w:rPr>
          <w:rStyle w:val="websearch-marked"/>
          <w:rFonts w:ascii="Times New Roman" w:hAnsi="Times New Roman" w:cs="Times New Roman"/>
          <w:sz w:val="24"/>
          <w:szCs w:val="24"/>
        </w:rPr>
        <w:t>International En</w:t>
      </w:r>
      <w:r w:rsidR="00AC5FAB">
        <w:rPr>
          <w:rStyle w:val="websearch-marked"/>
          <w:rFonts w:ascii="Times New Roman" w:hAnsi="Times New Roman" w:cs="Times New Roman"/>
          <w:sz w:val="24"/>
          <w:szCs w:val="24"/>
        </w:rPr>
        <w:t>ergy Agency (IEA, 2020), oil prices were projected to decline globally at the early phase of the pandemic. H</w:t>
      </w:r>
      <w:r w:rsidR="005D23D9">
        <w:rPr>
          <w:rStyle w:val="websearch-marked"/>
          <w:rFonts w:ascii="Times New Roman" w:hAnsi="Times New Roman" w:cs="Times New Roman"/>
          <w:sz w:val="24"/>
          <w:szCs w:val="24"/>
        </w:rPr>
        <w:t>owever, as</w:t>
      </w:r>
      <w:r w:rsidR="002435EE">
        <w:rPr>
          <w:rStyle w:val="websearch-marked"/>
          <w:rFonts w:ascii="Times New Roman" w:hAnsi="Times New Roman" w:cs="Times New Roman"/>
          <w:sz w:val="24"/>
          <w:szCs w:val="24"/>
        </w:rPr>
        <w:t xml:space="preserve"> economies </w:t>
      </w:r>
      <w:r w:rsidR="00B31517">
        <w:rPr>
          <w:rStyle w:val="websearch-marked"/>
          <w:rFonts w:ascii="Times New Roman" w:hAnsi="Times New Roman" w:cs="Times New Roman"/>
          <w:sz w:val="24"/>
          <w:szCs w:val="24"/>
        </w:rPr>
        <w:t>continue to stabilize</w:t>
      </w:r>
      <w:r w:rsidR="005D23D9">
        <w:rPr>
          <w:rStyle w:val="websearch-marked"/>
          <w:rFonts w:ascii="Times New Roman" w:hAnsi="Times New Roman" w:cs="Times New Roman"/>
          <w:sz w:val="24"/>
          <w:szCs w:val="24"/>
        </w:rPr>
        <w:t xml:space="preserve">, oil </w:t>
      </w:r>
      <w:r w:rsidR="002435EE">
        <w:rPr>
          <w:rStyle w:val="websearch-marked"/>
          <w:rFonts w:ascii="Times New Roman" w:hAnsi="Times New Roman" w:cs="Times New Roman"/>
          <w:sz w:val="24"/>
          <w:szCs w:val="24"/>
        </w:rPr>
        <w:t>prices are expected to rebound and steadily increase in the long run.</w:t>
      </w:r>
      <w:r w:rsidR="00894A0D">
        <w:rPr>
          <w:rStyle w:val="websearch-marked"/>
          <w:rFonts w:ascii="Times New Roman" w:hAnsi="Times New Roman" w:cs="Times New Roman"/>
          <w:sz w:val="24"/>
          <w:szCs w:val="24"/>
        </w:rPr>
        <w:t xml:space="preserve"> Since oil is a basic good, an increase in its price will ultimately increase the costs of </w:t>
      </w:r>
      <w:r w:rsidR="00894A0D">
        <w:rPr>
          <w:rStyle w:val="websearch-marked"/>
          <w:rFonts w:ascii="Times New Roman" w:hAnsi="Times New Roman" w:cs="Times New Roman"/>
          <w:sz w:val="24"/>
          <w:szCs w:val="24"/>
        </w:rPr>
        <w:lastRenderedPageBreak/>
        <w:t>living hence impacting negatively on people’s welfare. This impact may be visu</w:t>
      </w:r>
      <w:r w:rsidR="00F64B22">
        <w:rPr>
          <w:rStyle w:val="websearch-marked"/>
          <w:rFonts w:ascii="Times New Roman" w:hAnsi="Times New Roman" w:cs="Times New Roman"/>
          <w:sz w:val="24"/>
          <w:szCs w:val="24"/>
        </w:rPr>
        <w:t>alized both in the short run &amp;</w:t>
      </w:r>
      <w:r w:rsidR="00894A0D">
        <w:rPr>
          <w:rStyle w:val="websearch-marked"/>
          <w:rFonts w:ascii="Times New Roman" w:hAnsi="Times New Roman" w:cs="Times New Roman"/>
          <w:sz w:val="24"/>
          <w:szCs w:val="24"/>
        </w:rPr>
        <w:t xml:space="preserve"> long run for some countries owing to their position in the global oil market.</w:t>
      </w:r>
    </w:p>
    <w:p w:rsidR="00B06002" w:rsidRDefault="00A44194" w:rsidP="00A44194">
      <w:pPr>
        <w:spacing w:line="360" w:lineRule="auto"/>
        <w:jc w:val="both"/>
        <w:rPr>
          <w:rFonts w:ascii="Times New Roman" w:hAnsi="Times New Roman" w:cs="Times New Roman"/>
          <w:sz w:val="24"/>
          <w:szCs w:val="24"/>
        </w:rPr>
      </w:pPr>
      <w:r>
        <w:rPr>
          <w:rStyle w:val="websearch-marked"/>
          <w:rFonts w:ascii="Times New Roman" w:hAnsi="Times New Roman" w:cs="Times New Roman"/>
          <w:sz w:val="24"/>
          <w:szCs w:val="24"/>
        </w:rPr>
        <w:t xml:space="preserve">    </w:t>
      </w:r>
      <w:r w:rsidR="00502003">
        <w:rPr>
          <w:rStyle w:val="websearch-marked"/>
          <w:rFonts w:ascii="Times New Roman" w:hAnsi="Times New Roman" w:cs="Times New Roman"/>
          <w:sz w:val="24"/>
          <w:szCs w:val="24"/>
        </w:rPr>
        <w:t>The t</w:t>
      </w:r>
      <w:r w:rsidR="00B06002">
        <w:rPr>
          <w:rStyle w:val="websearch-marked"/>
          <w:rFonts w:ascii="Times New Roman" w:hAnsi="Times New Roman" w:cs="Times New Roman"/>
          <w:sz w:val="24"/>
          <w:szCs w:val="24"/>
        </w:rPr>
        <w:t>rade d</w:t>
      </w:r>
      <w:r w:rsidR="000D1EB2">
        <w:rPr>
          <w:rStyle w:val="websearch-marked"/>
          <w:rFonts w:ascii="Times New Roman" w:hAnsi="Times New Roman" w:cs="Times New Roman"/>
          <w:sz w:val="24"/>
          <w:szCs w:val="24"/>
        </w:rPr>
        <w:t xml:space="preserve">eficit was </w:t>
      </w:r>
      <w:r w:rsidR="00B06002">
        <w:rPr>
          <w:rStyle w:val="websearch-marked"/>
          <w:rFonts w:ascii="Times New Roman" w:hAnsi="Times New Roman" w:cs="Times New Roman"/>
          <w:sz w:val="24"/>
          <w:szCs w:val="24"/>
        </w:rPr>
        <w:t xml:space="preserve">found to impact positively and significantly on oil prices across all the selected EAC </w:t>
      </w:r>
      <w:r w:rsidR="00707DE6">
        <w:rPr>
          <w:rStyle w:val="websearch-marked"/>
          <w:rFonts w:ascii="Times New Roman" w:hAnsi="Times New Roman" w:cs="Times New Roman"/>
          <w:sz w:val="24"/>
          <w:szCs w:val="24"/>
        </w:rPr>
        <w:t xml:space="preserve">countries in the short </w:t>
      </w:r>
      <w:r w:rsidR="00B06002">
        <w:rPr>
          <w:rStyle w:val="websearch-marked"/>
          <w:rFonts w:ascii="Times New Roman" w:hAnsi="Times New Roman" w:cs="Times New Roman"/>
          <w:sz w:val="24"/>
          <w:szCs w:val="24"/>
        </w:rPr>
        <w:t>run.</w:t>
      </w:r>
      <w:r w:rsidR="000D1EB2" w:rsidRPr="000D1EB2">
        <w:rPr>
          <w:rFonts w:ascii="Times New Roman" w:hAnsi="Times New Roman" w:cs="Times New Roman"/>
          <w:sz w:val="24"/>
          <w:szCs w:val="24"/>
        </w:rPr>
        <w:t xml:space="preserve"> </w:t>
      </w:r>
      <w:r w:rsidR="000D1EB2">
        <w:rPr>
          <w:rFonts w:ascii="Times New Roman" w:hAnsi="Times New Roman" w:cs="Times New Roman"/>
          <w:sz w:val="24"/>
          <w:szCs w:val="24"/>
        </w:rPr>
        <w:t>Globally, countries in</w:t>
      </w:r>
      <w:r w:rsidR="00707DE6">
        <w:rPr>
          <w:rFonts w:ascii="Times New Roman" w:hAnsi="Times New Roman" w:cs="Times New Roman"/>
          <w:sz w:val="24"/>
          <w:szCs w:val="24"/>
        </w:rPr>
        <w:t>stituted lockdown measures that</w:t>
      </w:r>
      <w:r w:rsidR="000D1EB2">
        <w:rPr>
          <w:rFonts w:ascii="Times New Roman" w:hAnsi="Times New Roman" w:cs="Times New Roman"/>
          <w:sz w:val="24"/>
          <w:szCs w:val="24"/>
        </w:rPr>
        <w:t xml:space="preserve"> restricted the mobility of people and commodities. These measures im</w:t>
      </w:r>
      <w:r w:rsidR="00573678">
        <w:rPr>
          <w:rFonts w:ascii="Times New Roman" w:hAnsi="Times New Roman" w:cs="Times New Roman"/>
          <w:sz w:val="24"/>
          <w:szCs w:val="24"/>
        </w:rPr>
        <w:t>peded trade flows domestically and</w:t>
      </w:r>
      <w:r w:rsidR="000D1EB2">
        <w:rPr>
          <w:rFonts w:ascii="Times New Roman" w:hAnsi="Times New Roman" w:cs="Times New Roman"/>
          <w:sz w:val="24"/>
          <w:szCs w:val="24"/>
        </w:rPr>
        <w:t xml:space="preserve"> internationally by disrupti</w:t>
      </w:r>
      <w:r w:rsidR="00380DC7">
        <w:rPr>
          <w:rFonts w:ascii="Times New Roman" w:hAnsi="Times New Roman" w:cs="Times New Roman"/>
          <w:sz w:val="24"/>
          <w:szCs w:val="24"/>
        </w:rPr>
        <w:t>ng the demand and</w:t>
      </w:r>
      <w:r w:rsidR="000D1EB2">
        <w:rPr>
          <w:rFonts w:ascii="Times New Roman" w:hAnsi="Times New Roman" w:cs="Times New Roman"/>
          <w:sz w:val="24"/>
          <w:szCs w:val="24"/>
        </w:rPr>
        <w:t xml:space="preserve"> supply chains of commodities (Baldwin and Tomiura, </w:t>
      </w:r>
      <w:r w:rsidR="000D1EB2" w:rsidRPr="00E67821">
        <w:rPr>
          <w:rFonts w:ascii="Times New Roman" w:hAnsi="Times New Roman" w:cs="Times New Roman"/>
          <w:sz w:val="24"/>
          <w:szCs w:val="24"/>
        </w:rPr>
        <w:t>2020)</w:t>
      </w:r>
      <w:r w:rsidR="000D1EB2">
        <w:rPr>
          <w:rFonts w:ascii="Times New Roman" w:hAnsi="Times New Roman" w:cs="Times New Roman"/>
          <w:sz w:val="24"/>
          <w:szCs w:val="24"/>
        </w:rPr>
        <w:t xml:space="preserve">. As a result, Banga </w:t>
      </w:r>
      <w:r w:rsidR="00380DC7" w:rsidRPr="00794121">
        <w:rPr>
          <w:rFonts w:ascii="Times New Roman" w:hAnsi="Times New Roman" w:cs="Times New Roman"/>
          <w:i/>
          <w:sz w:val="24"/>
          <w:szCs w:val="24"/>
        </w:rPr>
        <w:t>et al.</w:t>
      </w:r>
      <w:r w:rsidR="00380DC7">
        <w:rPr>
          <w:rFonts w:ascii="Times New Roman" w:hAnsi="Times New Roman" w:cs="Times New Roman"/>
          <w:sz w:val="24"/>
          <w:szCs w:val="24"/>
        </w:rPr>
        <w:t xml:space="preserve"> </w:t>
      </w:r>
      <w:r w:rsidR="000D1EB2">
        <w:rPr>
          <w:rFonts w:ascii="Times New Roman" w:hAnsi="Times New Roman" w:cs="Times New Roman"/>
          <w:sz w:val="24"/>
          <w:szCs w:val="24"/>
        </w:rPr>
        <w:t xml:space="preserve">(2020) noted that </w:t>
      </w:r>
      <w:r w:rsidR="000D1EB2" w:rsidRPr="00E67821">
        <w:rPr>
          <w:rFonts w:ascii="Times New Roman" w:hAnsi="Times New Roman" w:cs="Times New Roman"/>
          <w:sz w:val="24"/>
          <w:szCs w:val="24"/>
        </w:rPr>
        <w:t>mired</w:t>
      </w:r>
      <w:r w:rsidR="000D1EB2">
        <w:rPr>
          <w:rFonts w:ascii="Times New Roman" w:hAnsi="Times New Roman" w:cs="Times New Roman"/>
          <w:sz w:val="24"/>
          <w:szCs w:val="24"/>
        </w:rPr>
        <w:t xml:space="preserve"> </w:t>
      </w:r>
      <w:r w:rsidR="000D1EB2" w:rsidRPr="00E67821">
        <w:rPr>
          <w:rFonts w:ascii="Times New Roman" w:hAnsi="Times New Roman" w:cs="Times New Roman"/>
          <w:sz w:val="24"/>
          <w:szCs w:val="24"/>
        </w:rPr>
        <w:t xml:space="preserve">trade </w:t>
      </w:r>
      <w:r w:rsidR="000D1EB2">
        <w:rPr>
          <w:rFonts w:ascii="Times New Roman" w:hAnsi="Times New Roman" w:cs="Times New Roman"/>
          <w:sz w:val="24"/>
          <w:szCs w:val="24"/>
        </w:rPr>
        <w:t>flows caused delayed cross-border clearances which subsequently lead to increased trade and shipping costs. The mobility restrictions eventually yield oil price increases</w:t>
      </w:r>
      <w:r w:rsidR="00707DE6">
        <w:rPr>
          <w:rFonts w:ascii="Times New Roman" w:hAnsi="Times New Roman" w:cs="Times New Roman"/>
          <w:sz w:val="24"/>
          <w:szCs w:val="24"/>
        </w:rPr>
        <w:t xml:space="preserve"> for the oil-</w:t>
      </w:r>
      <w:r w:rsidR="000D1EB2">
        <w:rPr>
          <w:rFonts w:ascii="Times New Roman" w:hAnsi="Times New Roman" w:cs="Times New Roman"/>
          <w:sz w:val="24"/>
          <w:szCs w:val="24"/>
        </w:rPr>
        <w:t xml:space="preserve">importing countries since </w:t>
      </w:r>
      <w:r w:rsidR="001E76CD">
        <w:rPr>
          <w:rFonts w:ascii="Times New Roman" w:hAnsi="Times New Roman" w:cs="Times New Roman"/>
          <w:sz w:val="24"/>
          <w:szCs w:val="24"/>
        </w:rPr>
        <w:t xml:space="preserve">oil </w:t>
      </w:r>
      <w:r w:rsidR="000D1EB2">
        <w:rPr>
          <w:rFonts w:ascii="Times New Roman" w:hAnsi="Times New Roman" w:cs="Times New Roman"/>
          <w:sz w:val="24"/>
          <w:szCs w:val="24"/>
        </w:rPr>
        <w:t xml:space="preserve">importers will always try to compensate for the </w:t>
      </w:r>
      <w:r w:rsidR="00707DE6">
        <w:rPr>
          <w:rFonts w:ascii="Times New Roman" w:hAnsi="Times New Roman" w:cs="Times New Roman"/>
          <w:sz w:val="24"/>
          <w:szCs w:val="24"/>
        </w:rPr>
        <w:t>supply-side</w:t>
      </w:r>
      <w:r w:rsidR="001E76CD">
        <w:rPr>
          <w:rFonts w:ascii="Times New Roman" w:hAnsi="Times New Roman" w:cs="Times New Roman"/>
          <w:sz w:val="24"/>
          <w:szCs w:val="24"/>
        </w:rPr>
        <w:t xml:space="preserve"> </w:t>
      </w:r>
      <w:r w:rsidR="000D1EB2">
        <w:rPr>
          <w:rFonts w:ascii="Times New Roman" w:hAnsi="Times New Roman" w:cs="Times New Roman"/>
          <w:sz w:val="24"/>
          <w:szCs w:val="24"/>
        </w:rPr>
        <w:t xml:space="preserve">bottlenecks </w:t>
      </w:r>
      <w:r w:rsidR="001E76CD">
        <w:rPr>
          <w:rFonts w:ascii="Times New Roman" w:hAnsi="Times New Roman" w:cs="Times New Roman"/>
          <w:sz w:val="24"/>
          <w:szCs w:val="24"/>
        </w:rPr>
        <w:t>that are associated with importation. M2 money was also found to be associated with a significant incre</w:t>
      </w:r>
      <w:r w:rsidR="00707DE6">
        <w:rPr>
          <w:rFonts w:ascii="Times New Roman" w:hAnsi="Times New Roman" w:cs="Times New Roman"/>
          <w:sz w:val="24"/>
          <w:szCs w:val="24"/>
        </w:rPr>
        <w:t xml:space="preserve">ase in oil prices across all </w:t>
      </w:r>
      <w:r w:rsidR="001E76CD">
        <w:rPr>
          <w:rFonts w:ascii="Times New Roman" w:hAnsi="Times New Roman" w:cs="Times New Roman"/>
          <w:sz w:val="24"/>
          <w:szCs w:val="24"/>
        </w:rPr>
        <w:t>4 countries in the short run.</w:t>
      </w:r>
      <w:r w:rsidR="00247540">
        <w:rPr>
          <w:rFonts w:ascii="Times New Roman" w:hAnsi="Times New Roman" w:cs="Times New Roman"/>
          <w:sz w:val="24"/>
          <w:szCs w:val="24"/>
        </w:rPr>
        <w:t xml:space="preserve"> Trade deficit and M2 money were, however, found to insignificantly </w:t>
      </w:r>
      <w:r w:rsidR="00AE7E22">
        <w:rPr>
          <w:rFonts w:ascii="Times New Roman" w:hAnsi="Times New Roman" w:cs="Times New Roman"/>
          <w:sz w:val="24"/>
          <w:szCs w:val="24"/>
        </w:rPr>
        <w:t xml:space="preserve">determine oil price in the long </w:t>
      </w:r>
      <w:r w:rsidR="00247540">
        <w:rPr>
          <w:rFonts w:ascii="Times New Roman" w:hAnsi="Times New Roman" w:cs="Times New Roman"/>
          <w:sz w:val="24"/>
          <w:szCs w:val="24"/>
        </w:rPr>
        <w:t>run.</w:t>
      </w:r>
    </w:p>
    <w:p w:rsidR="00B06002" w:rsidRPr="00B80A76" w:rsidRDefault="00247540" w:rsidP="00A441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impact of </w:t>
      </w:r>
      <w:r w:rsidR="00707DE6">
        <w:rPr>
          <w:rFonts w:ascii="Times New Roman" w:hAnsi="Times New Roman" w:cs="Times New Roman"/>
          <w:sz w:val="24"/>
          <w:szCs w:val="24"/>
        </w:rPr>
        <w:t xml:space="preserve">an </w:t>
      </w:r>
      <w:r>
        <w:rPr>
          <w:rFonts w:ascii="Times New Roman" w:hAnsi="Times New Roman" w:cs="Times New Roman"/>
          <w:sz w:val="24"/>
          <w:szCs w:val="24"/>
        </w:rPr>
        <w:t>exchange rate increase (depreciation) on oil price was found to be negative and significant in the long run. In the short run, exchange rate depreciation significantly increased oil price</w:t>
      </w:r>
      <w:r w:rsidR="00707DE6">
        <w:rPr>
          <w:rFonts w:ascii="Times New Roman" w:hAnsi="Times New Roman" w:cs="Times New Roman"/>
          <w:sz w:val="24"/>
          <w:szCs w:val="24"/>
        </w:rPr>
        <w:t>s</w:t>
      </w:r>
      <w:r>
        <w:rPr>
          <w:rFonts w:ascii="Times New Roman" w:hAnsi="Times New Roman" w:cs="Times New Roman"/>
          <w:sz w:val="24"/>
          <w:szCs w:val="24"/>
        </w:rPr>
        <w:t xml:space="preserve"> in South Sudan and Uganda. Conversely, </w:t>
      </w:r>
      <w:r w:rsidR="007F42BB">
        <w:rPr>
          <w:rFonts w:ascii="Times New Roman" w:hAnsi="Times New Roman" w:cs="Times New Roman"/>
          <w:sz w:val="24"/>
          <w:szCs w:val="24"/>
        </w:rPr>
        <w:t xml:space="preserve">the </w:t>
      </w:r>
      <w:r>
        <w:rPr>
          <w:rFonts w:ascii="Times New Roman" w:hAnsi="Times New Roman" w:cs="Times New Roman"/>
          <w:sz w:val="24"/>
          <w:szCs w:val="24"/>
        </w:rPr>
        <w:t>lending rate was found to significantly decrease oil price</w:t>
      </w:r>
      <w:r w:rsidR="007F42BB">
        <w:rPr>
          <w:rFonts w:ascii="Times New Roman" w:hAnsi="Times New Roman" w:cs="Times New Roman"/>
          <w:sz w:val="24"/>
          <w:szCs w:val="24"/>
        </w:rPr>
        <w:t>s</w:t>
      </w:r>
      <w:r>
        <w:rPr>
          <w:rFonts w:ascii="Times New Roman" w:hAnsi="Times New Roman" w:cs="Times New Roman"/>
          <w:sz w:val="24"/>
          <w:szCs w:val="24"/>
        </w:rPr>
        <w:t xml:space="preserve"> in the short run in South Sudan only. The variable was insignificant in the long run. Finally, the Error Correction Term results reveal model convergence in the long run across all the 4 counties employed in this study.</w:t>
      </w:r>
    </w:p>
    <w:p w:rsidR="00282F6E" w:rsidRDefault="00282F6E" w:rsidP="00A44194">
      <w:pPr>
        <w:spacing w:line="360" w:lineRule="auto"/>
        <w:jc w:val="both"/>
        <w:rPr>
          <w:rFonts w:ascii="Times New Roman" w:hAnsi="Times New Roman" w:cs="Times New Roman"/>
          <w:b/>
          <w:sz w:val="24"/>
          <w:szCs w:val="24"/>
        </w:rPr>
      </w:pPr>
      <w:r w:rsidRPr="003906E0">
        <w:rPr>
          <w:rFonts w:ascii="Times New Roman" w:hAnsi="Times New Roman" w:cs="Times New Roman"/>
          <w:b/>
          <w:sz w:val="24"/>
          <w:szCs w:val="24"/>
        </w:rPr>
        <w:t xml:space="preserve">6. </w:t>
      </w:r>
      <w:r w:rsidR="00A03A6C" w:rsidRPr="003906E0">
        <w:rPr>
          <w:rFonts w:ascii="Times New Roman" w:hAnsi="Times New Roman" w:cs="Times New Roman"/>
          <w:b/>
          <w:sz w:val="24"/>
          <w:szCs w:val="24"/>
        </w:rPr>
        <w:t>Conclusions</w:t>
      </w:r>
      <w:r w:rsidR="00A03A6C">
        <w:rPr>
          <w:rFonts w:ascii="Times New Roman" w:hAnsi="Times New Roman" w:cs="Times New Roman"/>
          <w:b/>
          <w:sz w:val="24"/>
          <w:szCs w:val="24"/>
        </w:rPr>
        <w:t xml:space="preserve"> and Policy Recommendations</w:t>
      </w:r>
    </w:p>
    <w:p w:rsidR="00C869A3" w:rsidRPr="00F60AAF" w:rsidRDefault="00A44194" w:rsidP="00A441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3CE6" w:rsidRPr="00003CE6">
        <w:rPr>
          <w:rFonts w:ascii="Times New Roman" w:hAnsi="Times New Roman" w:cs="Times New Roman"/>
          <w:sz w:val="24"/>
          <w:szCs w:val="24"/>
        </w:rPr>
        <w:t xml:space="preserve">This study </w:t>
      </w:r>
      <w:r w:rsidR="00003CE6">
        <w:rPr>
          <w:rFonts w:ascii="Times New Roman" w:hAnsi="Times New Roman" w:cs="Times New Roman"/>
          <w:sz w:val="24"/>
          <w:szCs w:val="24"/>
        </w:rPr>
        <w:t>primarily sought to investigate</w:t>
      </w:r>
      <w:r w:rsidR="00003CE6" w:rsidRPr="00003CE6">
        <w:rPr>
          <w:rFonts w:ascii="Times New Roman" w:hAnsi="Times New Roman" w:cs="Times New Roman"/>
          <w:sz w:val="24"/>
          <w:szCs w:val="24"/>
        </w:rPr>
        <w:t xml:space="preserve"> the </w:t>
      </w:r>
      <w:r w:rsidR="009439E1">
        <w:rPr>
          <w:rFonts w:ascii="Times New Roman" w:hAnsi="Times New Roman" w:cs="Times New Roman"/>
          <w:sz w:val="24"/>
          <w:szCs w:val="24"/>
        </w:rPr>
        <w:t xml:space="preserve">degree of </w:t>
      </w:r>
      <w:r w:rsidR="00003CE6">
        <w:rPr>
          <w:rFonts w:ascii="Times New Roman" w:hAnsi="Times New Roman" w:cs="Times New Roman"/>
          <w:sz w:val="24"/>
          <w:szCs w:val="24"/>
        </w:rPr>
        <w:t xml:space="preserve">impact of COVID-19 on </w:t>
      </w:r>
      <w:r w:rsidR="00BD6FBA">
        <w:rPr>
          <w:rFonts w:ascii="Times New Roman" w:hAnsi="Times New Roman" w:cs="Times New Roman"/>
          <w:sz w:val="24"/>
          <w:szCs w:val="24"/>
        </w:rPr>
        <w:t>social welfare and health system capacity</w:t>
      </w:r>
      <w:r w:rsidR="00003CE6">
        <w:rPr>
          <w:rFonts w:ascii="Times New Roman" w:hAnsi="Times New Roman" w:cs="Times New Roman"/>
          <w:sz w:val="24"/>
          <w:szCs w:val="24"/>
        </w:rPr>
        <w:t xml:space="preserve"> across some selected EAC countries. </w:t>
      </w:r>
      <w:r w:rsidR="00C869A3">
        <w:rPr>
          <w:rFonts w:ascii="Times New Roman" w:hAnsi="Times New Roman" w:cs="Times New Roman"/>
          <w:sz w:val="24"/>
          <w:szCs w:val="24"/>
        </w:rPr>
        <w:t xml:space="preserve">The study estimated the potential ICU bed and ventilator surge capacity based on reasonable modeled assumptions. </w:t>
      </w:r>
      <w:r w:rsidR="009439E1">
        <w:rPr>
          <w:rFonts w:ascii="Times New Roman" w:hAnsi="Times New Roman" w:cs="Times New Roman"/>
          <w:sz w:val="24"/>
          <w:szCs w:val="24"/>
        </w:rPr>
        <w:t xml:space="preserve">The degree of variation of the pandemic’s impact on social welfare was </w:t>
      </w:r>
      <w:r w:rsidR="00C869A3">
        <w:rPr>
          <w:rFonts w:ascii="Times New Roman" w:hAnsi="Times New Roman" w:cs="Times New Roman"/>
          <w:sz w:val="24"/>
          <w:szCs w:val="24"/>
        </w:rPr>
        <w:t>visualize</w:t>
      </w:r>
      <w:r w:rsidR="009439E1">
        <w:rPr>
          <w:rFonts w:ascii="Times New Roman" w:hAnsi="Times New Roman" w:cs="Times New Roman"/>
          <w:sz w:val="24"/>
          <w:szCs w:val="24"/>
        </w:rPr>
        <w:t>d using</w:t>
      </w:r>
      <w:r w:rsidR="00C869A3">
        <w:rPr>
          <w:rFonts w:ascii="Times New Roman" w:hAnsi="Times New Roman" w:cs="Times New Roman"/>
          <w:sz w:val="24"/>
          <w:szCs w:val="24"/>
        </w:rPr>
        <w:t xml:space="preserve"> the </w:t>
      </w:r>
      <w:r w:rsidR="009439E1">
        <w:rPr>
          <w:rFonts w:ascii="Times New Roman" w:hAnsi="Times New Roman" w:cs="Times New Roman"/>
          <w:sz w:val="24"/>
          <w:szCs w:val="24"/>
        </w:rPr>
        <w:t>PMG</w:t>
      </w:r>
      <w:r w:rsidR="00C869A3">
        <w:rPr>
          <w:rFonts w:ascii="Times New Roman" w:hAnsi="Times New Roman" w:cs="Times New Roman"/>
          <w:sz w:val="24"/>
          <w:szCs w:val="24"/>
        </w:rPr>
        <w:t xml:space="preserve"> estimator.</w:t>
      </w:r>
      <w:r w:rsidR="00F60AAF">
        <w:rPr>
          <w:rFonts w:ascii="Times New Roman" w:hAnsi="Times New Roman" w:cs="Times New Roman"/>
          <w:sz w:val="24"/>
          <w:szCs w:val="24"/>
        </w:rPr>
        <w:t xml:space="preserve"> </w:t>
      </w:r>
      <w:r w:rsidR="00C869A3">
        <w:rPr>
          <w:rFonts w:ascii="Times New Roman" w:hAnsi="Times New Roman" w:cs="Times New Roman"/>
          <w:sz w:val="24"/>
          <w:szCs w:val="24"/>
        </w:rPr>
        <w:t xml:space="preserve">From the estimated </w:t>
      </w:r>
      <w:r w:rsidR="00681E62">
        <w:rPr>
          <w:rFonts w:ascii="Times New Roman" w:hAnsi="Times New Roman" w:cs="Times New Roman"/>
          <w:sz w:val="24"/>
          <w:szCs w:val="24"/>
        </w:rPr>
        <w:t xml:space="preserve">surge capacity </w:t>
      </w:r>
      <w:r w:rsidR="00C869A3">
        <w:rPr>
          <w:rFonts w:ascii="Times New Roman" w:hAnsi="Times New Roman" w:cs="Times New Roman"/>
          <w:sz w:val="24"/>
          <w:szCs w:val="24"/>
        </w:rPr>
        <w:t>results, we conclude that</w:t>
      </w:r>
      <w:r w:rsidR="00C869A3">
        <w:rPr>
          <w:rFonts w:ascii="Times New Roman" w:hAnsi="Times New Roman" w:cs="Times New Roman"/>
          <w:bCs/>
          <w:sz w:val="24"/>
          <w:szCs w:val="24"/>
        </w:rPr>
        <w:t xml:space="preserve"> significant gaps exist </w:t>
      </w:r>
      <w:r w:rsidR="008147AE">
        <w:rPr>
          <w:rFonts w:ascii="Times New Roman" w:hAnsi="Times New Roman" w:cs="Times New Roman"/>
          <w:bCs/>
          <w:sz w:val="24"/>
          <w:szCs w:val="24"/>
        </w:rPr>
        <w:t xml:space="preserve">across </w:t>
      </w:r>
      <w:r w:rsidR="00C869A3">
        <w:rPr>
          <w:rFonts w:ascii="Times New Roman" w:hAnsi="Times New Roman" w:cs="Times New Roman"/>
          <w:bCs/>
          <w:sz w:val="24"/>
          <w:szCs w:val="24"/>
        </w:rPr>
        <w:t>hospitals</w:t>
      </w:r>
      <w:r w:rsidR="008147AE">
        <w:rPr>
          <w:rFonts w:ascii="Times New Roman" w:hAnsi="Times New Roman" w:cs="Times New Roman"/>
          <w:bCs/>
          <w:sz w:val="24"/>
          <w:szCs w:val="24"/>
        </w:rPr>
        <w:t xml:space="preserve"> in the EAC region</w:t>
      </w:r>
      <w:r w:rsidR="00C869A3">
        <w:rPr>
          <w:rFonts w:ascii="Times New Roman" w:hAnsi="Times New Roman" w:cs="Times New Roman"/>
          <w:bCs/>
          <w:sz w:val="24"/>
          <w:szCs w:val="24"/>
        </w:rPr>
        <w:t xml:space="preserve"> to accommodate a</w:t>
      </w:r>
      <w:r w:rsidR="008147AE">
        <w:rPr>
          <w:rFonts w:ascii="Times New Roman" w:hAnsi="Times New Roman" w:cs="Times New Roman"/>
          <w:bCs/>
          <w:sz w:val="24"/>
          <w:szCs w:val="24"/>
        </w:rPr>
        <w:t>ny</w:t>
      </w:r>
      <w:r w:rsidR="00C869A3">
        <w:rPr>
          <w:rFonts w:ascii="Times New Roman" w:hAnsi="Times New Roman" w:cs="Times New Roman"/>
          <w:bCs/>
          <w:sz w:val="24"/>
          <w:szCs w:val="24"/>
        </w:rPr>
        <w:t xml:space="preserve"> potential surge </w:t>
      </w:r>
      <w:r w:rsidR="008147AE">
        <w:rPr>
          <w:rFonts w:ascii="Times New Roman" w:hAnsi="Times New Roman" w:cs="Times New Roman"/>
          <w:bCs/>
          <w:sz w:val="24"/>
          <w:szCs w:val="24"/>
        </w:rPr>
        <w:t>in the caseload emanating</w:t>
      </w:r>
      <w:r w:rsidR="00C869A3">
        <w:rPr>
          <w:rFonts w:ascii="Times New Roman" w:hAnsi="Times New Roman" w:cs="Times New Roman"/>
          <w:bCs/>
          <w:sz w:val="24"/>
          <w:szCs w:val="24"/>
        </w:rPr>
        <w:t xml:space="preserve"> from COVID-19.</w:t>
      </w:r>
      <w:r w:rsidR="00D477E7">
        <w:rPr>
          <w:rFonts w:ascii="Times New Roman" w:hAnsi="Times New Roman" w:cs="Times New Roman"/>
          <w:bCs/>
          <w:sz w:val="24"/>
          <w:szCs w:val="24"/>
        </w:rPr>
        <w:t xml:space="preserve"> This is evidenced by</w:t>
      </w:r>
      <w:r w:rsidR="008147AE">
        <w:rPr>
          <w:rFonts w:ascii="Times New Roman" w:hAnsi="Times New Roman" w:cs="Times New Roman"/>
          <w:bCs/>
          <w:sz w:val="24"/>
          <w:szCs w:val="24"/>
        </w:rPr>
        <w:t xml:space="preserve"> a continuously rising number of confirmed COVID-19 patients against a backdrop o</w:t>
      </w:r>
      <w:r w:rsidR="00853959">
        <w:rPr>
          <w:rFonts w:ascii="Times New Roman" w:hAnsi="Times New Roman" w:cs="Times New Roman"/>
          <w:bCs/>
          <w:sz w:val="24"/>
          <w:szCs w:val="24"/>
        </w:rPr>
        <w:t>f</w:t>
      </w:r>
      <w:r w:rsidR="00D477E7">
        <w:rPr>
          <w:rFonts w:ascii="Times New Roman" w:hAnsi="Times New Roman" w:cs="Times New Roman"/>
          <w:bCs/>
          <w:sz w:val="24"/>
          <w:szCs w:val="24"/>
        </w:rPr>
        <w:t xml:space="preserve"> a</w:t>
      </w:r>
      <w:r w:rsidR="00853959">
        <w:rPr>
          <w:rFonts w:ascii="Times New Roman" w:hAnsi="Times New Roman" w:cs="Times New Roman"/>
          <w:bCs/>
          <w:sz w:val="24"/>
          <w:szCs w:val="24"/>
        </w:rPr>
        <w:t xml:space="preserve"> limited number of ICU beds &amp;</w:t>
      </w:r>
      <w:r w:rsidR="008147AE">
        <w:rPr>
          <w:rFonts w:ascii="Times New Roman" w:hAnsi="Times New Roman" w:cs="Times New Roman"/>
          <w:bCs/>
          <w:sz w:val="24"/>
          <w:szCs w:val="24"/>
        </w:rPr>
        <w:t xml:space="preserve"> ventilators needed to provide critical care. In this </w:t>
      </w:r>
      <w:r w:rsidR="00B3657D">
        <w:rPr>
          <w:rFonts w:ascii="Times New Roman" w:hAnsi="Times New Roman" w:cs="Times New Roman"/>
          <w:bCs/>
          <w:sz w:val="24"/>
          <w:szCs w:val="24"/>
        </w:rPr>
        <w:t xml:space="preserve">regard, we recommend </w:t>
      </w:r>
      <w:r w:rsidR="008147AE">
        <w:rPr>
          <w:rFonts w:ascii="Times New Roman" w:hAnsi="Times New Roman" w:cs="Times New Roman"/>
          <w:bCs/>
          <w:sz w:val="24"/>
          <w:szCs w:val="24"/>
        </w:rPr>
        <w:t>adequate investment in the health sector</w:t>
      </w:r>
      <w:r w:rsidR="00B3657D">
        <w:rPr>
          <w:rFonts w:ascii="Times New Roman" w:hAnsi="Times New Roman" w:cs="Times New Roman"/>
          <w:bCs/>
          <w:sz w:val="24"/>
          <w:szCs w:val="24"/>
        </w:rPr>
        <w:t xml:space="preserve">. </w:t>
      </w:r>
      <w:r w:rsidR="00B3657D">
        <w:rPr>
          <w:rFonts w:ascii="Times New Roman" w:hAnsi="Times New Roman" w:cs="Times New Roman"/>
          <w:bCs/>
          <w:sz w:val="24"/>
          <w:szCs w:val="24"/>
        </w:rPr>
        <w:lastRenderedPageBreak/>
        <w:t xml:space="preserve">This should </w:t>
      </w:r>
      <w:r w:rsidR="008147AE">
        <w:rPr>
          <w:rFonts w:ascii="Times New Roman" w:hAnsi="Times New Roman" w:cs="Times New Roman"/>
          <w:bCs/>
          <w:sz w:val="24"/>
          <w:szCs w:val="24"/>
        </w:rPr>
        <w:t xml:space="preserve">specifically </w:t>
      </w:r>
      <w:r w:rsidR="00B3657D">
        <w:rPr>
          <w:rFonts w:ascii="Times New Roman" w:hAnsi="Times New Roman" w:cs="Times New Roman"/>
          <w:bCs/>
          <w:sz w:val="24"/>
          <w:szCs w:val="24"/>
        </w:rPr>
        <w:t>target</w:t>
      </w:r>
      <w:r w:rsidR="008147AE">
        <w:rPr>
          <w:rFonts w:ascii="Times New Roman" w:hAnsi="Times New Roman" w:cs="Times New Roman"/>
          <w:bCs/>
          <w:sz w:val="24"/>
          <w:szCs w:val="24"/>
        </w:rPr>
        <w:t xml:space="preserve"> at strengthening the essential services which include a significant addition of the number of ICU beds and </w:t>
      </w:r>
      <w:r w:rsidR="0061400F">
        <w:rPr>
          <w:rFonts w:ascii="Times New Roman" w:hAnsi="Times New Roman" w:cs="Times New Roman"/>
          <w:bCs/>
          <w:sz w:val="24"/>
          <w:szCs w:val="24"/>
        </w:rPr>
        <w:t xml:space="preserve">the </w:t>
      </w:r>
      <w:r w:rsidR="008147AE">
        <w:rPr>
          <w:rFonts w:ascii="Times New Roman" w:hAnsi="Times New Roman" w:cs="Times New Roman"/>
          <w:bCs/>
          <w:sz w:val="24"/>
          <w:szCs w:val="24"/>
        </w:rPr>
        <w:t>associated</w:t>
      </w:r>
      <w:r w:rsidR="0061400F">
        <w:rPr>
          <w:rFonts w:ascii="Times New Roman" w:hAnsi="Times New Roman" w:cs="Times New Roman"/>
          <w:bCs/>
          <w:sz w:val="24"/>
          <w:szCs w:val="24"/>
        </w:rPr>
        <w:t xml:space="preserve"> support </w:t>
      </w:r>
      <w:r w:rsidR="008147AE">
        <w:rPr>
          <w:rFonts w:ascii="Times New Roman" w:hAnsi="Times New Roman" w:cs="Times New Roman"/>
          <w:bCs/>
          <w:sz w:val="24"/>
          <w:szCs w:val="24"/>
        </w:rPr>
        <w:t>equipment</w:t>
      </w:r>
      <w:r w:rsidR="0061400F">
        <w:rPr>
          <w:rFonts w:ascii="Times New Roman" w:hAnsi="Times New Roman" w:cs="Times New Roman"/>
          <w:bCs/>
          <w:sz w:val="24"/>
          <w:szCs w:val="24"/>
        </w:rPr>
        <w:t xml:space="preserve"> i.e. ventilators. This will beef up hospital efficiency in handling critical care services in the wake of health pandemics of this nature.</w:t>
      </w:r>
    </w:p>
    <w:p w:rsidR="001A786D" w:rsidRDefault="00A44194" w:rsidP="00A44194">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144AC3">
        <w:rPr>
          <w:rFonts w:ascii="Times New Roman" w:hAnsi="Times New Roman" w:cs="Times New Roman"/>
          <w:bCs/>
          <w:sz w:val="24"/>
          <w:szCs w:val="24"/>
        </w:rPr>
        <w:t>From the estimated social welfare indicator models, it was apparent that the impact of the COVID-19</w:t>
      </w:r>
      <w:r w:rsidR="00CA2A68">
        <w:rPr>
          <w:rFonts w:ascii="Times New Roman" w:hAnsi="Times New Roman" w:cs="Times New Roman"/>
          <w:bCs/>
          <w:sz w:val="24"/>
          <w:szCs w:val="24"/>
        </w:rPr>
        <w:t xml:space="preserve"> pandemic on CPI </w:t>
      </w:r>
      <w:r w:rsidR="00144AC3">
        <w:rPr>
          <w:rFonts w:ascii="Times New Roman" w:hAnsi="Times New Roman" w:cs="Times New Roman"/>
          <w:bCs/>
          <w:sz w:val="24"/>
          <w:szCs w:val="24"/>
        </w:rPr>
        <w:t>and</w:t>
      </w:r>
      <w:r w:rsidR="00CA2A68">
        <w:rPr>
          <w:rFonts w:ascii="Times New Roman" w:hAnsi="Times New Roman" w:cs="Times New Roman"/>
          <w:bCs/>
          <w:sz w:val="24"/>
          <w:szCs w:val="24"/>
        </w:rPr>
        <w:t xml:space="preserve"> oil prices yielded mixed </w:t>
      </w:r>
      <w:r w:rsidR="00144AC3">
        <w:rPr>
          <w:rFonts w:ascii="Times New Roman" w:hAnsi="Times New Roman" w:cs="Times New Roman"/>
          <w:bCs/>
          <w:sz w:val="24"/>
          <w:szCs w:val="24"/>
        </w:rPr>
        <w:t>results.</w:t>
      </w:r>
      <w:r w:rsidR="00144AC3">
        <w:rPr>
          <w:rFonts w:ascii="Times New Roman" w:eastAsiaTheme="minorEastAsia" w:hAnsi="Times New Roman" w:cs="Times New Roman"/>
          <w:sz w:val="24"/>
          <w:szCs w:val="24"/>
        </w:rPr>
        <w:t xml:space="preserve"> First, COVID-19 signific</w:t>
      </w:r>
      <w:r w:rsidR="00D477E7">
        <w:rPr>
          <w:rFonts w:ascii="Times New Roman" w:eastAsiaTheme="minorEastAsia" w:hAnsi="Times New Roman" w:cs="Times New Roman"/>
          <w:sz w:val="24"/>
          <w:szCs w:val="24"/>
        </w:rPr>
        <w:t xml:space="preserve">antly decreased CPI in the long </w:t>
      </w:r>
      <w:r w:rsidR="00144AC3">
        <w:rPr>
          <w:rFonts w:ascii="Times New Roman" w:eastAsiaTheme="minorEastAsia" w:hAnsi="Times New Roman" w:cs="Times New Roman"/>
          <w:sz w:val="24"/>
          <w:szCs w:val="24"/>
        </w:rPr>
        <w:t xml:space="preserve">run. </w:t>
      </w:r>
      <w:r w:rsidR="001A786D">
        <w:rPr>
          <w:rFonts w:ascii="Times New Roman" w:eastAsiaTheme="minorEastAsia" w:hAnsi="Times New Roman" w:cs="Times New Roman"/>
          <w:sz w:val="24"/>
          <w:szCs w:val="24"/>
        </w:rPr>
        <w:t>The impact was negative and significant for Kenya but insignifica</w:t>
      </w:r>
      <w:r w:rsidR="00EE254F">
        <w:rPr>
          <w:rFonts w:ascii="Times New Roman" w:eastAsiaTheme="minorEastAsia" w:hAnsi="Times New Roman" w:cs="Times New Roman"/>
          <w:sz w:val="24"/>
          <w:szCs w:val="24"/>
        </w:rPr>
        <w:t xml:space="preserve">nt for Rwanda, South Sudan &amp; </w:t>
      </w:r>
      <w:r w:rsidR="001A786D">
        <w:rPr>
          <w:rFonts w:ascii="Times New Roman" w:eastAsiaTheme="minorEastAsia" w:hAnsi="Times New Roman" w:cs="Times New Roman"/>
          <w:sz w:val="24"/>
          <w:szCs w:val="24"/>
        </w:rPr>
        <w:t>Uganda in the short run</w:t>
      </w:r>
      <w:r w:rsidR="00144AC3">
        <w:rPr>
          <w:rFonts w:ascii="Times New Roman" w:eastAsiaTheme="minorEastAsia" w:hAnsi="Times New Roman" w:cs="Times New Roman"/>
          <w:sz w:val="24"/>
          <w:szCs w:val="24"/>
        </w:rPr>
        <w:t xml:space="preserve">. </w:t>
      </w:r>
      <w:r w:rsidR="001A786D">
        <w:rPr>
          <w:rFonts w:ascii="Times New Roman" w:hAnsi="Times New Roman" w:cs="Times New Roman"/>
          <w:sz w:val="24"/>
          <w:szCs w:val="24"/>
        </w:rPr>
        <w:t>Secondly</w:t>
      </w:r>
      <w:r w:rsidR="00D21CAB">
        <w:rPr>
          <w:rFonts w:ascii="Times New Roman" w:hAnsi="Times New Roman" w:cs="Times New Roman"/>
          <w:sz w:val="24"/>
          <w:szCs w:val="24"/>
        </w:rPr>
        <w:t xml:space="preserve">, </w:t>
      </w:r>
      <w:r w:rsidR="001A786D" w:rsidRPr="00B80A76">
        <w:rPr>
          <w:rFonts w:ascii="Times New Roman" w:hAnsi="Times New Roman" w:cs="Times New Roman"/>
          <w:sz w:val="24"/>
          <w:szCs w:val="24"/>
        </w:rPr>
        <w:t>COVID-19 was found to significantly</w:t>
      </w:r>
      <w:r w:rsidR="001A786D">
        <w:rPr>
          <w:rFonts w:ascii="Times New Roman" w:hAnsi="Times New Roman" w:cs="Times New Roman"/>
          <w:b/>
          <w:sz w:val="24"/>
          <w:szCs w:val="24"/>
        </w:rPr>
        <w:t xml:space="preserve"> </w:t>
      </w:r>
      <w:r w:rsidR="001A786D" w:rsidRPr="00B80A76">
        <w:rPr>
          <w:rFonts w:ascii="Times New Roman" w:hAnsi="Times New Roman" w:cs="Times New Roman"/>
          <w:sz w:val="24"/>
          <w:szCs w:val="24"/>
        </w:rPr>
        <w:t xml:space="preserve">increase oil prices in the </w:t>
      </w:r>
      <w:r w:rsidR="001A786D">
        <w:rPr>
          <w:rFonts w:ascii="Times New Roman" w:hAnsi="Times New Roman" w:cs="Times New Roman"/>
          <w:sz w:val="24"/>
          <w:szCs w:val="24"/>
        </w:rPr>
        <w:t xml:space="preserve">long run. In the </w:t>
      </w:r>
      <w:r w:rsidR="001A786D" w:rsidRPr="00B80A76">
        <w:rPr>
          <w:rFonts w:ascii="Times New Roman" w:hAnsi="Times New Roman" w:cs="Times New Roman"/>
          <w:sz w:val="24"/>
          <w:szCs w:val="24"/>
        </w:rPr>
        <w:t>short run</w:t>
      </w:r>
      <w:r w:rsidR="001A786D">
        <w:rPr>
          <w:rFonts w:ascii="Times New Roman" w:hAnsi="Times New Roman" w:cs="Times New Roman"/>
          <w:sz w:val="24"/>
          <w:szCs w:val="24"/>
        </w:rPr>
        <w:t>, the impact was positive and significant for South Sudan but negative and insignificant for Uganda. F</w:t>
      </w:r>
      <w:r w:rsidR="00802431">
        <w:rPr>
          <w:rFonts w:ascii="Times New Roman" w:hAnsi="Times New Roman" w:cs="Times New Roman"/>
          <w:sz w:val="24"/>
          <w:szCs w:val="24"/>
        </w:rPr>
        <w:t xml:space="preserve">rom a regional perspective, we </w:t>
      </w:r>
      <w:r w:rsidR="00802431" w:rsidRPr="00DF71FA">
        <w:rPr>
          <w:rFonts w:ascii="Times New Roman" w:hAnsi="Times New Roman" w:cs="Times New Roman"/>
          <w:sz w:val="24"/>
          <w:szCs w:val="24"/>
        </w:rPr>
        <w:t xml:space="preserve">recommend </w:t>
      </w:r>
      <w:r w:rsidR="00DF71FA">
        <w:rPr>
          <w:rFonts w:ascii="Times New Roman" w:hAnsi="Times New Roman" w:cs="Times New Roman"/>
          <w:sz w:val="24"/>
          <w:szCs w:val="24"/>
        </w:rPr>
        <w:t xml:space="preserve">that governments within the region employ a coordinated approach in </w:t>
      </w:r>
      <w:r w:rsidR="00D477E7">
        <w:rPr>
          <w:rFonts w:ascii="Times New Roman" w:hAnsi="Times New Roman" w:cs="Times New Roman"/>
          <w:sz w:val="24"/>
          <w:szCs w:val="24"/>
        </w:rPr>
        <w:t>addressing welfare effects that</w:t>
      </w:r>
      <w:r w:rsidR="00DF71FA">
        <w:rPr>
          <w:rFonts w:ascii="Times New Roman" w:hAnsi="Times New Roman" w:cs="Times New Roman"/>
          <w:sz w:val="24"/>
          <w:szCs w:val="24"/>
        </w:rPr>
        <w:t xml:space="preserve"> largely stem from </w:t>
      </w:r>
      <w:r w:rsidR="001A786D">
        <w:rPr>
          <w:rFonts w:ascii="Times New Roman" w:hAnsi="Times New Roman" w:cs="Times New Roman"/>
          <w:sz w:val="24"/>
          <w:szCs w:val="24"/>
        </w:rPr>
        <w:t xml:space="preserve">increased oil prices due to </w:t>
      </w:r>
      <w:r w:rsidR="00DF71FA">
        <w:rPr>
          <w:rFonts w:ascii="Times New Roman" w:hAnsi="Times New Roman" w:cs="Times New Roman"/>
          <w:sz w:val="24"/>
          <w:szCs w:val="24"/>
        </w:rPr>
        <w:t>disrupted tr</w:t>
      </w:r>
      <w:r w:rsidR="001A786D">
        <w:rPr>
          <w:rFonts w:ascii="Times New Roman" w:hAnsi="Times New Roman" w:cs="Times New Roman"/>
          <w:sz w:val="24"/>
          <w:szCs w:val="24"/>
        </w:rPr>
        <w:t>ade activities</w:t>
      </w:r>
      <w:r w:rsidR="00DF71FA">
        <w:rPr>
          <w:rFonts w:ascii="Times New Roman" w:hAnsi="Times New Roman" w:cs="Times New Roman"/>
          <w:sz w:val="24"/>
          <w:szCs w:val="24"/>
        </w:rPr>
        <w:t xml:space="preserve">. </w:t>
      </w:r>
      <w:r w:rsidR="00932521">
        <w:rPr>
          <w:rFonts w:ascii="Times New Roman" w:hAnsi="Times New Roman" w:cs="Times New Roman"/>
          <w:sz w:val="24"/>
          <w:szCs w:val="24"/>
        </w:rPr>
        <w:t xml:space="preserve">There is </w:t>
      </w:r>
      <w:r w:rsidR="00D477E7">
        <w:rPr>
          <w:rFonts w:ascii="Times New Roman" w:hAnsi="Times New Roman" w:cs="Times New Roman"/>
          <w:sz w:val="24"/>
          <w:szCs w:val="24"/>
        </w:rPr>
        <w:t xml:space="preserve">a </w:t>
      </w:r>
      <w:r w:rsidR="00932521">
        <w:rPr>
          <w:rFonts w:ascii="Times New Roman" w:hAnsi="Times New Roman" w:cs="Times New Roman"/>
          <w:sz w:val="24"/>
          <w:szCs w:val="24"/>
        </w:rPr>
        <w:t xml:space="preserve">need to promote regional market integration &amp; cooperation within the EAC region regarding oil. A robust &amp; vibrant EAC oil market will enable countries within the region to harness optimal benefits from their oil reserves as well as withstand any global price shock dynamics that emanate </w:t>
      </w:r>
      <w:r w:rsidR="0042138B">
        <w:rPr>
          <w:rFonts w:ascii="Times New Roman" w:hAnsi="Times New Roman" w:cs="Times New Roman"/>
          <w:sz w:val="24"/>
          <w:szCs w:val="24"/>
        </w:rPr>
        <w:t>from a pandemic of this nature.</w:t>
      </w:r>
    </w:p>
    <w:p w:rsidR="00573678" w:rsidRDefault="00A44194" w:rsidP="006752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5CA">
        <w:rPr>
          <w:rFonts w:ascii="Times New Roman" w:hAnsi="Times New Roman" w:cs="Times New Roman"/>
          <w:sz w:val="24"/>
          <w:szCs w:val="24"/>
        </w:rPr>
        <w:t xml:space="preserve">Future studies should attempt at analyzing the effect of </w:t>
      </w:r>
      <w:r w:rsidR="008A2D04">
        <w:rPr>
          <w:rFonts w:ascii="Times New Roman" w:hAnsi="Times New Roman" w:cs="Times New Roman"/>
          <w:sz w:val="24"/>
          <w:szCs w:val="24"/>
        </w:rPr>
        <w:t xml:space="preserve">the </w:t>
      </w:r>
      <w:r w:rsidR="000065CA">
        <w:rPr>
          <w:rFonts w:ascii="Times New Roman" w:hAnsi="Times New Roman" w:cs="Times New Roman"/>
          <w:sz w:val="24"/>
          <w:szCs w:val="24"/>
        </w:rPr>
        <w:t xml:space="preserve">COVID-19 </w:t>
      </w:r>
      <w:r w:rsidR="00AC4AF6">
        <w:rPr>
          <w:rFonts w:ascii="Times New Roman" w:hAnsi="Times New Roman" w:cs="Times New Roman"/>
          <w:sz w:val="24"/>
          <w:szCs w:val="24"/>
        </w:rPr>
        <w:t xml:space="preserve">pandemic </w:t>
      </w:r>
      <w:r w:rsidR="000065CA">
        <w:rPr>
          <w:rFonts w:ascii="Times New Roman" w:hAnsi="Times New Roman" w:cs="Times New Roman"/>
          <w:sz w:val="24"/>
          <w:szCs w:val="24"/>
        </w:rPr>
        <w:t xml:space="preserve">on the health system capacity in the post-vaccination period. Furthermore, there is </w:t>
      </w:r>
      <w:r w:rsidR="008A2D04">
        <w:rPr>
          <w:rFonts w:ascii="Times New Roman" w:hAnsi="Times New Roman" w:cs="Times New Roman"/>
          <w:sz w:val="24"/>
          <w:szCs w:val="24"/>
        </w:rPr>
        <w:t xml:space="preserve">a </w:t>
      </w:r>
      <w:r w:rsidR="000065CA">
        <w:rPr>
          <w:rFonts w:ascii="Times New Roman" w:hAnsi="Times New Roman" w:cs="Times New Roman"/>
          <w:sz w:val="24"/>
          <w:szCs w:val="24"/>
        </w:rPr>
        <w:t xml:space="preserve">need to visualize separate inflationary effects of the pandemic on both food and non-food items; a feat that </w:t>
      </w:r>
      <w:r w:rsidR="006752F5">
        <w:rPr>
          <w:rFonts w:ascii="Times New Roman" w:hAnsi="Times New Roman" w:cs="Times New Roman"/>
          <w:sz w:val="24"/>
          <w:szCs w:val="24"/>
        </w:rPr>
        <w:t>was not realized in this study.</w:t>
      </w:r>
    </w:p>
    <w:p w:rsidR="00665673" w:rsidRDefault="006752F5" w:rsidP="00A53E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Acknowledgement</w:t>
      </w:r>
    </w:p>
    <w:p w:rsidR="00665673" w:rsidRPr="00E17C20" w:rsidRDefault="00BB7336" w:rsidP="00233C0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the </w:t>
      </w:r>
      <w:r w:rsidR="000253BB">
        <w:rPr>
          <w:rFonts w:ascii="Times New Roman" w:hAnsi="Times New Roman" w:cs="Times New Roman"/>
          <w:bCs/>
          <w:sz w:val="24"/>
          <w:szCs w:val="24"/>
        </w:rPr>
        <w:t>African Research Universities Alliance (</w:t>
      </w:r>
      <w:r w:rsidR="00E17C20" w:rsidRPr="00E17C20">
        <w:rPr>
          <w:rFonts w:ascii="Times New Roman" w:hAnsi="Times New Roman" w:cs="Times New Roman"/>
          <w:bCs/>
          <w:sz w:val="24"/>
          <w:szCs w:val="24"/>
        </w:rPr>
        <w:t>ARUA</w:t>
      </w:r>
      <w:r w:rsidR="000253BB">
        <w:rPr>
          <w:rFonts w:ascii="Times New Roman" w:hAnsi="Times New Roman" w:cs="Times New Roman"/>
          <w:bCs/>
          <w:sz w:val="24"/>
          <w:szCs w:val="24"/>
        </w:rPr>
        <w:t>) Biennial Inte</w:t>
      </w:r>
      <w:r w:rsidR="00D70B5D">
        <w:rPr>
          <w:rFonts w:ascii="Times New Roman" w:hAnsi="Times New Roman" w:cs="Times New Roman"/>
          <w:bCs/>
          <w:sz w:val="24"/>
          <w:szCs w:val="24"/>
        </w:rPr>
        <w:t xml:space="preserve">rnational Conference organizers </w:t>
      </w:r>
      <w:r>
        <w:rPr>
          <w:rFonts w:ascii="Times New Roman" w:hAnsi="Times New Roman" w:cs="Times New Roman"/>
          <w:bCs/>
          <w:sz w:val="24"/>
          <w:szCs w:val="24"/>
        </w:rPr>
        <w:t>who facilitated</w:t>
      </w:r>
      <w:r w:rsidR="00D90670">
        <w:rPr>
          <w:rFonts w:ascii="Times New Roman" w:hAnsi="Times New Roman" w:cs="Times New Roman"/>
          <w:bCs/>
          <w:sz w:val="24"/>
          <w:szCs w:val="24"/>
        </w:rPr>
        <w:t xml:space="preserve"> the </w:t>
      </w:r>
      <w:r>
        <w:rPr>
          <w:rFonts w:ascii="Times New Roman" w:hAnsi="Times New Roman" w:cs="Times New Roman"/>
          <w:bCs/>
          <w:sz w:val="24"/>
          <w:szCs w:val="24"/>
        </w:rPr>
        <w:t>preparation of this paper.</w:t>
      </w:r>
      <w:r w:rsidR="00473FFA">
        <w:rPr>
          <w:rFonts w:ascii="Times New Roman" w:hAnsi="Times New Roman" w:cs="Times New Roman"/>
          <w:bCs/>
          <w:sz w:val="24"/>
          <w:szCs w:val="24"/>
        </w:rPr>
        <w:t xml:space="preserve"> I also express much gratitude to the ARUA for the Travel Grant award that enabled me to travel to South Africa-Pretoria to present this Research Paper at their 3</w:t>
      </w:r>
      <w:r w:rsidR="00473FFA" w:rsidRPr="00473FFA">
        <w:rPr>
          <w:rFonts w:ascii="Times New Roman" w:hAnsi="Times New Roman" w:cs="Times New Roman"/>
          <w:bCs/>
          <w:sz w:val="24"/>
          <w:szCs w:val="24"/>
          <w:vertAlign w:val="superscript"/>
        </w:rPr>
        <w:t>rd</w:t>
      </w:r>
      <w:r w:rsidR="00473FFA">
        <w:rPr>
          <w:rFonts w:ascii="Times New Roman" w:hAnsi="Times New Roman" w:cs="Times New Roman"/>
          <w:bCs/>
          <w:sz w:val="24"/>
          <w:szCs w:val="24"/>
        </w:rPr>
        <w:t xml:space="preserve"> Biennial </w:t>
      </w:r>
      <w:r w:rsidR="00D70B5D">
        <w:rPr>
          <w:rFonts w:ascii="Times New Roman" w:hAnsi="Times New Roman" w:cs="Times New Roman"/>
          <w:bCs/>
          <w:sz w:val="24"/>
          <w:szCs w:val="24"/>
        </w:rPr>
        <w:t xml:space="preserve">International </w:t>
      </w:r>
      <w:r w:rsidR="00473FFA">
        <w:rPr>
          <w:rFonts w:ascii="Times New Roman" w:hAnsi="Times New Roman" w:cs="Times New Roman"/>
          <w:bCs/>
          <w:sz w:val="24"/>
          <w:szCs w:val="24"/>
        </w:rPr>
        <w:t>Conference</w:t>
      </w:r>
      <w:r w:rsidR="00D70B5D">
        <w:rPr>
          <w:rFonts w:ascii="Times New Roman" w:hAnsi="Times New Roman" w:cs="Times New Roman"/>
          <w:bCs/>
          <w:sz w:val="24"/>
          <w:szCs w:val="24"/>
        </w:rPr>
        <w:t xml:space="preserve"> held from 17</w:t>
      </w:r>
      <w:r w:rsidR="00D70B5D" w:rsidRPr="00D70B5D">
        <w:rPr>
          <w:rFonts w:ascii="Times New Roman" w:hAnsi="Times New Roman" w:cs="Times New Roman"/>
          <w:bCs/>
          <w:sz w:val="24"/>
          <w:szCs w:val="24"/>
          <w:vertAlign w:val="superscript"/>
        </w:rPr>
        <w:t>th</w:t>
      </w:r>
      <w:r w:rsidR="00D70B5D">
        <w:rPr>
          <w:rFonts w:ascii="Times New Roman" w:hAnsi="Times New Roman" w:cs="Times New Roman"/>
          <w:bCs/>
          <w:sz w:val="24"/>
          <w:szCs w:val="24"/>
        </w:rPr>
        <w:t xml:space="preserve"> to 19</w:t>
      </w:r>
      <w:r w:rsidR="00D70B5D" w:rsidRPr="00D70B5D">
        <w:rPr>
          <w:rFonts w:ascii="Times New Roman" w:hAnsi="Times New Roman" w:cs="Times New Roman"/>
          <w:bCs/>
          <w:sz w:val="24"/>
          <w:szCs w:val="24"/>
          <w:vertAlign w:val="superscript"/>
        </w:rPr>
        <w:t>th</w:t>
      </w:r>
      <w:r w:rsidR="007D629C">
        <w:rPr>
          <w:rFonts w:ascii="Times New Roman" w:hAnsi="Times New Roman" w:cs="Times New Roman"/>
          <w:bCs/>
          <w:sz w:val="24"/>
          <w:szCs w:val="24"/>
        </w:rPr>
        <w:t xml:space="preserve"> November </w:t>
      </w:r>
      <w:r w:rsidR="00D70B5D">
        <w:rPr>
          <w:rFonts w:ascii="Times New Roman" w:hAnsi="Times New Roman" w:cs="Times New Roman"/>
          <w:bCs/>
          <w:sz w:val="24"/>
          <w:szCs w:val="24"/>
        </w:rPr>
        <w:t>2021.</w:t>
      </w:r>
    </w:p>
    <w:p w:rsidR="00370A39" w:rsidRDefault="00370A39" w:rsidP="00E80461">
      <w:pPr>
        <w:spacing w:after="0" w:line="360" w:lineRule="auto"/>
        <w:contextualSpacing/>
        <w:jc w:val="both"/>
        <w:rPr>
          <w:rFonts w:ascii="Times New Roman" w:eastAsia="Calibri" w:hAnsi="Times New Roman" w:cs="Times New Roman"/>
          <w:sz w:val="24"/>
          <w:szCs w:val="24"/>
        </w:rPr>
      </w:pPr>
    </w:p>
    <w:p w:rsidR="00A53EA0" w:rsidRDefault="00A53EA0" w:rsidP="000D5ABE">
      <w:pPr>
        <w:autoSpaceDE w:val="0"/>
        <w:autoSpaceDN w:val="0"/>
        <w:adjustRightInd w:val="0"/>
        <w:spacing w:after="0" w:line="360" w:lineRule="auto"/>
        <w:jc w:val="both"/>
      </w:pPr>
    </w:p>
    <w:p w:rsidR="00A53EA0" w:rsidRDefault="00A53EA0" w:rsidP="000D5ABE">
      <w:pPr>
        <w:autoSpaceDE w:val="0"/>
        <w:autoSpaceDN w:val="0"/>
        <w:adjustRightInd w:val="0"/>
        <w:spacing w:after="0" w:line="360" w:lineRule="auto"/>
        <w:jc w:val="both"/>
      </w:pPr>
    </w:p>
    <w:p w:rsidR="0067186E" w:rsidRPr="000D5ABE" w:rsidRDefault="007F477E" w:rsidP="00B436E0">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D5ABE" w:rsidRPr="007D629C" w:rsidRDefault="00224C61" w:rsidP="00CA655A">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AGRILINKS. 2020</w:t>
      </w:r>
      <w:r w:rsidR="000D5ABE" w:rsidRPr="000D5ABE">
        <w:rPr>
          <w:rFonts w:ascii="Times New Roman" w:hAnsi="Times New Roman" w:cs="Times New Roman"/>
          <w:noProof/>
          <w:sz w:val="24"/>
          <w:szCs w:val="24"/>
        </w:rPr>
        <w:t xml:space="preserve">. </w:t>
      </w:r>
      <w:r w:rsidR="000D5ABE" w:rsidRPr="000D5ABE">
        <w:rPr>
          <w:rFonts w:ascii="Times New Roman" w:hAnsi="Times New Roman" w:cs="Times New Roman"/>
          <w:i/>
          <w:iCs/>
          <w:noProof/>
          <w:sz w:val="24"/>
          <w:szCs w:val="24"/>
        </w:rPr>
        <w:t>Coronavirus and the Implications for Food Systems and Policy.</w:t>
      </w:r>
      <w:r w:rsidR="007D629C">
        <w:rPr>
          <w:rFonts w:ascii="Times New Roman" w:hAnsi="Times New Roman" w:cs="Times New Roman"/>
          <w:noProof/>
          <w:sz w:val="24"/>
          <w:szCs w:val="24"/>
        </w:rPr>
        <w:t xml:space="preserve"> </w:t>
      </w:r>
      <w:r>
        <w:rPr>
          <w:rFonts w:ascii="Times New Roman" w:hAnsi="Times New Roman" w:cs="Times New Roman"/>
          <w:noProof/>
          <w:sz w:val="24"/>
          <w:szCs w:val="24"/>
        </w:rPr>
        <w:t xml:space="preserve">AGRILINKS. </w:t>
      </w:r>
      <w:proofErr w:type="gramStart"/>
      <w:r w:rsidRPr="00224C61">
        <w:rPr>
          <w:rFonts w:ascii="Times New Roman" w:hAnsi="Times New Roman" w:cs="Times New Roman"/>
          <w:sz w:val="24"/>
          <w:szCs w:val="24"/>
        </w:rPr>
        <w:t>Retrieved from:</w:t>
      </w:r>
      <w:r>
        <w:t xml:space="preserve"> </w:t>
      </w:r>
      <w:hyperlink r:id="rId12" w:history="1">
        <w:r w:rsidRPr="00224C61">
          <w:rPr>
            <w:rStyle w:val="Hyperlink"/>
            <w:rFonts w:ascii="Times New Roman" w:hAnsi="Times New Roman" w:cs="Times New Roman"/>
            <w:noProof/>
            <w:color w:val="auto"/>
            <w:sz w:val="24"/>
            <w:szCs w:val="24"/>
            <w:u w:val="none"/>
          </w:rPr>
          <w:t>https://www.ifpri.org/news-release/coronavirus-and-implications-food-systems-and-policy-agrilinks</w:t>
        </w:r>
      </w:hyperlink>
      <w:r w:rsidRPr="00224C61">
        <w:rPr>
          <w:rFonts w:ascii="Times New Roman" w:hAnsi="Times New Roman" w:cs="Times New Roman"/>
          <w:noProof/>
          <w:sz w:val="24"/>
          <w:szCs w:val="24"/>
        </w:rPr>
        <w:t>.</w:t>
      </w:r>
      <w:proofErr w:type="gramEnd"/>
      <w:r>
        <w:rPr>
          <w:rFonts w:ascii="Times New Roman" w:hAnsi="Times New Roman" w:cs="Times New Roman"/>
          <w:noProof/>
          <w:sz w:val="24"/>
          <w:szCs w:val="24"/>
        </w:rPr>
        <w:t xml:space="preserve"> [Accessed on March 12, 2020].</w:t>
      </w:r>
    </w:p>
    <w:p w:rsidR="000D5ABE" w:rsidRPr="00287614" w:rsidRDefault="00FD324A" w:rsidP="00CA655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Amutabi, C.</w:t>
      </w:r>
      <w:r w:rsidR="00624B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w:t>
      </w:r>
      <w:r w:rsidR="000D5ABE" w:rsidRPr="000D5ABE">
        <w:rPr>
          <w:rFonts w:ascii="Times New Roman" w:eastAsia="Times New Roman" w:hAnsi="Times New Roman" w:cs="Times New Roman"/>
          <w:sz w:val="24"/>
          <w:szCs w:val="24"/>
        </w:rPr>
        <w:t>. Drivers of public health expenditure in Kenya:</w:t>
      </w:r>
      <w:r w:rsidR="00287614">
        <w:rPr>
          <w:rFonts w:ascii="Times New Roman" w:eastAsia="Times New Roman" w:hAnsi="Times New Roman" w:cs="Times New Roman"/>
          <w:sz w:val="24"/>
          <w:szCs w:val="24"/>
        </w:rPr>
        <w:t xml:space="preserve"> Do structural breaks matter? </w:t>
      </w:r>
      <w:r w:rsidR="000D5ABE" w:rsidRPr="000D5ABE">
        <w:rPr>
          <w:rFonts w:ascii="Times New Roman" w:eastAsia="Times New Roman" w:hAnsi="Times New Roman" w:cs="Times New Roman"/>
          <w:i/>
          <w:sz w:val="24"/>
          <w:szCs w:val="24"/>
        </w:rPr>
        <w:t>European Scientific Journal</w:t>
      </w:r>
      <w:r w:rsidR="000D5ABE" w:rsidRPr="000D5ABE">
        <w:rPr>
          <w:rFonts w:ascii="Times New Roman" w:eastAsia="Times New Roman" w:hAnsi="Times New Roman" w:cs="Times New Roman"/>
          <w:sz w:val="24"/>
          <w:szCs w:val="24"/>
        </w:rPr>
        <w:t xml:space="preserve">, </w:t>
      </w:r>
      <w:r w:rsidR="000D5ABE" w:rsidRPr="000D5ABE">
        <w:rPr>
          <w:rFonts w:ascii="Times New Roman" w:eastAsia="Times New Roman" w:hAnsi="Times New Roman" w:cs="Times New Roman"/>
          <w:i/>
          <w:sz w:val="24"/>
          <w:szCs w:val="24"/>
        </w:rPr>
        <w:t>ESJ</w:t>
      </w:r>
      <w:r w:rsidR="00287614">
        <w:rPr>
          <w:rFonts w:ascii="Times New Roman" w:eastAsia="Times New Roman" w:hAnsi="Times New Roman" w:cs="Times New Roman"/>
          <w:sz w:val="24"/>
          <w:szCs w:val="24"/>
        </w:rPr>
        <w:t xml:space="preserve">, 17 (23), pp. </w:t>
      </w:r>
      <w:r w:rsidR="000D5ABE" w:rsidRPr="000D5ABE">
        <w:rPr>
          <w:rFonts w:ascii="Times New Roman" w:eastAsia="Times New Roman" w:hAnsi="Times New Roman" w:cs="Times New Roman"/>
          <w:sz w:val="24"/>
          <w:szCs w:val="24"/>
        </w:rPr>
        <w:t>143-162</w:t>
      </w:r>
      <w:r w:rsidR="005616E6">
        <w:rPr>
          <w:rFonts w:ascii="Times New Roman" w:eastAsia="Times New Roman" w:hAnsi="Times New Roman" w:cs="Times New Roman"/>
          <w:sz w:val="24"/>
          <w:szCs w:val="24"/>
        </w:rPr>
        <w:t>.</w:t>
      </w:r>
    </w:p>
    <w:p w:rsidR="00CA655A" w:rsidRDefault="00CA655A" w:rsidP="00CA655A">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Ataguba, J. E., 2020</w:t>
      </w:r>
      <w:r w:rsidR="000D5ABE" w:rsidRPr="000D5ABE">
        <w:rPr>
          <w:rFonts w:ascii="Times New Roman" w:hAnsi="Times New Roman" w:cs="Times New Roman"/>
          <w:noProof/>
          <w:sz w:val="24"/>
          <w:szCs w:val="24"/>
        </w:rPr>
        <w:t>. COVID</w:t>
      </w:r>
      <w:r w:rsidR="000D5ABE" w:rsidRPr="000D5ABE">
        <w:rPr>
          <w:rFonts w:ascii="Times New Roman" w:hAnsi="Times New Roman" w:cs="Times New Roman"/>
          <w:noProof/>
          <w:sz w:val="24"/>
          <w:szCs w:val="24"/>
        </w:rPr>
        <w:noBreakHyphen/>
        <w:t>19 Pandemic, a War to be Won: Understanding its Economic</w:t>
      </w:r>
      <w:r>
        <w:rPr>
          <w:rFonts w:ascii="Times New Roman" w:hAnsi="Times New Roman" w:cs="Times New Roman"/>
          <w:noProof/>
          <w:sz w:val="24"/>
          <w:szCs w:val="24"/>
        </w:rPr>
        <w:t xml:space="preserve"> </w:t>
      </w:r>
    </w:p>
    <w:p w:rsidR="00CA655A" w:rsidRDefault="00CA655A" w:rsidP="00CA655A">
      <w:pPr>
        <w:spacing w:line="360" w:lineRule="auto"/>
        <w:jc w:val="both"/>
        <w:rPr>
          <w:rFonts w:ascii="Times New Roman" w:hAnsi="Times New Roman" w:cs="Times New Roman"/>
          <w:noProof/>
          <w:sz w:val="24"/>
          <w:szCs w:val="24"/>
        </w:rPr>
      </w:pPr>
      <w:r w:rsidRPr="000D5ABE">
        <w:rPr>
          <w:rFonts w:ascii="Times New Roman" w:hAnsi="Times New Roman" w:cs="Times New Roman"/>
          <w:noProof/>
          <w:sz w:val="24"/>
          <w:szCs w:val="24"/>
        </w:rPr>
        <w:t xml:space="preserve">Implications for Africa. </w:t>
      </w:r>
      <w:r w:rsidRPr="000D5ABE">
        <w:rPr>
          <w:rFonts w:ascii="Times New Roman" w:hAnsi="Times New Roman" w:cs="Times New Roman"/>
          <w:i/>
          <w:iCs/>
          <w:noProof/>
          <w:sz w:val="24"/>
          <w:szCs w:val="24"/>
        </w:rPr>
        <w:t xml:space="preserve">Applied Health Economics and Health Policy, </w:t>
      </w:r>
      <w:r w:rsidRPr="000D5ABE">
        <w:rPr>
          <w:rFonts w:ascii="Times New Roman" w:hAnsi="Times New Roman" w:cs="Times New Roman"/>
          <w:iCs/>
          <w:noProof/>
          <w:sz w:val="24"/>
          <w:szCs w:val="24"/>
        </w:rPr>
        <w:t>18</w:t>
      </w:r>
      <w:r>
        <w:rPr>
          <w:rFonts w:ascii="Times New Roman" w:hAnsi="Times New Roman" w:cs="Times New Roman"/>
          <w:noProof/>
          <w:sz w:val="24"/>
          <w:szCs w:val="24"/>
        </w:rPr>
        <w:t>, pp. 325-</w:t>
      </w:r>
      <w:r w:rsidRPr="000D5ABE">
        <w:rPr>
          <w:rFonts w:ascii="Times New Roman" w:hAnsi="Times New Roman" w:cs="Times New Roman"/>
          <w:noProof/>
          <w:sz w:val="24"/>
          <w:szCs w:val="24"/>
        </w:rPr>
        <w:t>328.</w:t>
      </w:r>
      <w:r w:rsidRPr="00CA655A">
        <w:rPr>
          <w:rFonts w:ascii="Times New Roman" w:hAnsi="Times New Roman" w:cs="Times New Roman"/>
          <w:noProof/>
          <w:sz w:val="24"/>
          <w:szCs w:val="24"/>
        </w:rPr>
        <w:t xml:space="preserve"> </w:t>
      </w:r>
      <w:r w:rsidRPr="000D5ABE">
        <w:rPr>
          <w:rFonts w:ascii="Times New Roman" w:hAnsi="Times New Roman" w:cs="Times New Roman"/>
          <w:noProof/>
          <w:sz w:val="24"/>
          <w:szCs w:val="24"/>
        </w:rPr>
        <w:t>https://doi.org/10.1007/s40258-020-00580-x</w:t>
      </w:r>
      <w:r>
        <w:rPr>
          <w:rFonts w:ascii="Times New Roman" w:hAnsi="Times New Roman" w:cs="Times New Roman"/>
          <w:noProof/>
          <w:sz w:val="24"/>
          <w:szCs w:val="24"/>
        </w:rPr>
        <w:t>.</w:t>
      </w:r>
      <w:r w:rsidRPr="000D5ABE">
        <w:rPr>
          <w:rFonts w:ascii="Times New Roman" w:hAnsi="Times New Roman" w:cs="Times New Roman"/>
          <w:noProof/>
          <w:sz w:val="24"/>
          <w:szCs w:val="24"/>
        </w:rPr>
        <w:t xml:space="preserve"> </w:t>
      </w:r>
    </w:p>
    <w:p w:rsidR="000D5ABE" w:rsidRPr="000D5ABE" w:rsidRDefault="00E911EF" w:rsidP="00E911E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Baldwin, R. </w:t>
      </w:r>
      <w:r w:rsidR="000D5ABE" w:rsidRPr="000D5ABE">
        <w:rPr>
          <w:rFonts w:ascii="Times New Roman" w:hAnsi="Times New Roman" w:cs="Times New Roman"/>
          <w:sz w:val="24"/>
          <w:szCs w:val="24"/>
        </w:rPr>
        <w:t>and Tomiura, E.</w:t>
      </w:r>
      <w:r>
        <w:rPr>
          <w:rFonts w:ascii="Times New Roman" w:hAnsi="Times New Roman" w:cs="Times New Roman"/>
          <w:sz w:val="24"/>
          <w:szCs w:val="24"/>
        </w:rPr>
        <w:t>, 2020</w:t>
      </w:r>
      <w:r w:rsidR="000D5ABE" w:rsidRPr="000D5ABE">
        <w:rPr>
          <w:rFonts w:ascii="Times New Roman" w:hAnsi="Times New Roman" w:cs="Times New Roman"/>
          <w:sz w:val="24"/>
          <w:szCs w:val="24"/>
        </w:rPr>
        <w:t xml:space="preserve">. </w:t>
      </w:r>
      <w:proofErr w:type="gramStart"/>
      <w:r w:rsidR="000D5ABE" w:rsidRPr="000D5ABE">
        <w:rPr>
          <w:rFonts w:ascii="Times New Roman" w:hAnsi="Times New Roman" w:cs="Times New Roman"/>
          <w:sz w:val="24"/>
          <w:szCs w:val="24"/>
        </w:rPr>
        <w:t>Thinking ahead abou</w:t>
      </w:r>
      <w:r>
        <w:rPr>
          <w:rFonts w:ascii="Times New Roman" w:hAnsi="Times New Roman" w:cs="Times New Roman"/>
          <w:sz w:val="24"/>
          <w:szCs w:val="24"/>
        </w:rPr>
        <w:t>t the trade impact of COVID-19.</w:t>
      </w:r>
      <w:proofErr w:type="gramEnd"/>
      <w:r>
        <w:rPr>
          <w:rFonts w:ascii="Times New Roman" w:hAnsi="Times New Roman" w:cs="Times New Roman"/>
          <w:sz w:val="24"/>
          <w:szCs w:val="24"/>
        </w:rPr>
        <w:t xml:space="preserve"> </w:t>
      </w:r>
      <w:r w:rsidR="000D5ABE" w:rsidRPr="000D5ABE">
        <w:rPr>
          <w:rFonts w:ascii="Times New Roman" w:hAnsi="Times New Roman" w:cs="Times New Roman"/>
          <w:sz w:val="24"/>
          <w:szCs w:val="24"/>
        </w:rPr>
        <w:t xml:space="preserve">In Baldwin, R. and di Mauro, B. W., </w:t>
      </w:r>
      <w:r w:rsidR="000D5ABE" w:rsidRPr="000D5ABE">
        <w:rPr>
          <w:rFonts w:ascii="Times New Roman" w:hAnsi="Times New Roman" w:cs="Times New Roman"/>
          <w:i/>
          <w:sz w:val="24"/>
          <w:szCs w:val="24"/>
        </w:rPr>
        <w:t>Economics in the Time of COVID-19</w:t>
      </w:r>
      <w:r>
        <w:rPr>
          <w:rFonts w:ascii="Times New Roman" w:hAnsi="Times New Roman" w:cs="Times New Roman"/>
          <w:sz w:val="24"/>
          <w:szCs w:val="24"/>
        </w:rPr>
        <w:t xml:space="preserve">. London, </w:t>
      </w:r>
      <w:r w:rsidR="000D5ABE" w:rsidRPr="000D5ABE">
        <w:rPr>
          <w:rFonts w:ascii="Times New Roman" w:hAnsi="Times New Roman" w:cs="Times New Roman"/>
          <w:sz w:val="24"/>
          <w:szCs w:val="24"/>
        </w:rPr>
        <w:t>UK: Centre for Economic Policy Research (CEPR), pp. 59-72.</w:t>
      </w:r>
    </w:p>
    <w:p w:rsidR="002C547A" w:rsidRPr="002C547A" w:rsidRDefault="000D5ABE" w:rsidP="002C547A">
      <w:pPr>
        <w:autoSpaceDE w:val="0"/>
        <w:autoSpaceDN w:val="0"/>
        <w:adjustRightInd w:val="0"/>
        <w:spacing w:line="360" w:lineRule="auto"/>
        <w:jc w:val="both"/>
        <w:rPr>
          <w:rFonts w:ascii="Times New Roman" w:hAnsi="Times New Roman" w:cs="Times New Roman"/>
          <w:sz w:val="24"/>
          <w:szCs w:val="24"/>
        </w:rPr>
      </w:pPr>
      <w:proofErr w:type="gramStart"/>
      <w:r w:rsidRPr="000D5ABE">
        <w:rPr>
          <w:rFonts w:ascii="Times New Roman" w:hAnsi="Times New Roman" w:cs="Times New Roman"/>
          <w:sz w:val="24"/>
          <w:szCs w:val="24"/>
        </w:rPr>
        <w:t>Banga, K., Keane, J., Me</w:t>
      </w:r>
      <w:r w:rsidR="002C547A">
        <w:rPr>
          <w:rFonts w:ascii="Times New Roman" w:hAnsi="Times New Roman" w:cs="Times New Roman"/>
          <w:sz w:val="24"/>
          <w:szCs w:val="24"/>
        </w:rPr>
        <w:t>ndez-Parra, M., Pettinotti, L. and Sommer, L., 2020.</w:t>
      </w:r>
      <w:proofErr w:type="gramEnd"/>
      <w:r w:rsidRPr="000D5ABE">
        <w:rPr>
          <w:rFonts w:ascii="Times New Roman" w:hAnsi="Times New Roman" w:cs="Times New Roman"/>
          <w:sz w:val="24"/>
          <w:szCs w:val="24"/>
        </w:rPr>
        <w:t xml:space="preserve"> </w:t>
      </w:r>
      <w:r w:rsidR="002C547A">
        <w:rPr>
          <w:rFonts w:ascii="Times New Roman" w:hAnsi="Times New Roman" w:cs="Times New Roman"/>
          <w:i/>
          <w:sz w:val="24"/>
          <w:szCs w:val="24"/>
        </w:rPr>
        <w:t xml:space="preserve">Africa </w:t>
      </w:r>
      <w:r w:rsidRPr="000D5ABE">
        <w:rPr>
          <w:rFonts w:ascii="Times New Roman" w:hAnsi="Times New Roman" w:cs="Times New Roman"/>
          <w:i/>
          <w:sz w:val="24"/>
          <w:szCs w:val="24"/>
        </w:rPr>
        <w:t>trade and Covid 19: The supply chain dimension</w:t>
      </w:r>
      <w:r w:rsidRPr="000D5ABE">
        <w:rPr>
          <w:rFonts w:ascii="Times New Roman" w:hAnsi="Times New Roman" w:cs="Times New Roman"/>
          <w:sz w:val="24"/>
          <w:szCs w:val="24"/>
        </w:rPr>
        <w:t>.</w:t>
      </w:r>
      <w:r w:rsidR="002C547A">
        <w:rPr>
          <w:rFonts w:ascii="Times New Roman" w:hAnsi="Times New Roman" w:cs="Times New Roman"/>
          <w:sz w:val="24"/>
          <w:szCs w:val="24"/>
        </w:rPr>
        <w:t xml:space="preserve"> </w:t>
      </w:r>
      <w:proofErr w:type="gramStart"/>
      <w:r w:rsidR="002C547A">
        <w:rPr>
          <w:rFonts w:ascii="Times New Roman" w:hAnsi="Times New Roman" w:cs="Times New Roman"/>
          <w:sz w:val="24"/>
          <w:szCs w:val="24"/>
        </w:rPr>
        <w:t>Working paper 586.</w:t>
      </w:r>
      <w:proofErr w:type="gramEnd"/>
      <w:r w:rsidR="002C547A">
        <w:rPr>
          <w:rFonts w:ascii="Times New Roman" w:hAnsi="Times New Roman" w:cs="Times New Roman"/>
          <w:sz w:val="24"/>
          <w:szCs w:val="24"/>
        </w:rPr>
        <w:t xml:space="preserve"> Addis Ababa</w:t>
      </w:r>
      <w:r w:rsidRPr="000D5ABE">
        <w:rPr>
          <w:rFonts w:ascii="Times New Roman" w:hAnsi="Times New Roman" w:cs="Times New Roman"/>
          <w:sz w:val="24"/>
          <w:szCs w:val="24"/>
        </w:rPr>
        <w:t>: African Trade Policy Centre.</w:t>
      </w:r>
    </w:p>
    <w:p w:rsidR="000D5ABE" w:rsidRPr="00BD085D" w:rsidRDefault="00BD085D" w:rsidP="00BD085D">
      <w:pPr>
        <w:autoSpaceDE w:val="0"/>
        <w:autoSpaceDN w:val="0"/>
        <w:adjustRightInd w:val="0"/>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Barasa E. W., Ouma, P. O. </w:t>
      </w:r>
      <w:r w:rsidR="000D5ABE" w:rsidRPr="000D5ABE">
        <w:rPr>
          <w:rFonts w:ascii="Times New Roman" w:hAnsi="Times New Roman" w:cs="Times New Roman"/>
          <w:sz w:val="24"/>
          <w:szCs w:val="24"/>
        </w:rPr>
        <w:t>and Okiro E. A.</w:t>
      </w:r>
      <w:r>
        <w:rPr>
          <w:rFonts w:ascii="Times New Roman" w:hAnsi="Times New Roman" w:cs="Times New Roman"/>
          <w:sz w:val="24"/>
          <w:szCs w:val="24"/>
        </w:rPr>
        <w:t>, 2020</w:t>
      </w:r>
      <w:r w:rsidR="000D5ABE" w:rsidRPr="000D5ABE">
        <w:rPr>
          <w:rFonts w:ascii="Times New Roman" w:hAnsi="Times New Roman" w:cs="Times New Roman"/>
          <w:sz w:val="24"/>
          <w:szCs w:val="24"/>
        </w:rPr>
        <w:t>.</w:t>
      </w:r>
      <w:proofErr w:type="gramEnd"/>
      <w:r w:rsidR="000D5ABE" w:rsidRPr="000D5ABE">
        <w:rPr>
          <w:rFonts w:ascii="Times New Roman" w:hAnsi="Times New Roman" w:cs="Times New Roman"/>
          <w:sz w:val="24"/>
          <w:szCs w:val="24"/>
        </w:rPr>
        <w:t xml:space="preserve"> </w:t>
      </w:r>
      <w:proofErr w:type="gramStart"/>
      <w:r w:rsidR="000D5ABE" w:rsidRPr="000D5ABE">
        <w:rPr>
          <w:rFonts w:ascii="Times New Roman" w:hAnsi="Times New Roman" w:cs="Times New Roman"/>
          <w:sz w:val="24"/>
          <w:szCs w:val="24"/>
        </w:rPr>
        <w:t xml:space="preserve">Assessing the </w:t>
      </w:r>
      <w:r>
        <w:rPr>
          <w:rFonts w:ascii="Times New Roman" w:hAnsi="Times New Roman" w:cs="Times New Roman"/>
          <w:sz w:val="24"/>
          <w:szCs w:val="24"/>
        </w:rPr>
        <w:t xml:space="preserve">hospital surge capacity of the </w:t>
      </w:r>
      <w:r w:rsidR="000D5ABE" w:rsidRPr="000D5ABE">
        <w:rPr>
          <w:rFonts w:ascii="Times New Roman" w:hAnsi="Times New Roman" w:cs="Times New Roman"/>
          <w:sz w:val="24"/>
          <w:szCs w:val="24"/>
        </w:rPr>
        <w:t>Kenyan Health system in the face of the COVID-19 pandemic.</w:t>
      </w:r>
      <w:proofErr w:type="gramEnd"/>
      <w:r w:rsidR="000D5ABE" w:rsidRPr="000D5ABE">
        <w:rPr>
          <w:rFonts w:ascii="Times New Roman" w:hAnsi="Times New Roman" w:cs="Times New Roman"/>
          <w:sz w:val="24"/>
          <w:szCs w:val="24"/>
        </w:rPr>
        <w:t xml:space="preserve"> </w:t>
      </w:r>
      <w:proofErr w:type="gramStart"/>
      <w:r w:rsidR="000D5ABE" w:rsidRPr="000D5ABE">
        <w:rPr>
          <w:rFonts w:ascii="Times New Roman" w:hAnsi="Times New Roman" w:cs="Times New Roman"/>
          <w:i/>
          <w:sz w:val="24"/>
          <w:szCs w:val="24"/>
        </w:rPr>
        <w:t>PLoS ONE</w:t>
      </w:r>
      <w:r w:rsidR="00D12966">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(7).</w:t>
      </w:r>
      <w:proofErr w:type="gramEnd"/>
      <w:r>
        <w:rPr>
          <w:rFonts w:ascii="Times New Roman" w:hAnsi="Times New Roman" w:cs="Times New Roman"/>
          <w:color w:val="000000"/>
          <w:sz w:val="24"/>
          <w:szCs w:val="24"/>
        </w:rPr>
        <w:t xml:space="preserve"> </w:t>
      </w:r>
      <w:r w:rsidR="000D5ABE" w:rsidRPr="000D5ABE">
        <w:rPr>
          <w:rFonts w:ascii="Times New Roman" w:hAnsi="Times New Roman" w:cs="Times New Roman"/>
          <w:color w:val="000000"/>
          <w:sz w:val="24"/>
          <w:szCs w:val="24"/>
        </w:rPr>
        <w:t xml:space="preserve"> </w:t>
      </w:r>
      <w:r w:rsidR="000D5ABE" w:rsidRPr="000D5ABE">
        <w:rPr>
          <w:rFonts w:ascii="Times New Roman" w:hAnsi="Times New Roman" w:cs="Times New Roman"/>
          <w:sz w:val="24"/>
          <w:szCs w:val="24"/>
        </w:rPr>
        <w:t>https://doi.org/10.1371/journal.pone.0236308</w:t>
      </w:r>
      <w:r w:rsidR="000D5ABE" w:rsidRPr="000D5ABE">
        <w:rPr>
          <w:rFonts w:ascii="Times New Roman" w:hAnsi="Times New Roman" w:cs="Times New Roman"/>
          <w:color w:val="2C5CFB"/>
          <w:sz w:val="24"/>
          <w:szCs w:val="24"/>
        </w:rPr>
        <w:t xml:space="preserve"> </w:t>
      </w:r>
    </w:p>
    <w:p w:rsidR="00BD085D" w:rsidRDefault="000D5ABE" w:rsidP="000D5ABE">
      <w:pPr>
        <w:spacing w:after="0" w:line="360" w:lineRule="auto"/>
        <w:ind w:left="720" w:hanging="720"/>
        <w:jc w:val="both"/>
        <w:rPr>
          <w:rFonts w:ascii="Times New Roman" w:hAnsi="Times New Roman" w:cs="Times New Roman"/>
          <w:noProof/>
          <w:sz w:val="24"/>
          <w:szCs w:val="24"/>
        </w:rPr>
      </w:pPr>
      <w:r w:rsidRPr="000D5ABE">
        <w:rPr>
          <w:rFonts w:ascii="Times New Roman" w:hAnsi="Times New Roman" w:cs="Times New Roman"/>
          <w:noProof/>
          <w:sz w:val="24"/>
          <w:szCs w:val="24"/>
        </w:rPr>
        <w:t>Buheji, M., Katiane, C.</w:t>
      </w:r>
      <w:r w:rsidR="00306388">
        <w:rPr>
          <w:rFonts w:ascii="Times New Roman" w:hAnsi="Times New Roman" w:cs="Times New Roman"/>
          <w:noProof/>
          <w:sz w:val="24"/>
          <w:szCs w:val="24"/>
        </w:rPr>
        <w:t xml:space="preserve"> </w:t>
      </w:r>
      <w:r w:rsidRPr="000D5ABE">
        <w:rPr>
          <w:rFonts w:ascii="Times New Roman" w:hAnsi="Times New Roman" w:cs="Times New Roman"/>
          <w:noProof/>
          <w:sz w:val="24"/>
          <w:szCs w:val="24"/>
        </w:rPr>
        <w:t>D., Beka, G., Mavric, B., Carmo de Souza, Y</w:t>
      </w:r>
      <w:r w:rsidR="007A012F">
        <w:rPr>
          <w:rFonts w:ascii="Times New Roman" w:hAnsi="Times New Roman" w:cs="Times New Roman"/>
          <w:noProof/>
          <w:sz w:val="24"/>
          <w:szCs w:val="24"/>
        </w:rPr>
        <w:t xml:space="preserve">. L., Silva, S. S. </w:t>
      </w:r>
      <w:r w:rsidR="00BD085D">
        <w:rPr>
          <w:rFonts w:ascii="Times New Roman" w:hAnsi="Times New Roman" w:cs="Times New Roman"/>
          <w:noProof/>
          <w:sz w:val="24"/>
          <w:szCs w:val="24"/>
        </w:rPr>
        <w:t xml:space="preserve">and Yein, </w:t>
      </w:r>
    </w:p>
    <w:p w:rsidR="00BD085D" w:rsidRDefault="00BD085D" w:rsidP="000D5ABE">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T. C.</w:t>
      </w:r>
      <w:r w:rsidR="000B03CF">
        <w:rPr>
          <w:rFonts w:ascii="Times New Roman" w:hAnsi="Times New Roman" w:cs="Times New Roman"/>
          <w:noProof/>
          <w:sz w:val="24"/>
          <w:szCs w:val="24"/>
        </w:rPr>
        <w:t>,</w:t>
      </w:r>
      <w:r>
        <w:rPr>
          <w:rFonts w:ascii="Times New Roman" w:hAnsi="Times New Roman" w:cs="Times New Roman"/>
          <w:noProof/>
          <w:sz w:val="24"/>
          <w:szCs w:val="24"/>
        </w:rPr>
        <w:t xml:space="preserve"> 2020</w:t>
      </w:r>
      <w:r w:rsidR="000D5ABE" w:rsidRPr="000D5ABE">
        <w:rPr>
          <w:rFonts w:ascii="Times New Roman" w:hAnsi="Times New Roman" w:cs="Times New Roman"/>
          <w:noProof/>
          <w:sz w:val="24"/>
          <w:szCs w:val="24"/>
        </w:rPr>
        <w:t xml:space="preserve">. The Extent of COVID-19 Pandemic Socio-Economic Impact on Global Poverty. A </w:t>
      </w:r>
    </w:p>
    <w:p w:rsidR="00BD085D" w:rsidRDefault="000D5ABE" w:rsidP="00BD085D">
      <w:pPr>
        <w:spacing w:after="0" w:line="360" w:lineRule="auto"/>
        <w:ind w:left="720" w:hanging="720"/>
        <w:jc w:val="both"/>
        <w:rPr>
          <w:rFonts w:ascii="Times New Roman" w:hAnsi="Times New Roman" w:cs="Times New Roman"/>
          <w:noProof/>
          <w:sz w:val="24"/>
          <w:szCs w:val="24"/>
        </w:rPr>
      </w:pPr>
      <w:r w:rsidRPr="000D5ABE">
        <w:rPr>
          <w:rFonts w:ascii="Times New Roman" w:hAnsi="Times New Roman" w:cs="Times New Roman"/>
          <w:noProof/>
          <w:sz w:val="24"/>
          <w:szCs w:val="24"/>
        </w:rPr>
        <w:t xml:space="preserve">Global Integrative Multidisciplinary Review. </w:t>
      </w:r>
      <w:r w:rsidRPr="000D5ABE">
        <w:rPr>
          <w:rFonts w:ascii="Times New Roman" w:hAnsi="Times New Roman" w:cs="Times New Roman"/>
          <w:i/>
          <w:iCs/>
          <w:noProof/>
          <w:sz w:val="24"/>
          <w:szCs w:val="24"/>
        </w:rPr>
        <w:t>American J</w:t>
      </w:r>
      <w:r w:rsidR="00BD085D">
        <w:rPr>
          <w:rFonts w:ascii="Times New Roman" w:hAnsi="Times New Roman" w:cs="Times New Roman"/>
          <w:i/>
          <w:iCs/>
          <w:noProof/>
          <w:sz w:val="24"/>
          <w:szCs w:val="24"/>
        </w:rPr>
        <w:t xml:space="preserve">ournal of Economics, </w:t>
      </w:r>
      <w:r w:rsidRPr="000D5ABE">
        <w:rPr>
          <w:rFonts w:ascii="Times New Roman" w:hAnsi="Times New Roman" w:cs="Times New Roman"/>
          <w:iCs/>
          <w:noProof/>
          <w:sz w:val="24"/>
          <w:szCs w:val="24"/>
        </w:rPr>
        <w:t>10</w:t>
      </w:r>
      <w:r w:rsidR="00BD085D">
        <w:rPr>
          <w:rFonts w:ascii="Times New Roman" w:hAnsi="Times New Roman" w:cs="Times New Roman"/>
          <w:noProof/>
          <w:sz w:val="24"/>
          <w:szCs w:val="24"/>
        </w:rPr>
        <w:t xml:space="preserve"> (4), pp. </w:t>
      </w:r>
      <w:r w:rsidRPr="000D5ABE">
        <w:rPr>
          <w:rFonts w:ascii="Times New Roman" w:hAnsi="Times New Roman" w:cs="Times New Roman"/>
          <w:noProof/>
          <w:sz w:val="24"/>
          <w:szCs w:val="24"/>
        </w:rPr>
        <w:t>213-</w:t>
      </w:r>
    </w:p>
    <w:p w:rsidR="000D5ABE" w:rsidRPr="00BD085D" w:rsidRDefault="00BD085D" w:rsidP="00BD085D">
      <w:pPr>
        <w:spacing w:line="360" w:lineRule="auto"/>
        <w:ind w:left="720" w:hanging="720"/>
        <w:jc w:val="both"/>
        <w:rPr>
          <w:rFonts w:ascii="Times New Roman" w:hAnsi="Times New Roman" w:cs="Times New Roman"/>
          <w:i/>
          <w:iCs/>
          <w:noProof/>
          <w:sz w:val="24"/>
          <w:szCs w:val="24"/>
        </w:rPr>
      </w:pPr>
      <w:r>
        <w:rPr>
          <w:rFonts w:ascii="Times New Roman" w:hAnsi="Times New Roman" w:cs="Times New Roman"/>
          <w:noProof/>
          <w:sz w:val="24"/>
          <w:szCs w:val="24"/>
        </w:rPr>
        <w:t xml:space="preserve">224. </w:t>
      </w:r>
      <w:r w:rsidR="000D5ABE" w:rsidRPr="000D5ABE">
        <w:rPr>
          <w:rFonts w:ascii="Times New Roman" w:hAnsi="Times New Roman" w:cs="Times New Roman"/>
          <w:noProof/>
          <w:sz w:val="24"/>
          <w:szCs w:val="24"/>
        </w:rPr>
        <w:t>https://doi.org/10.5923/j.economics.20201004.02.</w:t>
      </w:r>
    </w:p>
    <w:p w:rsidR="000D5ABE" w:rsidRPr="000D5ABE" w:rsidRDefault="00FF22B9" w:rsidP="008D3891">
      <w:pPr>
        <w:autoSpaceDE w:val="0"/>
        <w:autoSpaceDN w:val="0"/>
        <w:adjustRightInd w:val="0"/>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Cavallo, J. J., Donoho, D. A. </w:t>
      </w:r>
      <w:r w:rsidR="000D5ABE" w:rsidRPr="000D5ABE">
        <w:rPr>
          <w:rFonts w:ascii="Times New Roman" w:hAnsi="Times New Roman" w:cs="Times New Roman"/>
          <w:color w:val="000000"/>
          <w:sz w:val="24"/>
          <w:szCs w:val="24"/>
        </w:rPr>
        <w:t>and Forman, H. P.</w:t>
      </w:r>
      <w:r>
        <w:rPr>
          <w:rFonts w:ascii="Times New Roman" w:hAnsi="Times New Roman" w:cs="Times New Roman"/>
          <w:color w:val="000000"/>
          <w:sz w:val="24"/>
          <w:szCs w:val="24"/>
        </w:rPr>
        <w:t>,</w:t>
      </w:r>
      <w:r w:rsidR="007A012F">
        <w:rPr>
          <w:rFonts w:ascii="Times New Roman" w:hAnsi="Times New Roman" w:cs="Times New Roman"/>
          <w:color w:val="000000"/>
          <w:sz w:val="24"/>
          <w:szCs w:val="24"/>
        </w:rPr>
        <w:t xml:space="preserve"> 2020</w:t>
      </w:r>
      <w:r w:rsidR="000D5ABE" w:rsidRPr="000D5ABE">
        <w:rPr>
          <w:rFonts w:ascii="Times New Roman" w:hAnsi="Times New Roman" w:cs="Times New Roman"/>
          <w:color w:val="000000"/>
          <w:sz w:val="24"/>
          <w:szCs w:val="24"/>
        </w:rPr>
        <w:t>.</w:t>
      </w:r>
      <w:proofErr w:type="gramEnd"/>
      <w:r w:rsidR="000D5ABE" w:rsidRPr="000D5ABE">
        <w:rPr>
          <w:rFonts w:ascii="Times New Roman" w:hAnsi="Times New Roman" w:cs="Times New Roman"/>
          <w:color w:val="000000"/>
          <w:sz w:val="24"/>
          <w:szCs w:val="24"/>
        </w:rPr>
        <w:t xml:space="preserve"> </w:t>
      </w:r>
      <w:proofErr w:type="gramStart"/>
      <w:r w:rsidR="000D5ABE" w:rsidRPr="000D5ABE">
        <w:rPr>
          <w:rFonts w:ascii="Times New Roman" w:hAnsi="Times New Roman" w:cs="Times New Roman"/>
          <w:color w:val="000000"/>
          <w:sz w:val="24"/>
          <w:szCs w:val="24"/>
        </w:rPr>
        <w:t xml:space="preserve">Hospital </w:t>
      </w:r>
      <w:r w:rsidR="007A012F">
        <w:rPr>
          <w:rFonts w:ascii="Times New Roman" w:hAnsi="Times New Roman" w:cs="Times New Roman"/>
          <w:color w:val="000000"/>
          <w:sz w:val="24"/>
          <w:szCs w:val="24"/>
        </w:rPr>
        <w:t xml:space="preserve">Capacity and Operations in the </w:t>
      </w:r>
      <w:r w:rsidR="000D5ABE" w:rsidRPr="000D5ABE">
        <w:rPr>
          <w:rFonts w:ascii="Times New Roman" w:hAnsi="Times New Roman" w:cs="Times New Roman"/>
          <w:color w:val="000000"/>
          <w:sz w:val="24"/>
          <w:szCs w:val="24"/>
        </w:rPr>
        <w:t>Coronavirus Disease 2019 (COVID-19) Pandemic-Planning for the Nth Patient.</w:t>
      </w:r>
      <w:proofErr w:type="gramEnd"/>
      <w:r w:rsidR="000D5ABE" w:rsidRPr="000D5ABE">
        <w:rPr>
          <w:rFonts w:ascii="Times New Roman" w:hAnsi="Times New Roman" w:cs="Times New Roman"/>
          <w:color w:val="000000"/>
          <w:sz w:val="24"/>
          <w:szCs w:val="24"/>
        </w:rPr>
        <w:t xml:space="preserve"> </w:t>
      </w:r>
      <w:r w:rsidR="007A012F">
        <w:rPr>
          <w:rFonts w:ascii="Times New Roman" w:hAnsi="Times New Roman" w:cs="Times New Roman"/>
          <w:i/>
          <w:color w:val="000000"/>
          <w:sz w:val="24"/>
          <w:szCs w:val="24"/>
        </w:rPr>
        <w:t xml:space="preserve">JAMA </w:t>
      </w:r>
      <w:r w:rsidR="000D5ABE" w:rsidRPr="000D5ABE">
        <w:rPr>
          <w:rFonts w:ascii="Times New Roman" w:hAnsi="Times New Roman" w:cs="Times New Roman"/>
          <w:i/>
          <w:color w:val="000000"/>
          <w:sz w:val="24"/>
          <w:szCs w:val="24"/>
        </w:rPr>
        <w:t>Health Forum</w:t>
      </w:r>
      <w:r w:rsidR="000D5ABE" w:rsidRPr="000D5ABE">
        <w:rPr>
          <w:rFonts w:ascii="Times New Roman" w:hAnsi="Times New Roman" w:cs="Times New Roman"/>
          <w:color w:val="000000"/>
          <w:sz w:val="24"/>
          <w:szCs w:val="24"/>
        </w:rPr>
        <w:t xml:space="preserve">, </w:t>
      </w:r>
      <w:r w:rsidR="007A012F">
        <w:rPr>
          <w:rFonts w:ascii="Times New Roman" w:hAnsi="Times New Roman" w:cs="Times New Roman"/>
          <w:sz w:val="24"/>
          <w:szCs w:val="24"/>
        </w:rPr>
        <w:t>1 (3</w:t>
      </w:r>
      <w:proofErr w:type="gramStart"/>
      <w:r w:rsidR="007A012F">
        <w:rPr>
          <w:rFonts w:ascii="Times New Roman" w:hAnsi="Times New Roman" w:cs="Times New Roman"/>
          <w:sz w:val="24"/>
          <w:szCs w:val="24"/>
        </w:rPr>
        <w:t>)</w:t>
      </w:r>
      <w:r w:rsidR="008D3891">
        <w:rPr>
          <w:rFonts w:ascii="Times New Roman" w:hAnsi="Times New Roman" w:cs="Times New Roman"/>
          <w:sz w:val="24"/>
          <w:szCs w:val="24"/>
        </w:rPr>
        <w:t xml:space="preserve"> </w:t>
      </w:r>
      <w:r w:rsidR="008D3891" w:rsidRPr="008D3891">
        <w:rPr>
          <w:rFonts w:ascii="Times New Roman" w:hAnsi="Times New Roman" w:cs="Times New Roman"/>
          <w:color w:val="333333"/>
          <w:sz w:val="24"/>
          <w:szCs w:val="24"/>
        </w:rPr>
        <w:t>:</w:t>
      </w:r>
      <w:proofErr w:type="gramEnd"/>
      <w:r w:rsidR="008D3891" w:rsidRPr="008D3891">
        <w:rPr>
          <w:rFonts w:ascii="Times New Roman" w:hAnsi="Times New Roman" w:cs="Times New Roman"/>
          <w:color w:val="333333"/>
          <w:sz w:val="24"/>
          <w:szCs w:val="24"/>
        </w:rPr>
        <w:t>e200345</w:t>
      </w:r>
      <w:r w:rsidR="008D3891">
        <w:rPr>
          <w:rFonts w:ascii="Helvetica" w:hAnsi="Helvetica"/>
          <w:color w:val="333333"/>
          <w:sz w:val="21"/>
          <w:szCs w:val="21"/>
        </w:rPr>
        <w:t>.</w:t>
      </w:r>
      <w:r w:rsidR="000D5ABE" w:rsidRPr="000D5ABE">
        <w:rPr>
          <w:rFonts w:ascii="Times New Roman" w:hAnsi="Times New Roman" w:cs="Times New Roman"/>
          <w:sz w:val="24"/>
          <w:szCs w:val="24"/>
        </w:rPr>
        <w:t xml:space="preserve"> </w:t>
      </w:r>
      <w:r w:rsidR="007A012F" w:rsidRPr="000D5ABE">
        <w:rPr>
          <w:rFonts w:ascii="Times New Roman" w:hAnsi="Times New Roman" w:cs="Times New Roman"/>
          <w:noProof/>
          <w:sz w:val="24"/>
          <w:szCs w:val="24"/>
        </w:rPr>
        <w:t>https://doi.org/</w:t>
      </w:r>
      <w:r w:rsidR="000D5ABE" w:rsidRPr="000D5ABE">
        <w:rPr>
          <w:rFonts w:ascii="Times New Roman" w:hAnsi="Times New Roman" w:cs="Times New Roman"/>
          <w:sz w:val="24"/>
          <w:szCs w:val="24"/>
        </w:rPr>
        <w:t>10.1001/jamahealthforum.2020.0345.</w:t>
      </w:r>
    </w:p>
    <w:p w:rsidR="000D5ABE" w:rsidRPr="000D5ABE" w:rsidRDefault="003A2B70" w:rsidP="008A3E7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Coulibaly, S., 2021</w:t>
      </w:r>
      <w:r w:rsidR="000D5ABE" w:rsidRPr="000D5ABE">
        <w:rPr>
          <w:rFonts w:ascii="Times New Roman" w:hAnsi="Times New Roman" w:cs="Times New Roman"/>
          <w:sz w:val="24"/>
          <w:szCs w:val="24"/>
        </w:rPr>
        <w:t>.</w:t>
      </w:r>
      <w:proofErr w:type="gramEnd"/>
      <w:r w:rsidR="000D5ABE" w:rsidRPr="000D5ABE">
        <w:rPr>
          <w:rFonts w:ascii="Times New Roman" w:hAnsi="Times New Roman" w:cs="Times New Roman"/>
          <w:sz w:val="24"/>
          <w:szCs w:val="24"/>
        </w:rPr>
        <w:t xml:space="preserve"> </w:t>
      </w:r>
      <w:proofErr w:type="gramStart"/>
      <w:r w:rsidR="000D5ABE" w:rsidRPr="000D5ABE">
        <w:rPr>
          <w:rFonts w:ascii="Times New Roman" w:hAnsi="Times New Roman" w:cs="Times New Roman"/>
          <w:sz w:val="24"/>
          <w:szCs w:val="24"/>
        </w:rPr>
        <w:t>COVID-19 policy responses, inflation and</w:t>
      </w:r>
      <w:r>
        <w:rPr>
          <w:rFonts w:ascii="Times New Roman" w:hAnsi="Times New Roman" w:cs="Times New Roman"/>
          <w:sz w:val="24"/>
          <w:szCs w:val="24"/>
        </w:rPr>
        <w:t xml:space="preserve"> spillover effects in the West </w:t>
      </w:r>
      <w:r w:rsidR="000D5ABE" w:rsidRPr="000D5ABE">
        <w:rPr>
          <w:rFonts w:ascii="Times New Roman" w:hAnsi="Times New Roman" w:cs="Times New Roman"/>
          <w:sz w:val="24"/>
          <w:szCs w:val="24"/>
        </w:rPr>
        <w:t>African Economic and Monetary Union.</w:t>
      </w:r>
      <w:proofErr w:type="gramEnd"/>
      <w:r w:rsidR="000D5ABE" w:rsidRPr="000D5ABE">
        <w:rPr>
          <w:rFonts w:ascii="Times New Roman" w:hAnsi="Times New Roman" w:cs="Times New Roman"/>
          <w:sz w:val="24"/>
          <w:szCs w:val="24"/>
        </w:rPr>
        <w:t xml:space="preserve"> </w:t>
      </w:r>
      <w:proofErr w:type="gramStart"/>
      <w:r w:rsidR="000D5ABE" w:rsidRPr="000D5ABE">
        <w:rPr>
          <w:rFonts w:ascii="Times New Roman" w:hAnsi="Times New Roman" w:cs="Times New Roman"/>
          <w:i/>
          <w:sz w:val="24"/>
          <w:szCs w:val="24"/>
        </w:rPr>
        <w:t>African Development Review</w:t>
      </w:r>
      <w:r w:rsidR="000D5ABE" w:rsidRPr="000D5ABE">
        <w:rPr>
          <w:rFonts w:ascii="Times New Roman" w:hAnsi="Times New Roman" w:cs="Times New Roman"/>
          <w:sz w:val="24"/>
          <w:szCs w:val="24"/>
        </w:rPr>
        <w:t xml:space="preserve">, 33, </w:t>
      </w:r>
      <w:r w:rsidR="00475003">
        <w:rPr>
          <w:rFonts w:ascii="Times New Roman" w:hAnsi="Times New Roman" w:cs="Times New Roman"/>
          <w:sz w:val="24"/>
          <w:szCs w:val="24"/>
        </w:rPr>
        <w:t xml:space="preserve">pp. </w:t>
      </w:r>
      <w:r w:rsidR="000D5ABE" w:rsidRPr="000D5ABE">
        <w:rPr>
          <w:rFonts w:ascii="Times New Roman" w:hAnsi="Times New Roman" w:cs="Times New Roman"/>
          <w:sz w:val="24"/>
          <w:szCs w:val="24"/>
        </w:rPr>
        <w:t>S139-S151.</w:t>
      </w:r>
      <w:proofErr w:type="gramEnd"/>
    </w:p>
    <w:p w:rsidR="00160964" w:rsidRDefault="000D5ABE" w:rsidP="00160964">
      <w:pPr>
        <w:spacing w:after="0" w:line="360" w:lineRule="auto"/>
        <w:jc w:val="both"/>
        <w:rPr>
          <w:rFonts w:ascii="Times-Roman" w:hAnsi="Times-Roman" w:cs="Times-Roman"/>
          <w:sz w:val="24"/>
          <w:szCs w:val="24"/>
        </w:rPr>
      </w:pPr>
      <w:proofErr w:type="gramStart"/>
      <w:r w:rsidRPr="000D5ABE">
        <w:rPr>
          <w:rFonts w:ascii="Times-Roman" w:hAnsi="Times-Roman" w:cs="Times-Roman"/>
          <w:sz w:val="24"/>
          <w:szCs w:val="24"/>
        </w:rPr>
        <w:lastRenderedPageBreak/>
        <w:t>Craig, J</w:t>
      </w:r>
      <w:r w:rsidR="00475003">
        <w:rPr>
          <w:rFonts w:ascii="Times-Roman" w:hAnsi="Times-Roman" w:cs="Times-Roman"/>
          <w:sz w:val="24"/>
          <w:szCs w:val="24"/>
        </w:rPr>
        <w:t xml:space="preserve">., Kalanxhi, E. </w:t>
      </w:r>
      <w:r w:rsidR="00D6440B">
        <w:rPr>
          <w:rFonts w:ascii="Times-Roman" w:hAnsi="Times-Roman" w:cs="Times-Roman"/>
          <w:sz w:val="24"/>
          <w:szCs w:val="24"/>
        </w:rPr>
        <w:t>and Hauck, S., 2020</w:t>
      </w:r>
      <w:r w:rsidRPr="000D5ABE">
        <w:rPr>
          <w:rFonts w:ascii="Times-Roman" w:hAnsi="Times-Roman" w:cs="Times-Roman"/>
          <w:sz w:val="24"/>
          <w:szCs w:val="24"/>
        </w:rPr>
        <w:t>.</w:t>
      </w:r>
      <w:proofErr w:type="gramEnd"/>
      <w:r w:rsidRPr="000D5ABE">
        <w:rPr>
          <w:rFonts w:ascii="Times-Roman" w:hAnsi="Times-Roman" w:cs="Times-Roman"/>
          <w:sz w:val="24"/>
          <w:szCs w:val="24"/>
        </w:rPr>
        <w:t xml:space="preserve"> </w:t>
      </w:r>
      <w:proofErr w:type="gramStart"/>
      <w:r w:rsidRPr="000D5ABE">
        <w:rPr>
          <w:rFonts w:ascii="Times-Roman" w:hAnsi="Times-Roman" w:cs="Times-Roman"/>
          <w:i/>
          <w:sz w:val="24"/>
          <w:szCs w:val="24"/>
        </w:rPr>
        <w:t>National estimates o</w:t>
      </w:r>
      <w:r w:rsidR="00160964">
        <w:rPr>
          <w:rFonts w:ascii="Times-Roman" w:hAnsi="Times-Roman" w:cs="Times-Roman"/>
          <w:i/>
          <w:sz w:val="24"/>
          <w:szCs w:val="24"/>
        </w:rPr>
        <w:t xml:space="preserve">f critical care capacity in 54 </w:t>
      </w:r>
      <w:r w:rsidRPr="000D5ABE">
        <w:rPr>
          <w:rFonts w:ascii="Times-Roman" w:hAnsi="Times-Roman" w:cs="Times-Roman"/>
          <w:i/>
          <w:sz w:val="24"/>
          <w:szCs w:val="24"/>
        </w:rPr>
        <w:t>African countries</w:t>
      </w:r>
      <w:r w:rsidRPr="000D5ABE">
        <w:rPr>
          <w:rFonts w:ascii="Times-Roman" w:hAnsi="Times-Roman" w:cs="Times-Roman"/>
          <w:sz w:val="24"/>
          <w:szCs w:val="24"/>
        </w:rPr>
        <w:t>.</w:t>
      </w:r>
      <w:proofErr w:type="gramEnd"/>
      <w:r w:rsidRPr="000D5ABE">
        <w:rPr>
          <w:rFonts w:ascii="Times-Roman" w:hAnsi="Times-Roman" w:cs="Times-Roman"/>
          <w:sz w:val="24"/>
          <w:szCs w:val="24"/>
        </w:rPr>
        <w:t xml:space="preserve"> </w:t>
      </w:r>
      <w:proofErr w:type="gramStart"/>
      <w:r w:rsidRPr="000D5ABE">
        <w:rPr>
          <w:rFonts w:ascii="Times-Roman" w:hAnsi="Times-Roman" w:cs="Times-Roman"/>
          <w:sz w:val="24"/>
          <w:szCs w:val="24"/>
        </w:rPr>
        <w:t>Center for Disease Dynamics, Economics &amp;</w:t>
      </w:r>
      <w:r w:rsidR="00160964">
        <w:rPr>
          <w:rFonts w:ascii="Times-Roman" w:hAnsi="Times-Roman" w:cs="Times-Roman"/>
          <w:sz w:val="24"/>
          <w:szCs w:val="24"/>
        </w:rPr>
        <w:t xml:space="preserve"> Policy.</w:t>
      </w:r>
      <w:proofErr w:type="gramEnd"/>
      <w:r w:rsidRPr="000D5ABE">
        <w:rPr>
          <w:rFonts w:ascii="Times-Roman" w:hAnsi="Times-Roman" w:cs="Times-Roman"/>
          <w:sz w:val="24"/>
          <w:szCs w:val="24"/>
        </w:rPr>
        <w:t xml:space="preserve"> </w:t>
      </w:r>
    </w:p>
    <w:p w:rsidR="000D5ABE" w:rsidRPr="00160964" w:rsidRDefault="00160964" w:rsidP="0032210D">
      <w:pPr>
        <w:spacing w:line="360" w:lineRule="auto"/>
        <w:jc w:val="both"/>
        <w:rPr>
          <w:rFonts w:ascii="Times-Roman" w:hAnsi="Times-Roman" w:cs="Times-Roman"/>
          <w:i/>
          <w:sz w:val="24"/>
          <w:szCs w:val="24"/>
        </w:rPr>
      </w:pPr>
      <w:r w:rsidRPr="00160964">
        <w:rPr>
          <w:rFonts w:ascii="Times-Roman" w:hAnsi="Times-Roman" w:cs="Times-Roman"/>
          <w:sz w:val="24"/>
          <w:szCs w:val="24"/>
        </w:rPr>
        <w:t>http://dx.doi.org/10.1101/2020.05.13.20100727</w:t>
      </w:r>
      <w:r>
        <w:rPr>
          <w:rFonts w:ascii="Times-Roman" w:hAnsi="Times-Roman" w:cs="Times-Roman"/>
          <w:sz w:val="24"/>
          <w:szCs w:val="24"/>
        </w:rPr>
        <w:t>.</w:t>
      </w:r>
    </w:p>
    <w:p w:rsidR="00B4763B" w:rsidRDefault="00475003" w:rsidP="00A43FA6">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Dzigbede, K. D. and</w:t>
      </w:r>
      <w:r w:rsidR="000D5ABE" w:rsidRPr="000D5ABE">
        <w:rPr>
          <w:rFonts w:ascii="Times New Roman" w:hAnsi="Times New Roman" w:cs="Times New Roman"/>
          <w:noProof/>
          <w:sz w:val="24"/>
          <w:szCs w:val="24"/>
        </w:rPr>
        <w:t xml:space="preserve"> Pathak, R.</w:t>
      </w:r>
      <w:r w:rsidR="00D6440B">
        <w:rPr>
          <w:rFonts w:ascii="Times New Roman" w:hAnsi="Times New Roman" w:cs="Times New Roman"/>
          <w:noProof/>
          <w:sz w:val="24"/>
          <w:szCs w:val="24"/>
        </w:rPr>
        <w:t xml:space="preserve">, </w:t>
      </w:r>
      <w:r w:rsidR="000D5ABE" w:rsidRPr="000D5ABE">
        <w:rPr>
          <w:rFonts w:ascii="Times New Roman" w:hAnsi="Times New Roman" w:cs="Times New Roman"/>
          <w:noProof/>
          <w:sz w:val="24"/>
          <w:szCs w:val="24"/>
        </w:rPr>
        <w:t>2</w:t>
      </w:r>
      <w:r w:rsidR="00D6440B">
        <w:rPr>
          <w:rFonts w:ascii="Times New Roman" w:hAnsi="Times New Roman" w:cs="Times New Roman"/>
          <w:noProof/>
          <w:sz w:val="24"/>
          <w:szCs w:val="24"/>
        </w:rPr>
        <w:t>020</w:t>
      </w:r>
      <w:r w:rsidR="000D5ABE" w:rsidRPr="000D5ABE">
        <w:rPr>
          <w:rFonts w:ascii="Times New Roman" w:hAnsi="Times New Roman" w:cs="Times New Roman"/>
          <w:noProof/>
          <w:sz w:val="24"/>
          <w:szCs w:val="24"/>
        </w:rPr>
        <w:t>. COVID-19 economic shock</w:t>
      </w:r>
      <w:r w:rsidR="006F6EA7">
        <w:rPr>
          <w:rFonts w:ascii="Times New Roman" w:hAnsi="Times New Roman" w:cs="Times New Roman"/>
          <w:noProof/>
          <w:sz w:val="24"/>
          <w:szCs w:val="24"/>
        </w:rPr>
        <w:t xml:space="preserve">s and fiscal policy options for </w:t>
      </w:r>
    </w:p>
    <w:p w:rsidR="00B4763B" w:rsidRDefault="000D5ABE" w:rsidP="001036D3">
      <w:pPr>
        <w:spacing w:after="0" w:line="360" w:lineRule="auto"/>
        <w:jc w:val="both"/>
        <w:rPr>
          <w:rFonts w:ascii="Times New Roman" w:hAnsi="Times New Roman" w:cs="Times New Roman"/>
          <w:noProof/>
          <w:sz w:val="24"/>
          <w:szCs w:val="24"/>
        </w:rPr>
      </w:pPr>
      <w:r w:rsidRPr="000D5ABE">
        <w:rPr>
          <w:rFonts w:ascii="Times New Roman" w:hAnsi="Times New Roman" w:cs="Times New Roman"/>
          <w:noProof/>
          <w:sz w:val="24"/>
          <w:szCs w:val="24"/>
        </w:rPr>
        <w:t xml:space="preserve">Ghana. </w:t>
      </w:r>
      <w:r w:rsidRPr="000D5ABE">
        <w:rPr>
          <w:rFonts w:ascii="Times New Roman" w:hAnsi="Times New Roman" w:cs="Times New Roman"/>
          <w:i/>
          <w:iCs/>
          <w:noProof/>
          <w:sz w:val="24"/>
          <w:szCs w:val="24"/>
        </w:rPr>
        <w:t xml:space="preserve">Journal of Public Budgeting, Accounting &amp; Financial Management, </w:t>
      </w:r>
      <w:r w:rsidRPr="000D5ABE">
        <w:rPr>
          <w:rFonts w:ascii="Times New Roman" w:hAnsi="Times New Roman" w:cs="Times New Roman"/>
          <w:iCs/>
          <w:noProof/>
          <w:sz w:val="24"/>
          <w:szCs w:val="24"/>
        </w:rPr>
        <w:t>32</w:t>
      </w:r>
      <w:r w:rsidR="00D6440B">
        <w:rPr>
          <w:rFonts w:ascii="Times New Roman" w:hAnsi="Times New Roman" w:cs="Times New Roman"/>
          <w:noProof/>
          <w:sz w:val="24"/>
          <w:szCs w:val="24"/>
        </w:rPr>
        <w:t xml:space="preserve"> (5), pp. 903-917. </w:t>
      </w:r>
    </w:p>
    <w:p w:rsidR="000D5ABE" w:rsidRPr="000D5ABE" w:rsidRDefault="006473EA" w:rsidP="00B4763B">
      <w:pPr>
        <w:spacing w:line="360" w:lineRule="auto"/>
        <w:ind w:left="720" w:hanging="720"/>
        <w:jc w:val="both"/>
        <w:rPr>
          <w:rFonts w:ascii="Times New Roman" w:hAnsi="Times New Roman" w:cs="Times New Roman"/>
          <w:noProof/>
          <w:sz w:val="24"/>
          <w:szCs w:val="24"/>
        </w:rPr>
      </w:pPr>
      <w:hyperlink r:id="rId13" w:history="1">
        <w:r w:rsidR="000D5ABE" w:rsidRPr="007D5568">
          <w:rPr>
            <w:rFonts w:ascii="Times New Roman" w:hAnsi="Times New Roman" w:cs="Times New Roman"/>
            <w:noProof/>
            <w:sz w:val="24"/>
            <w:szCs w:val="24"/>
          </w:rPr>
          <w:t>https://doi.org/10.1108/JPBAFM-07-2020-0127</w:t>
        </w:r>
      </w:hyperlink>
      <w:r w:rsidR="007D5568" w:rsidRPr="007D5568">
        <w:rPr>
          <w:rFonts w:ascii="Times New Roman" w:hAnsi="Times New Roman" w:cs="Times New Roman"/>
          <w:noProof/>
          <w:sz w:val="24"/>
          <w:szCs w:val="24"/>
        </w:rPr>
        <w:t>.</w:t>
      </w:r>
    </w:p>
    <w:p w:rsidR="001036D3" w:rsidRDefault="000D5ABE" w:rsidP="00A43FA6">
      <w:pPr>
        <w:spacing w:after="0" w:line="360" w:lineRule="auto"/>
        <w:ind w:left="720" w:hanging="720"/>
        <w:jc w:val="both"/>
        <w:rPr>
          <w:rFonts w:ascii="Times New Roman" w:hAnsi="Times New Roman" w:cs="Times New Roman"/>
          <w:i/>
          <w:iCs/>
          <w:noProof/>
          <w:sz w:val="24"/>
          <w:szCs w:val="24"/>
        </w:rPr>
      </w:pPr>
      <w:r w:rsidRPr="000D5ABE">
        <w:rPr>
          <w:rFonts w:ascii="Times New Roman" w:hAnsi="Times New Roman" w:cs="Times New Roman"/>
          <w:noProof/>
          <w:sz w:val="24"/>
          <w:szCs w:val="24"/>
        </w:rPr>
        <w:t>Ebrahimy</w:t>
      </w:r>
      <w:r w:rsidR="00475003">
        <w:rPr>
          <w:rFonts w:ascii="Times New Roman" w:hAnsi="Times New Roman" w:cs="Times New Roman"/>
          <w:noProof/>
          <w:sz w:val="24"/>
          <w:szCs w:val="24"/>
        </w:rPr>
        <w:t>, E., Igan, D. and</w:t>
      </w:r>
      <w:r w:rsidR="001036D3">
        <w:rPr>
          <w:rFonts w:ascii="Times New Roman" w:hAnsi="Times New Roman" w:cs="Times New Roman"/>
          <w:noProof/>
          <w:sz w:val="24"/>
          <w:szCs w:val="24"/>
        </w:rPr>
        <w:t xml:space="preserve"> Peria, S. M., 2020</w:t>
      </w:r>
      <w:r w:rsidRPr="000D5ABE">
        <w:rPr>
          <w:rFonts w:ascii="Times New Roman" w:hAnsi="Times New Roman" w:cs="Times New Roman"/>
          <w:noProof/>
          <w:sz w:val="24"/>
          <w:szCs w:val="24"/>
        </w:rPr>
        <w:t xml:space="preserve">. </w:t>
      </w:r>
      <w:r w:rsidRPr="000D5ABE">
        <w:rPr>
          <w:rFonts w:ascii="Times New Roman" w:hAnsi="Times New Roman" w:cs="Times New Roman"/>
          <w:i/>
          <w:iCs/>
          <w:noProof/>
          <w:sz w:val="24"/>
          <w:szCs w:val="24"/>
        </w:rPr>
        <w:t>The Impact of C</w:t>
      </w:r>
      <w:r w:rsidR="001036D3">
        <w:rPr>
          <w:rFonts w:ascii="Times New Roman" w:hAnsi="Times New Roman" w:cs="Times New Roman"/>
          <w:i/>
          <w:iCs/>
          <w:noProof/>
          <w:sz w:val="24"/>
          <w:szCs w:val="24"/>
        </w:rPr>
        <w:t xml:space="preserve">ovid-19 on Inflation: Potential </w:t>
      </w:r>
    </w:p>
    <w:p w:rsidR="001036D3" w:rsidRDefault="000D5ABE" w:rsidP="00A43FA6">
      <w:pPr>
        <w:spacing w:after="0" w:line="360" w:lineRule="auto"/>
        <w:ind w:left="720" w:hanging="720"/>
        <w:jc w:val="both"/>
        <w:rPr>
          <w:rFonts w:ascii="Times New Roman" w:hAnsi="Times New Roman" w:cs="Times New Roman"/>
          <w:noProof/>
          <w:sz w:val="24"/>
          <w:szCs w:val="24"/>
        </w:rPr>
      </w:pPr>
      <w:r w:rsidRPr="000D5ABE">
        <w:rPr>
          <w:rFonts w:ascii="Times New Roman" w:hAnsi="Times New Roman" w:cs="Times New Roman"/>
          <w:i/>
          <w:iCs/>
          <w:noProof/>
          <w:sz w:val="24"/>
          <w:szCs w:val="24"/>
        </w:rPr>
        <w:t>Drivers and Dynamics. Research Special Notes Series on Covid-19.</w:t>
      </w:r>
      <w:r w:rsidRPr="000D5ABE">
        <w:rPr>
          <w:rFonts w:ascii="Times New Roman" w:hAnsi="Times New Roman" w:cs="Times New Roman"/>
          <w:noProof/>
          <w:sz w:val="24"/>
          <w:szCs w:val="24"/>
        </w:rPr>
        <w:t xml:space="preserve"> Washington, D.C.: </w:t>
      </w:r>
    </w:p>
    <w:p w:rsidR="000D5ABE" w:rsidRPr="000D5ABE" w:rsidRDefault="001036D3" w:rsidP="001036D3">
      <w:pPr>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International Monetary Fund (</w:t>
      </w:r>
      <w:r w:rsidR="000D5ABE" w:rsidRPr="000D5ABE">
        <w:rPr>
          <w:rFonts w:ascii="Times New Roman" w:hAnsi="Times New Roman" w:cs="Times New Roman"/>
          <w:noProof/>
          <w:sz w:val="24"/>
          <w:szCs w:val="24"/>
        </w:rPr>
        <w:t>IMF).</w:t>
      </w:r>
    </w:p>
    <w:p w:rsidR="00475003" w:rsidRDefault="00475003" w:rsidP="00475003">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Erokhin, V. and</w:t>
      </w:r>
      <w:r w:rsidR="000D5ABE" w:rsidRPr="000D5ABE">
        <w:rPr>
          <w:rFonts w:ascii="Times New Roman" w:hAnsi="Times New Roman" w:cs="Times New Roman"/>
          <w:noProof/>
          <w:sz w:val="24"/>
          <w:szCs w:val="24"/>
        </w:rPr>
        <w:t xml:space="preserve"> Gao, T. (2020). Impacts of COVID-19 on Trade and Economic Aspects of Food </w:t>
      </w:r>
    </w:p>
    <w:p w:rsidR="00475003" w:rsidRDefault="000D5ABE" w:rsidP="00475003">
      <w:pPr>
        <w:spacing w:after="0" w:line="360" w:lineRule="auto"/>
        <w:jc w:val="both"/>
        <w:rPr>
          <w:rFonts w:ascii="Times New Roman" w:hAnsi="Times New Roman" w:cs="Times New Roman"/>
          <w:i/>
          <w:iCs/>
          <w:noProof/>
          <w:sz w:val="24"/>
          <w:szCs w:val="24"/>
        </w:rPr>
      </w:pPr>
      <w:r w:rsidRPr="000D5ABE">
        <w:rPr>
          <w:rFonts w:ascii="Times New Roman" w:hAnsi="Times New Roman" w:cs="Times New Roman"/>
          <w:noProof/>
          <w:sz w:val="24"/>
          <w:szCs w:val="24"/>
        </w:rPr>
        <w:t xml:space="preserve">Security: Evidence from 45 Developing Countries. </w:t>
      </w:r>
      <w:r w:rsidRPr="000D5ABE">
        <w:rPr>
          <w:rFonts w:ascii="Times New Roman" w:hAnsi="Times New Roman" w:cs="Times New Roman"/>
          <w:i/>
          <w:iCs/>
          <w:noProof/>
          <w:sz w:val="24"/>
          <w:szCs w:val="24"/>
        </w:rPr>
        <w:t xml:space="preserve">International Journal of Environmental </w:t>
      </w:r>
    </w:p>
    <w:p w:rsidR="000D5ABE" w:rsidRPr="000D5ABE" w:rsidRDefault="000D5ABE" w:rsidP="00475003">
      <w:pPr>
        <w:spacing w:line="360" w:lineRule="auto"/>
        <w:ind w:left="720" w:hanging="720"/>
        <w:jc w:val="both"/>
        <w:rPr>
          <w:rFonts w:ascii="Times New Roman" w:hAnsi="Times New Roman" w:cs="Times New Roman"/>
          <w:noProof/>
          <w:sz w:val="24"/>
          <w:szCs w:val="24"/>
        </w:rPr>
      </w:pPr>
      <w:r w:rsidRPr="000D5ABE">
        <w:rPr>
          <w:rFonts w:ascii="Times New Roman" w:hAnsi="Times New Roman" w:cs="Times New Roman"/>
          <w:i/>
          <w:iCs/>
          <w:noProof/>
          <w:sz w:val="24"/>
          <w:szCs w:val="24"/>
        </w:rPr>
        <w:t xml:space="preserve">Research and Public Health, </w:t>
      </w:r>
      <w:r w:rsidRPr="000D5ABE">
        <w:rPr>
          <w:rFonts w:ascii="Times New Roman" w:hAnsi="Times New Roman" w:cs="Times New Roman"/>
          <w:iCs/>
          <w:noProof/>
          <w:sz w:val="24"/>
          <w:szCs w:val="24"/>
        </w:rPr>
        <w:t>17</w:t>
      </w:r>
      <w:r w:rsidRPr="000D5ABE">
        <w:rPr>
          <w:rFonts w:ascii="Times New Roman" w:hAnsi="Times New Roman" w:cs="Times New Roman"/>
          <w:noProof/>
          <w:sz w:val="24"/>
          <w:szCs w:val="24"/>
        </w:rPr>
        <w:t xml:space="preserve">, </w:t>
      </w:r>
      <w:r w:rsidR="00475003">
        <w:rPr>
          <w:rFonts w:ascii="Times New Roman" w:hAnsi="Times New Roman" w:cs="Times New Roman"/>
          <w:noProof/>
          <w:sz w:val="24"/>
          <w:szCs w:val="24"/>
        </w:rPr>
        <w:t>pp. 5775-</w:t>
      </w:r>
      <w:r w:rsidRPr="000D5ABE">
        <w:rPr>
          <w:rFonts w:ascii="Times New Roman" w:hAnsi="Times New Roman" w:cs="Times New Roman"/>
          <w:noProof/>
          <w:sz w:val="24"/>
          <w:szCs w:val="24"/>
        </w:rPr>
        <w:t>5803. http://dx.doi.org/10.3390/ijerph17165775.</w:t>
      </w:r>
    </w:p>
    <w:p w:rsidR="000D5ABE" w:rsidRPr="00D07CAD" w:rsidRDefault="000D5ABE" w:rsidP="00D07CAD">
      <w:pPr>
        <w:autoSpaceDE w:val="0"/>
        <w:autoSpaceDN w:val="0"/>
        <w:adjustRightInd w:val="0"/>
        <w:spacing w:line="360" w:lineRule="auto"/>
        <w:jc w:val="both"/>
        <w:rPr>
          <w:rFonts w:ascii="Times New Roman" w:hAnsi="Times New Roman" w:cs="Times New Roman"/>
          <w:i/>
          <w:color w:val="000000"/>
          <w:sz w:val="24"/>
          <w:szCs w:val="24"/>
        </w:rPr>
      </w:pPr>
      <w:proofErr w:type="gramStart"/>
      <w:r w:rsidRPr="000D5ABE">
        <w:rPr>
          <w:rFonts w:ascii="Times New Roman" w:hAnsi="Times New Roman" w:cs="Times New Roman"/>
          <w:color w:val="000000"/>
          <w:sz w:val="24"/>
          <w:szCs w:val="24"/>
        </w:rPr>
        <w:t>European</w:t>
      </w:r>
      <w:r w:rsidR="00D07CAD">
        <w:rPr>
          <w:rFonts w:ascii="Times New Roman" w:hAnsi="Times New Roman" w:cs="Times New Roman"/>
          <w:color w:val="000000"/>
          <w:sz w:val="24"/>
          <w:szCs w:val="24"/>
        </w:rPr>
        <w:t xml:space="preserve"> Society of Anesthesiology.</w:t>
      </w:r>
      <w:proofErr w:type="gramEnd"/>
      <w:r w:rsidR="00D07CAD">
        <w:rPr>
          <w:rFonts w:ascii="Times New Roman" w:hAnsi="Times New Roman" w:cs="Times New Roman"/>
          <w:color w:val="000000"/>
          <w:sz w:val="24"/>
          <w:szCs w:val="24"/>
        </w:rPr>
        <w:t xml:space="preserve"> 2020</w:t>
      </w:r>
      <w:r w:rsidRPr="000D5ABE">
        <w:rPr>
          <w:rFonts w:ascii="Times New Roman" w:hAnsi="Times New Roman" w:cs="Times New Roman"/>
          <w:color w:val="000000"/>
          <w:sz w:val="24"/>
          <w:szCs w:val="24"/>
        </w:rPr>
        <w:t xml:space="preserve">. </w:t>
      </w:r>
      <w:r w:rsidRPr="000D5ABE">
        <w:rPr>
          <w:rFonts w:ascii="Times New Roman" w:hAnsi="Times New Roman" w:cs="Times New Roman"/>
          <w:i/>
          <w:color w:val="000000"/>
          <w:sz w:val="24"/>
          <w:szCs w:val="24"/>
        </w:rPr>
        <w:t xml:space="preserve">Analysis </w:t>
      </w:r>
      <w:r w:rsidR="00D07CAD">
        <w:rPr>
          <w:rFonts w:ascii="Times New Roman" w:hAnsi="Times New Roman" w:cs="Times New Roman"/>
          <w:i/>
          <w:color w:val="000000"/>
          <w:sz w:val="24"/>
          <w:szCs w:val="24"/>
        </w:rPr>
        <w:t xml:space="preserve">of COVID-19 data on numbers in </w:t>
      </w:r>
      <w:r w:rsidRPr="000D5ABE">
        <w:rPr>
          <w:rFonts w:ascii="Times New Roman" w:hAnsi="Times New Roman" w:cs="Times New Roman"/>
          <w:i/>
          <w:color w:val="000000"/>
          <w:sz w:val="24"/>
          <w:szCs w:val="24"/>
        </w:rPr>
        <w:t>intensive care from Italy</w:t>
      </w:r>
      <w:r w:rsidR="0038753E">
        <w:rPr>
          <w:rFonts w:ascii="Times New Roman" w:hAnsi="Times New Roman" w:cs="Times New Roman"/>
          <w:color w:val="000000"/>
          <w:sz w:val="24"/>
          <w:szCs w:val="24"/>
        </w:rPr>
        <w:t xml:space="preserve">. </w:t>
      </w:r>
      <w:r w:rsidRPr="000D5ABE">
        <w:rPr>
          <w:rFonts w:ascii="Times New Roman" w:hAnsi="Times New Roman" w:cs="Times New Roman"/>
          <w:sz w:val="24"/>
          <w:szCs w:val="24"/>
        </w:rPr>
        <w:t>https://www.</w:t>
      </w:r>
      <w:bookmarkStart w:id="9" w:name="_GoBack"/>
      <w:bookmarkEnd w:id="9"/>
      <w:r w:rsidRPr="000D5ABE">
        <w:rPr>
          <w:rFonts w:ascii="Times New Roman" w:hAnsi="Times New Roman" w:cs="Times New Roman"/>
          <w:sz w:val="24"/>
          <w:szCs w:val="24"/>
        </w:rPr>
        <w:t xml:space="preserve">esahq.org/esa-news/analysis-ofcovid-19-data-on- numbers-in-intensive-care-from-italy-european-society-of-anaesthesiology-esa. </w:t>
      </w:r>
      <w:r w:rsidRPr="000D5ABE">
        <w:rPr>
          <w:rFonts w:ascii="Times New Roman" w:hAnsi="Times New Roman" w:cs="Times New Roman"/>
          <w:color w:val="2C5CFB"/>
          <w:sz w:val="24"/>
          <w:szCs w:val="24"/>
        </w:rPr>
        <w:t xml:space="preserve">  </w:t>
      </w:r>
    </w:p>
    <w:p w:rsidR="00D45B6F" w:rsidRPr="000D5ABE" w:rsidRDefault="00D45B6F" w:rsidP="00D45B6F">
      <w:pPr>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Hausman, J. A., 1978</w:t>
      </w:r>
      <w:r w:rsidR="000D5ABE" w:rsidRPr="000D5ABE">
        <w:rPr>
          <w:rFonts w:ascii="Times New Roman" w:hAnsi="Times New Roman" w:cs="Times New Roman"/>
          <w:noProof/>
          <w:sz w:val="24"/>
          <w:szCs w:val="24"/>
        </w:rPr>
        <w:t xml:space="preserve">. Specification Test in Econometrics. </w:t>
      </w:r>
      <w:r w:rsidR="000D5ABE" w:rsidRPr="000D5ABE">
        <w:rPr>
          <w:rFonts w:ascii="Times New Roman" w:hAnsi="Times New Roman" w:cs="Times New Roman"/>
          <w:i/>
          <w:iCs/>
          <w:noProof/>
          <w:sz w:val="24"/>
          <w:szCs w:val="24"/>
        </w:rPr>
        <w:t xml:space="preserve">Econometrica, </w:t>
      </w:r>
      <w:r w:rsidR="000D5ABE" w:rsidRPr="000D5ABE">
        <w:rPr>
          <w:rFonts w:ascii="Times New Roman" w:hAnsi="Times New Roman" w:cs="Times New Roman"/>
          <w:iCs/>
          <w:noProof/>
          <w:sz w:val="24"/>
          <w:szCs w:val="24"/>
        </w:rPr>
        <w:t>46</w:t>
      </w:r>
      <w:r>
        <w:rPr>
          <w:rFonts w:ascii="Times New Roman" w:hAnsi="Times New Roman" w:cs="Times New Roman"/>
          <w:noProof/>
          <w:sz w:val="24"/>
          <w:szCs w:val="24"/>
        </w:rPr>
        <w:t xml:space="preserve"> (6), pp. </w:t>
      </w:r>
      <w:r w:rsidR="000D5ABE" w:rsidRPr="000D5ABE">
        <w:rPr>
          <w:rFonts w:ascii="Times New Roman" w:hAnsi="Times New Roman" w:cs="Times New Roman"/>
          <w:noProof/>
          <w:sz w:val="24"/>
          <w:szCs w:val="24"/>
        </w:rPr>
        <w:t>1251-1271.</w:t>
      </w:r>
    </w:p>
    <w:p w:rsidR="00D45B6F" w:rsidRDefault="000D5ABE" w:rsidP="006F6EA7">
      <w:pPr>
        <w:spacing w:after="0" w:line="360" w:lineRule="auto"/>
        <w:ind w:left="720" w:hanging="720"/>
        <w:jc w:val="both"/>
        <w:rPr>
          <w:rFonts w:ascii="Times New Roman" w:hAnsi="Times New Roman" w:cs="Times New Roman"/>
          <w:i/>
          <w:iCs/>
          <w:noProof/>
          <w:sz w:val="24"/>
          <w:szCs w:val="24"/>
        </w:rPr>
      </w:pPr>
      <w:r w:rsidRPr="000D5ABE">
        <w:rPr>
          <w:rFonts w:ascii="Times New Roman" w:hAnsi="Times New Roman" w:cs="Times New Roman"/>
          <w:noProof/>
          <w:sz w:val="24"/>
          <w:szCs w:val="24"/>
        </w:rPr>
        <w:t>Hurnik</w:t>
      </w:r>
      <w:r w:rsidR="00D45B6F">
        <w:rPr>
          <w:rFonts w:ascii="Times New Roman" w:hAnsi="Times New Roman" w:cs="Times New Roman"/>
          <w:noProof/>
          <w:sz w:val="24"/>
          <w:szCs w:val="24"/>
        </w:rPr>
        <w:t>, J., Kober, C., Plotikov, S. and Vavra, D., 2020</w:t>
      </w:r>
      <w:r w:rsidRPr="000D5ABE">
        <w:rPr>
          <w:rFonts w:ascii="Times New Roman" w:hAnsi="Times New Roman" w:cs="Times New Roman"/>
          <w:noProof/>
          <w:sz w:val="24"/>
          <w:szCs w:val="24"/>
        </w:rPr>
        <w:t xml:space="preserve">. </w:t>
      </w:r>
      <w:r w:rsidRPr="000D5ABE">
        <w:rPr>
          <w:rFonts w:ascii="Times New Roman" w:hAnsi="Times New Roman" w:cs="Times New Roman"/>
          <w:i/>
          <w:iCs/>
          <w:noProof/>
          <w:sz w:val="24"/>
          <w:szCs w:val="24"/>
        </w:rPr>
        <w:t>So</w:t>
      </w:r>
      <w:r w:rsidR="00D45B6F">
        <w:rPr>
          <w:rFonts w:ascii="Times New Roman" w:hAnsi="Times New Roman" w:cs="Times New Roman"/>
          <w:i/>
          <w:iCs/>
          <w:noProof/>
          <w:sz w:val="24"/>
          <w:szCs w:val="24"/>
        </w:rPr>
        <w:t xml:space="preserve">cio-economic Impact Analysis of </w:t>
      </w:r>
    </w:p>
    <w:p w:rsidR="00D45B6F" w:rsidRPr="00D45B6F" w:rsidRDefault="00D45B6F" w:rsidP="006F6EA7">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i/>
          <w:iCs/>
          <w:noProof/>
          <w:sz w:val="24"/>
          <w:szCs w:val="24"/>
        </w:rPr>
        <w:t xml:space="preserve">COVID-19. </w:t>
      </w:r>
      <w:r w:rsidRPr="00D45B6F">
        <w:rPr>
          <w:rFonts w:ascii="Times New Roman" w:hAnsi="Times New Roman" w:cs="Times New Roman"/>
          <w:iCs/>
          <w:noProof/>
          <w:sz w:val="24"/>
          <w:szCs w:val="24"/>
        </w:rPr>
        <w:t>UNICEF</w:t>
      </w:r>
      <w:r w:rsidR="000D5ABE" w:rsidRPr="000D5ABE">
        <w:rPr>
          <w:rFonts w:ascii="Times New Roman" w:hAnsi="Times New Roman" w:cs="Times New Roman"/>
          <w:iCs/>
          <w:noProof/>
          <w:sz w:val="24"/>
          <w:szCs w:val="24"/>
        </w:rPr>
        <w:t>.</w:t>
      </w:r>
      <w:r w:rsidR="000D5ABE" w:rsidRPr="000D5ABE">
        <w:rPr>
          <w:rFonts w:ascii="Times New Roman" w:hAnsi="Times New Roman" w:cs="Times New Roman"/>
          <w:noProof/>
          <w:sz w:val="24"/>
          <w:szCs w:val="24"/>
        </w:rPr>
        <w:t xml:space="preserve"> </w:t>
      </w:r>
      <w:hyperlink r:id="rId14" w:history="1">
        <w:r w:rsidRPr="00D45B6F">
          <w:rPr>
            <w:rStyle w:val="Hyperlink"/>
            <w:rFonts w:ascii="Times New Roman" w:hAnsi="Times New Roman" w:cs="Times New Roman"/>
            <w:noProof/>
            <w:color w:val="auto"/>
            <w:sz w:val="24"/>
            <w:szCs w:val="24"/>
            <w:u w:val="none"/>
          </w:rPr>
          <w:t>https://www.unicef.org/ethiopia/reports/socio-economic-impact-analysis-</w:t>
        </w:r>
      </w:hyperlink>
    </w:p>
    <w:p w:rsidR="000D5ABE" w:rsidRPr="00D45B6F" w:rsidRDefault="00D45B6F" w:rsidP="00D45B6F">
      <w:pPr>
        <w:spacing w:line="360" w:lineRule="auto"/>
        <w:ind w:left="720" w:hanging="720"/>
        <w:jc w:val="both"/>
        <w:rPr>
          <w:rFonts w:ascii="Times New Roman" w:hAnsi="Times New Roman" w:cs="Times New Roman"/>
          <w:noProof/>
          <w:sz w:val="24"/>
          <w:szCs w:val="24"/>
        </w:rPr>
      </w:pPr>
      <w:r w:rsidRPr="00D45B6F">
        <w:rPr>
          <w:rFonts w:ascii="Times New Roman" w:hAnsi="Times New Roman" w:cs="Times New Roman"/>
          <w:noProof/>
          <w:sz w:val="24"/>
          <w:szCs w:val="24"/>
        </w:rPr>
        <w:t>covid-19</w:t>
      </w:r>
      <w:r>
        <w:rPr>
          <w:rFonts w:ascii="Times New Roman" w:hAnsi="Times New Roman" w:cs="Times New Roman"/>
          <w:noProof/>
          <w:sz w:val="24"/>
          <w:szCs w:val="24"/>
        </w:rPr>
        <w:t>.</w:t>
      </w:r>
    </w:p>
    <w:p w:rsidR="000D5ABE" w:rsidRPr="000D5ABE" w:rsidRDefault="00BE4826" w:rsidP="007412C2">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IEA.</w:t>
      </w:r>
      <w:proofErr w:type="gramEnd"/>
      <w:r w:rsidR="00B21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2020</w:t>
      </w:r>
      <w:r w:rsidR="000D5ABE" w:rsidRPr="000D5ABE">
        <w:rPr>
          <w:rFonts w:ascii="Times New Roman" w:eastAsia="Times New Roman" w:hAnsi="Times New Roman" w:cs="Times New Roman"/>
          <w:sz w:val="24"/>
          <w:szCs w:val="24"/>
        </w:rPr>
        <w:t xml:space="preserve">. </w:t>
      </w:r>
      <w:r w:rsidR="000D5ABE" w:rsidRPr="000D5ABE">
        <w:rPr>
          <w:rFonts w:ascii="Times New Roman" w:eastAsia="Times New Roman" w:hAnsi="Times New Roman" w:cs="Times New Roman"/>
          <w:i/>
          <w:iCs/>
          <w:sz w:val="24"/>
          <w:szCs w:val="24"/>
        </w:rPr>
        <w:t>Oil Market Report - August 2020</w:t>
      </w:r>
      <w:r w:rsidR="002C0C60">
        <w:rPr>
          <w:rFonts w:ascii="Times New Roman" w:eastAsia="Times New Roman" w:hAnsi="Times New Roman" w:cs="Times New Roman"/>
          <w:sz w:val="24"/>
          <w:szCs w:val="24"/>
        </w:rPr>
        <w:t xml:space="preserve">. </w:t>
      </w:r>
      <w:hyperlink r:id="rId15" w:tgtFrame="_blank" w:history="1">
        <w:r w:rsidR="000D5ABE" w:rsidRPr="000D5ABE">
          <w:rPr>
            <w:rFonts w:ascii="Times New Roman" w:eastAsia="Times New Roman" w:hAnsi="Times New Roman" w:cs="Times New Roman"/>
            <w:sz w:val="24"/>
            <w:szCs w:val="24"/>
          </w:rPr>
          <w:t>https://www.iea.org/reports/oil-market-report-august-2020</w:t>
        </w:r>
      </w:hyperlink>
      <w:r>
        <w:rPr>
          <w:rFonts w:ascii="Times New Roman" w:eastAsia="Times New Roman" w:hAnsi="Times New Roman" w:cs="Times New Roman"/>
          <w:sz w:val="24"/>
          <w:szCs w:val="24"/>
        </w:rPr>
        <w:t xml:space="preserve"> [Accessed on </w:t>
      </w:r>
      <w:r w:rsidR="000D5ABE" w:rsidRPr="000D5ABE">
        <w:rPr>
          <w:rFonts w:ascii="Times New Roman" w:eastAsia="Times New Roman" w:hAnsi="Times New Roman" w:cs="Times New Roman"/>
          <w:sz w:val="24"/>
          <w:szCs w:val="24"/>
        </w:rPr>
        <w:t>September </w:t>
      </w:r>
      <w:r>
        <w:rPr>
          <w:rFonts w:ascii="Times New Roman" w:eastAsia="Times New Roman" w:hAnsi="Times New Roman" w:cs="Times New Roman"/>
          <w:sz w:val="24"/>
          <w:szCs w:val="24"/>
        </w:rPr>
        <w:t xml:space="preserve">12, </w:t>
      </w:r>
      <w:r w:rsidR="000D5ABE" w:rsidRPr="000D5ABE">
        <w:rPr>
          <w:rFonts w:ascii="Times New Roman" w:eastAsia="Times New Roman" w:hAnsi="Times New Roman" w:cs="Times New Roman"/>
          <w:sz w:val="24"/>
          <w:szCs w:val="24"/>
        </w:rPr>
        <w:t>2020].</w:t>
      </w:r>
    </w:p>
    <w:p w:rsidR="000D5ABE" w:rsidRPr="00AF46AC" w:rsidRDefault="000D5ABE" w:rsidP="00AF46AC">
      <w:pPr>
        <w:spacing w:line="360" w:lineRule="auto"/>
        <w:jc w:val="both"/>
        <w:rPr>
          <w:rFonts w:ascii="Times New Roman" w:hAnsi="Times New Roman" w:cs="Times New Roman"/>
          <w:i/>
          <w:sz w:val="24"/>
          <w:szCs w:val="24"/>
        </w:rPr>
      </w:pPr>
      <w:r w:rsidRPr="000D5ABE">
        <w:rPr>
          <w:rFonts w:ascii="Times New Roman" w:hAnsi="Times New Roman" w:cs="Times New Roman"/>
          <w:sz w:val="24"/>
          <w:szCs w:val="24"/>
        </w:rPr>
        <w:t>Institute for He</w:t>
      </w:r>
      <w:r w:rsidR="00BE4826">
        <w:rPr>
          <w:rFonts w:ascii="Times New Roman" w:hAnsi="Times New Roman" w:cs="Times New Roman"/>
          <w:sz w:val="24"/>
          <w:szCs w:val="24"/>
        </w:rPr>
        <w:t>alth Metrics and Evaluation. 2020</w:t>
      </w:r>
      <w:r w:rsidRPr="000D5ABE">
        <w:rPr>
          <w:rFonts w:ascii="Times New Roman" w:hAnsi="Times New Roman" w:cs="Times New Roman"/>
          <w:sz w:val="24"/>
          <w:szCs w:val="24"/>
        </w:rPr>
        <w:t xml:space="preserve">. </w:t>
      </w:r>
      <w:r w:rsidRPr="000D5ABE">
        <w:rPr>
          <w:rFonts w:ascii="Times New Roman" w:hAnsi="Times New Roman" w:cs="Times New Roman"/>
          <w:i/>
          <w:sz w:val="24"/>
          <w:szCs w:val="24"/>
        </w:rPr>
        <w:t>Forecasti</w:t>
      </w:r>
      <w:r w:rsidR="00AF46AC">
        <w:rPr>
          <w:rFonts w:ascii="Times New Roman" w:hAnsi="Times New Roman" w:cs="Times New Roman"/>
          <w:i/>
          <w:sz w:val="24"/>
          <w:szCs w:val="24"/>
        </w:rPr>
        <w:t xml:space="preserve">ng COVID-19 </w:t>
      </w:r>
      <w:proofErr w:type="gramStart"/>
      <w:r w:rsidR="00AF46AC">
        <w:rPr>
          <w:rFonts w:ascii="Times New Roman" w:hAnsi="Times New Roman" w:cs="Times New Roman"/>
          <w:i/>
          <w:sz w:val="24"/>
          <w:szCs w:val="24"/>
        </w:rPr>
        <w:t>impact</w:t>
      </w:r>
      <w:proofErr w:type="gramEnd"/>
      <w:r w:rsidR="00AF46AC">
        <w:rPr>
          <w:rFonts w:ascii="Times New Roman" w:hAnsi="Times New Roman" w:cs="Times New Roman"/>
          <w:i/>
          <w:sz w:val="24"/>
          <w:szCs w:val="24"/>
        </w:rPr>
        <w:t xml:space="preserve"> on hospital </w:t>
      </w:r>
      <w:r w:rsidRPr="000D5ABE">
        <w:rPr>
          <w:rFonts w:ascii="Times New Roman" w:hAnsi="Times New Roman" w:cs="Times New Roman"/>
          <w:i/>
          <w:sz w:val="24"/>
          <w:szCs w:val="24"/>
        </w:rPr>
        <w:t>bed-days, ICU beds, ventilator days</w:t>
      </w:r>
      <w:r w:rsidR="00573870">
        <w:rPr>
          <w:rFonts w:ascii="Times New Roman" w:hAnsi="Times New Roman" w:cs="Times New Roman"/>
          <w:i/>
          <w:sz w:val="24"/>
          <w:szCs w:val="24"/>
        </w:rPr>
        <w:t>,</w:t>
      </w:r>
      <w:r w:rsidRPr="000D5ABE">
        <w:rPr>
          <w:rFonts w:ascii="Times New Roman" w:hAnsi="Times New Roman" w:cs="Times New Roman"/>
          <w:i/>
          <w:sz w:val="24"/>
          <w:szCs w:val="24"/>
        </w:rPr>
        <w:t xml:space="preserve"> and deaths by US state in the next 4 months</w:t>
      </w:r>
      <w:r w:rsidR="00AF46AC">
        <w:rPr>
          <w:rFonts w:ascii="Times New Roman" w:hAnsi="Times New Roman" w:cs="Times New Roman"/>
          <w:sz w:val="24"/>
          <w:szCs w:val="24"/>
        </w:rPr>
        <w:t>.</w:t>
      </w:r>
      <w:r w:rsidR="00AF46AC">
        <w:rPr>
          <w:rFonts w:ascii="Times New Roman" w:hAnsi="Times New Roman" w:cs="Times New Roman"/>
          <w:i/>
          <w:sz w:val="24"/>
          <w:szCs w:val="24"/>
        </w:rPr>
        <w:t xml:space="preserve"> </w:t>
      </w:r>
      <w:r w:rsidRPr="000D5ABE">
        <w:rPr>
          <w:rFonts w:ascii="Times New Roman" w:hAnsi="Times New Roman" w:cs="Times New Roman"/>
          <w:sz w:val="24"/>
          <w:szCs w:val="24"/>
        </w:rPr>
        <w:t>https://doi.org/10.1101/2020.03.27.20043752.</w:t>
      </w:r>
    </w:p>
    <w:p w:rsidR="000D5ABE" w:rsidRPr="000D5ABE" w:rsidRDefault="000D5ABE" w:rsidP="009C1A63">
      <w:pPr>
        <w:spacing w:line="360" w:lineRule="auto"/>
        <w:jc w:val="both"/>
        <w:rPr>
          <w:rFonts w:ascii="Times New Roman" w:hAnsi="Times New Roman" w:cs="Times New Roman"/>
          <w:sz w:val="24"/>
          <w:szCs w:val="24"/>
        </w:rPr>
      </w:pPr>
      <w:r w:rsidRPr="000D5ABE">
        <w:rPr>
          <w:rFonts w:ascii="Times New Roman" w:hAnsi="Times New Roman" w:cs="Times New Roman"/>
          <w:sz w:val="24"/>
          <w:szCs w:val="24"/>
        </w:rPr>
        <w:t>Im, K. S, Pesaran, M. H.</w:t>
      </w:r>
      <w:r w:rsidR="00B21284">
        <w:rPr>
          <w:rFonts w:ascii="Times New Roman" w:hAnsi="Times New Roman" w:cs="Times New Roman"/>
          <w:sz w:val="24"/>
          <w:szCs w:val="24"/>
        </w:rPr>
        <w:t xml:space="preserve"> </w:t>
      </w:r>
      <w:r w:rsidR="00B563B1">
        <w:rPr>
          <w:rFonts w:ascii="Times New Roman" w:hAnsi="Times New Roman" w:cs="Times New Roman"/>
          <w:sz w:val="24"/>
          <w:szCs w:val="24"/>
        </w:rPr>
        <w:t>and Shin, Y., 1997</w:t>
      </w:r>
      <w:r w:rsidRPr="000D5ABE">
        <w:rPr>
          <w:rFonts w:ascii="Times New Roman" w:hAnsi="Times New Roman" w:cs="Times New Roman"/>
          <w:sz w:val="24"/>
          <w:szCs w:val="24"/>
        </w:rPr>
        <w:t xml:space="preserve">. </w:t>
      </w:r>
      <w:proofErr w:type="gramStart"/>
      <w:r w:rsidRPr="000D5ABE">
        <w:rPr>
          <w:rFonts w:ascii="Times New Roman" w:hAnsi="Times New Roman" w:cs="Times New Roman"/>
          <w:i/>
          <w:sz w:val="24"/>
          <w:szCs w:val="24"/>
        </w:rPr>
        <w:t>Testing for Unit Roots in Heterogeneous Panels.</w:t>
      </w:r>
      <w:proofErr w:type="gramEnd"/>
      <w:r w:rsidR="00B563B1">
        <w:rPr>
          <w:rFonts w:ascii="Times New Roman" w:hAnsi="Times New Roman" w:cs="Times New Roman"/>
          <w:sz w:val="24"/>
          <w:szCs w:val="24"/>
        </w:rPr>
        <w:t xml:space="preserve"> </w:t>
      </w:r>
      <w:r w:rsidRPr="000D5ABE">
        <w:rPr>
          <w:rFonts w:ascii="Times New Roman" w:hAnsi="Times New Roman" w:cs="Times New Roman"/>
          <w:sz w:val="24"/>
          <w:szCs w:val="24"/>
        </w:rPr>
        <w:t>Mimeo, D</w:t>
      </w:r>
      <w:r w:rsidR="0038330D">
        <w:rPr>
          <w:rFonts w:ascii="Times New Roman" w:hAnsi="Times New Roman" w:cs="Times New Roman"/>
          <w:sz w:val="24"/>
          <w:szCs w:val="24"/>
        </w:rPr>
        <w:t xml:space="preserve">epartment of Applied Economics: </w:t>
      </w:r>
      <w:r w:rsidRPr="000D5ABE">
        <w:rPr>
          <w:rFonts w:ascii="Times New Roman" w:hAnsi="Times New Roman" w:cs="Times New Roman"/>
          <w:sz w:val="24"/>
          <w:szCs w:val="24"/>
        </w:rPr>
        <w:t xml:space="preserve">University of Cambridge.  </w:t>
      </w:r>
    </w:p>
    <w:p w:rsidR="009C1A63" w:rsidRDefault="000D5ABE" w:rsidP="006F6EA7">
      <w:pPr>
        <w:spacing w:after="0" w:line="360" w:lineRule="auto"/>
        <w:ind w:left="720" w:hanging="720"/>
        <w:jc w:val="both"/>
        <w:rPr>
          <w:rFonts w:ascii="Times New Roman" w:hAnsi="Times New Roman" w:cs="Times New Roman"/>
          <w:noProof/>
          <w:sz w:val="24"/>
          <w:szCs w:val="24"/>
        </w:rPr>
      </w:pPr>
      <w:r w:rsidRPr="000D5ABE">
        <w:rPr>
          <w:rFonts w:ascii="Times New Roman" w:hAnsi="Times New Roman" w:cs="Times New Roman"/>
          <w:noProof/>
          <w:sz w:val="24"/>
          <w:szCs w:val="24"/>
        </w:rPr>
        <w:lastRenderedPageBreak/>
        <w:t>Jelilov, G</w:t>
      </w:r>
      <w:r w:rsidR="009C1A63">
        <w:rPr>
          <w:rFonts w:ascii="Times New Roman" w:hAnsi="Times New Roman" w:cs="Times New Roman"/>
          <w:noProof/>
          <w:sz w:val="24"/>
          <w:szCs w:val="24"/>
        </w:rPr>
        <w:t>., Iorember, P. T., Usman, O. and Yua, P. M., 2020</w:t>
      </w:r>
      <w:r w:rsidRPr="000D5ABE">
        <w:rPr>
          <w:rFonts w:ascii="Times New Roman" w:hAnsi="Times New Roman" w:cs="Times New Roman"/>
          <w:noProof/>
          <w:sz w:val="24"/>
          <w:szCs w:val="24"/>
        </w:rPr>
        <w:t xml:space="preserve">. </w:t>
      </w:r>
      <w:r w:rsidR="009C1A63">
        <w:rPr>
          <w:rFonts w:ascii="Times New Roman" w:hAnsi="Times New Roman" w:cs="Times New Roman"/>
          <w:noProof/>
          <w:sz w:val="24"/>
          <w:szCs w:val="24"/>
        </w:rPr>
        <w:t xml:space="preserve">Testing the nexus between stock </w:t>
      </w:r>
    </w:p>
    <w:p w:rsidR="009C1A63" w:rsidRDefault="000D5ABE" w:rsidP="006F6EA7">
      <w:pPr>
        <w:spacing w:after="0" w:line="360" w:lineRule="auto"/>
        <w:ind w:left="720" w:hanging="720"/>
        <w:jc w:val="both"/>
        <w:rPr>
          <w:rFonts w:ascii="Times New Roman" w:hAnsi="Times New Roman" w:cs="Times New Roman"/>
          <w:i/>
          <w:iCs/>
          <w:noProof/>
          <w:sz w:val="24"/>
          <w:szCs w:val="24"/>
        </w:rPr>
      </w:pPr>
      <w:r w:rsidRPr="000D5ABE">
        <w:rPr>
          <w:rFonts w:ascii="Times New Roman" w:hAnsi="Times New Roman" w:cs="Times New Roman"/>
          <w:noProof/>
          <w:sz w:val="24"/>
          <w:szCs w:val="24"/>
        </w:rPr>
        <w:t xml:space="preserve">market returns and inflation in Nigeria: Does the effect of COVID-19 pandemic matter? </w:t>
      </w:r>
      <w:r w:rsidRPr="000D5ABE">
        <w:rPr>
          <w:rFonts w:ascii="Times New Roman" w:hAnsi="Times New Roman" w:cs="Times New Roman"/>
          <w:i/>
          <w:iCs/>
          <w:noProof/>
          <w:sz w:val="24"/>
          <w:szCs w:val="24"/>
        </w:rPr>
        <w:t xml:space="preserve">Journal </w:t>
      </w:r>
    </w:p>
    <w:p w:rsidR="000D5ABE" w:rsidRPr="000D5ABE" w:rsidRDefault="000D5ABE" w:rsidP="009C1A63">
      <w:pPr>
        <w:spacing w:line="360" w:lineRule="auto"/>
        <w:ind w:left="720" w:hanging="720"/>
        <w:jc w:val="both"/>
        <w:rPr>
          <w:rFonts w:ascii="Times New Roman" w:hAnsi="Times New Roman" w:cs="Times New Roman"/>
          <w:noProof/>
          <w:sz w:val="24"/>
          <w:szCs w:val="24"/>
        </w:rPr>
      </w:pPr>
      <w:r w:rsidRPr="000D5ABE">
        <w:rPr>
          <w:rFonts w:ascii="Times New Roman" w:hAnsi="Times New Roman" w:cs="Times New Roman"/>
          <w:i/>
          <w:iCs/>
          <w:noProof/>
          <w:sz w:val="24"/>
          <w:szCs w:val="24"/>
        </w:rPr>
        <w:t>of Public Affairs</w:t>
      </w:r>
      <w:r w:rsidR="009C1A63">
        <w:rPr>
          <w:rFonts w:ascii="Times New Roman" w:hAnsi="Times New Roman" w:cs="Times New Roman"/>
          <w:noProof/>
          <w:sz w:val="24"/>
          <w:szCs w:val="24"/>
        </w:rPr>
        <w:t xml:space="preserve">, e2289. </w:t>
      </w:r>
      <w:r w:rsidRPr="000D5ABE">
        <w:rPr>
          <w:rFonts w:ascii="Times New Roman" w:hAnsi="Times New Roman" w:cs="Times New Roman"/>
          <w:noProof/>
          <w:sz w:val="24"/>
          <w:szCs w:val="24"/>
        </w:rPr>
        <w:t>https://doi.org/10.1002/pa.2289</w:t>
      </w:r>
    </w:p>
    <w:p w:rsidR="000D5ABE" w:rsidRPr="000D5ABE" w:rsidRDefault="00B21284" w:rsidP="009C1A63">
      <w:pPr>
        <w:spacing w:line="360" w:lineRule="auto"/>
        <w:jc w:val="both"/>
        <w:rPr>
          <w:rFonts w:ascii="Times New Roman" w:hAnsi="Times New Roman" w:cs="Times New Roman"/>
          <w:sz w:val="24"/>
          <w:szCs w:val="24"/>
        </w:rPr>
      </w:pPr>
      <w:r>
        <w:rPr>
          <w:rFonts w:ascii="Times New Roman" w:hAnsi="Times New Roman" w:cs="Times New Roman"/>
          <w:sz w:val="24"/>
          <w:szCs w:val="24"/>
        </w:rPr>
        <w:t>JHU CSSE</w:t>
      </w:r>
      <w:r w:rsidR="009C1A63">
        <w:rPr>
          <w:rFonts w:ascii="Times New Roman" w:hAnsi="Times New Roman" w:cs="Times New Roman"/>
          <w:sz w:val="24"/>
          <w:szCs w:val="24"/>
        </w:rPr>
        <w:t>.</w:t>
      </w:r>
      <w:r>
        <w:rPr>
          <w:rFonts w:ascii="Times New Roman" w:hAnsi="Times New Roman" w:cs="Times New Roman"/>
          <w:sz w:val="24"/>
          <w:szCs w:val="24"/>
        </w:rPr>
        <w:t xml:space="preserve"> </w:t>
      </w:r>
      <w:r w:rsidR="009C1A63">
        <w:rPr>
          <w:rFonts w:ascii="Times New Roman" w:hAnsi="Times New Roman" w:cs="Times New Roman"/>
          <w:sz w:val="24"/>
          <w:szCs w:val="24"/>
        </w:rPr>
        <w:t>2021</w:t>
      </w:r>
      <w:r w:rsidR="000D5ABE" w:rsidRPr="000D5ABE">
        <w:rPr>
          <w:rFonts w:ascii="Times New Roman" w:hAnsi="Times New Roman" w:cs="Times New Roman"/>
          <w:sz w:val="24"/>
          <w:szCs w:val="24"/>
        </w:rPr>
        <w:t xml:space="preserve">. </w:t>
      </w:r>
      <w:r w:rsidR="000D5ABE" w:rsidRPr="009C1A63">
        <w:rPr>
          <w:rFonts w:ascii="Times New Roman" w:hAnsi="Times New Roman" w:cs="Times New Roman"/>
          <w:i/>
          <w:sz w:val="24"/>
          <w:szCs w:val="24"/>
        </w:rPr>
        <w:t xml:space="preserve">Coronavirus (COVID-19) Statistics Data. </w:t>
      </w:r>
      <w:proofErr w:type="gramStart"/>
      <w:r w:rsidR="000D5ABE" w:rsidRPr="009C1A63">
        <w:rPr>
          <w:rFonts w:ascii="Times New Roman" w:hAnsi="Times New Roman" w:cs="Times New Roman"/>
          <w:i/>
          <w:sz w:val="24"/>
          <w:szCs w:val="24"/>
        </w:rPr>
        <w:t>New Cases and Deaths</w:t>
      </w:r>
      <w:r w:rsidR="009C1A63">
        <w:rPr>
          <w:rFonts w:ascii="Times New Roman" w:hAnsi="Times New Roman" w:cs="Times New Roman"/>
          <w:sz w:val="24"/>
          <w:szCs w:val="24"/>
        </w:rPr>
        <w:t>.</w:t>
      </w:r>
      <w:proofErr w:type="gramEnd"/>
      <w:r w:rsidR="009C1A63">
        <w:rPr>
          <w:rFonts w:ascii="Times New Roman" w:hAnsi="Times New Roman" w:cs="Times New Roman"/>
          <w:sz w:val="24"/>
          <w:szCs w:val="24"/>
        </w:rPr>
        <w:t xml:space="preserve"> John </w:t>
      </w:r>
      <w:r w:rsidR="000D5ABE" w:rsidRPr="000D5ABE">
        <w:rPr>
          <w:rFonts w:ascii="Times New Roman" w:hAnsi="Times New Roman" w:cs="Times New Roman"/>
          <w:sz w:val="24"/>
          <w:szCs w:val="24"/>
        </w:rPr>
        <w:t>Hopkins University: Center for Systems Science and Engine</w:t>
      </w:r>
      <w:r w:rsidR="009C1A63" w:rsidRPr="000D5ABE">
        <w:rPr>
          <w:rFonts w:ascii="Times New Roman" w:hAnsi="Times New Roman" w:cs="Times New Roman"/>
          <w:sz w:val="24"/>
          <w:szCs w:val="24"/>
        </w:rPr>
        <w:t>e</w:t>
      </w:r>
      <w:r w:rsidR="000D5ABE" w:rsidRPr="000D5ABE">
        <w:rPr>
          <w:rFonts w:ascii="Times New Roman" w:hAnsi="Times New Roman" w:cs="Times New Roman"/>
          <w:sz w:val="24"/>
          <w:szCs w:val="24"/>
        </w:rPr>
        <w:t>ring.</w:t>
      </w:r>
    </w:p>
    <w:p w:rsidR="000D5ABE" w:rsidRPr="009C1A63" w:rsidRDefault="009C1A63" w:rsidP="009C1A63">
      <w:pPr>
        <w:autoSpaceDE w:val="0"/>
        <w:autoSpaceDN w:val="0"/>
        <w:adjustRightInd w:val="0"/>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Kassa, W., 2020</w:t>
      </w:r>
      <w:r w:rsidR="000D5ABE" w:rsidRPr="000D5ABE">
        <w:rPr>
          <w:rFonts w:ascii="Times New Roman" w:hAnsi="Times New Roman" w:cs="Times New Roman"/>
          <w:sz w:val="24"/>
          <w:szCs w:val="24"/>
        </w:rPr>
        <w:t>.</w:t>
      </w:r>
      <w:proofErr w:type="gramEnd"/>
      <w:r w:rsidR="000D5ABE" w:rsidRPr="000D5ABE">
        <w:rPr>
          <w:rFonts w:ascii="Times New Roman" w:hAnsi="Times New Roman" w:cs="Times New Roman"/>
          <w:sz w:val="24"/>
          <w:szCs w:val="24"/>
        </w:rPr>
        <w:t xml:space="preserve"> </w:t>
      </w:r>
      <w:r w:rsidR="000D5ABE" w:rsidRPr="000D5ABE">
        <w:rPr>
          <w:rFonts w:ascii="Times New Roman" w:hAnsi="Times New Roman" w:cs="Times New Roman"/>
          <w:i/>
          <w:sz w:val="24"/>
          <w:szCs w:val="24"/>
        </w:rPr>
        <w:t>COVID-19 and Trade in SSA: Impact</w:t>
      </w:r>
      <w:r>
        <w:rPr>
          <w:rFonts w:ascii="Times New Roman" w:hAnsi="Times New Roman" w:cs="Times New Roman"/>
          <w:i/>
          <w:sz w:val="24"/>
          <w:szCs w:val="24"/>
        </w:rPr>
        <w:t xml:space="preserve">s and Policy Response (Issue 1, </w:t>
      </w:r>
      <w:r w:rsidR="000D5ABE" w:rsidRPr="000D5ABE">
        <w:rPr>
          <w:rFonts w:ascii="Times New Roman" w:hAnsi="Times New Roman" w:cs="Times New Roman"/>
          <w:i/>
          <w:sz w:val="24"/>
          <w:szCs w:val="24"/>
        </w:rPr>
        <w:t>No.1)</w:t>
      </w:r>
      <w:r>
        <w:rPr>
          <w:rFonts w:ascii="Times New Roman" w:hAnsi="Times New Roman" w:cs="Times New Roman"/>
          <w:sz w:val="24"/>
          <w:szCs w:val="24"/>
        </w:rPr>
        <w:t>. Washington D.C.</w:t>
      </w:r>
      <w:r w:rsidR="000D5ABE" w:rsidRPr="000D5ABE">
        <w:rPr>
          <w:rFonts w:ascii="Times New Roman" w:hAnsi="Times New Roman" w:cs="Times New Roman"/>
          <w:sz w:val="24"/>
          <w:szCs w:val="24"/>
        </w:rPr>
        <w:t>: World Bank.</w:t>
      </w:r>
    </w:p>
    <w:p w:rsidR="000D5ABE" w:rsidRPr="000D5ABE" w:rsidRDefault="002329FF" w:rsidP="002329F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Leive, A. and Xu, K.</w:t>
      </w:r>
      <w:r w:rsidR="00B21284">
        <w:rPr>
          <w:rFonts w:ascii="Times New Roman" w:eastAsia="Calibri" w:hAnsi="Times New Roman" w:cs="Times New Roman"/>
          <w:sz w:val="24"/>
          <w:szCs w:val="24"/>
        </w:rPr>
        <w:t>,</w:t>
      </w:r>
      <w:r>
        <w:rPr>
          <w:rFonts w:ascii="Times New Roman" w:eastAsia="Calibri" w:hAnsi="Times New Roman" w:cs="Times New Roman"/>
          <w:sz w:val="24"/>
          <w:szCs w:val="24"/>
        </w:rPr>
        <w:t xml:space="preserve"> 2008</w:t>
      </w:r>
      <w:r w:rsidR="000D5ABE" w:rsidRPr="000D5ABE">
        <w:rPr>
          <w:rFonts w:ascii="Times New Roman" w:eastAsia="Calibri" w:hAnsi="Times New Roman" w:cs="Times New Roman"/>
          <w:sz w:val="24"/>
          <w:szCs w:val="24"/>
        </w:rPr>
        <w:t xml:space="preserve">. </w:t>
      </w:r>
      <w:proofErr w:type="gramStart"/>
      <w:r w:rsidR="000D5ABE" w:rsidRPr="000D5ABE">
        <w:rPr>
          <w:rFonts w:ascii="Times New Roman" w:eastAsia="Calibri" w:hAnsi="Times New Roman" w:cs="Times New Roman"/>
          <w:sz w:val="24"/>
          <w:szCs w:val="24"/>
        </w:rPr>
        <w:t>Coping with out-of-pocket healt</w:t>
      </w:r>
      <w:r>
        <w:rPr>
          <w:rFonts w:ascii="Times New Roman" w:eastAsia="Calibri" w:hAnsi="Times New Roman" w:cs="Times New Roman"/>
          <w:sz w:val="24"/>
          <w:szCs w:val="24"/>
        </w:rPr>
        <w:t xml:space="preserve">h payments: Empirical evidence </w:t>
      </w:r>
      <w:r w:rsidR="000D5ABE" w:rsidRPr="000D5ABE">
        <w:rPr>
          <w:rFonts w:ascii="Times New Roman" w:eastAsia="Calibri" w:hAnsi="Times New Roman" w:cs="Times New Roman"/>
          <w:sz w:val="24"/>
          <w:szCs w:val="24"/>
        </w:rPr>
        <w:t>from 15 African countries.</w:t>
      </w:r>
      <w:proofErr w:type="gramEnd"/>
      <w:r w:rsidR="000D5ABE" w:rsidRPr="000D5ABE">
        <w:rPr>
          <w:rFonts w:ascii="Times New Roman" w:eastAsia="Calibri" w:hAnsi="Times New Roman" w:cs="Times New Roman"/>
          <w:sz w:val="24"/>
          <w:szCs w:val="24"/>
        </w:rPr>
        <w:t xml:space="preserve"> </w:t>
      </w:r>
      <w:r w:rsidR="000D5ABE" w:rsidRPr="000D5ABE">
        <w:rPr>
          <w:rFonts w:ascii="Times New Roman" w:eastAsia="Calibri" w:hAnsi="Times New Roman" w:cs="Times New Roman"/>
          <w:i/>
          <w:sz w:val="24"/>
          <w:szCs w:val="24"/>
        </w:rPr>
        <w:t>Bulletin of the World Health Organization</w:t>
      </w:r>
      <w:r>
        <w:rPr>
          <w:rFonts w:ascii="Times New Roman" w:eastAsia="Calibri" w:hAnsi="Times New Roman" w:cs="Times New Roman"/>
          <w:sz w:val="24"/>
          <w:szCs w:val="24"/>
        </w:rPr>
        <w:t>, 86 (11), pp. 849-</w:t>
      </w:r>
      <w:r w:rsidR="000D5ABE" w:rsidRPr="000D5ABE">
        <w:rPr>
          <w:rFonts w:ascii="Times New Roman" w:eastAsia="Calibri" w:hAnsi="Times New Roman" w:cs="Times New Roman"/>
          <w:sz w:val="24"/>
          <w:szCs w:val="24"/>
        </w:rPr>
        <w:t xml:space="preserve">856.  </w:t>
      </w:r>
      <w:r w:rsidR="000D5ABE" w:rsidRPr="000D5ABE">
        <w:rPr>
          <w:rFonts w:ascii="Times New Roman" w:eastAsia="Calibri" w:hAnsi="Times New Roman" w:cs="Times New Roman"/>
        </w:rPr>
        <w:t xml:space="preserve"> </w:t>
      </w:r>
    </w:p>
    <w:p w:rsidR="002329FF" w:rsidRDefault="002329FF" w:rsidP="006F6EA7">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McKibbin, W. and</w:t>
      </w:r>
      <w:r w:rsidR="000D5ABE" w:rsidRPr="000D5ABE">
        <w:rPr>
          <w:rFonts w:ascii="Times New Roman" w:hAnsi="Times New Roman" w:cs="Times New Roman"/>
          <w:noProof/>
          <w:sz w:val="24"/>
          <w:szCs w:val="24"/>
        </w:rPr>
        <w:t xml:space="preserve"> Fernando, R.</w:t>
      </w:r>
      <w:r>
        <w:rPr>
          <w:rFonts w:ascii="Times New Roman" w:hAnsi="Times New Roman" w:cs="Times New Roman"/>
          <w:noProof/>
          <w:sz w:val="24"/>
          <w:szCs w:val="24"/>
        </w:rPr>
        <w:t>, 2020</w:t>
      </w:r>
      <w:r w:rsidR="000D5ABE" w:rsidRPr="000D5ABE">
        <w:rPr>
          <w:rFonts w:ascii="Times New Roman" w:hAnsi="Times New Roman" w:cs="Times New Roman"/>
          <w:noProof/>
          <w:sz w:val="24"/>
          <w:szCs w:val="24"/>
        </w:rPr>
        <w:t>. The Global Mac</w:t>
      </w:r>
      <w:r>
        <w:rPr>
          <w:rFonts w:ascii="Times New Roman" w:hAnsi="Times New Roman" w:cs="Times New Roman"/>
          <w:noProof/>
          <w:sz w:val="24"/>
          <w:szCs w:val="24"/>
        </w:rPr>
        <w:t xml:space="preserve">roeconomic Impacts of COVID-19: </w:t>
      </w:r>
    </w:p>
    <w:p w:rsidR="000D5ABE" w:rsidRPr="000D5ABE" w:rsidRDefault="000D5ABE" w:rsidP="002329FF">
      <w:pPr>
        <w:spacing w:line="360" w:lineRule="auto"/>
        <w:ind w:left="720" w:hanging="720"/>
        <w:jc w:val="both"/>
        <w:rPr>
          <w:rFonts w:ascii="Times New Roman" w:hAnsi="Times New Roman" w:cs="Times New Roman"/>
          <w:noProof/>
          <w:sz w:val="24"/>
          <w:szCs w:val="24"/>
        </w:rPr>
      </w:pPr>
      <w:r w:rsidRPr="000D5ABE">
        <w:rPr>
          <w:rFonts w:ascii="Times New Roman" w:hAnsi="Times New Roman" w:cs="Times New Roman"/>
          <w:noProof/>
          <w:sz w:val="24"/>
          <w:szCs w:val="24"/>
        </w:rPr>
        <w:t xml:space="preserve">Seven Scenarios. </w:t>
      </w:r>
      <w:r w:rsidRPr="000D5ABE">
        <w:rPr>
          <w:rFonts w:ascii="Times New Roman" w:hAnsi="Times New Roman" w:cs="Times New Roman"/>
          <w:i/>
          <w:iCs/>
          <w:noProof/>
          <w:sz w:val="24"/>
          <w:szCs w:val="24"/>
        </w:rPr>
        <w:t xml:space="preserve">Asian Economic Papers, </w:t>
      </w:r>
      <w:r w:rsidRPr="000D5ABE">
        <w:rPr>
          <w:rFonts w:ascii="Times New Roman" w:hAnsi="Times New Roman" w:cs="Times New Roman"/>
          <w:iCs/>
          <w:noProof/>
          <w:sz w:val="24"/>
          <w:szCs w:val="24"/>
        </w:rPr>
        <w:t xml:space="preserve">20 </w:t>
      </w:r>
      <w:r w:rsidR="002329FF">
        <w:rPr>
          <w:rFonts w:ascii="Times New Roman" w:hAnsi="Times New Roman" w:cs="Times New Roman"/>
          <w:noProof/>
          <w:sz w:val="24"/>
          <w:szCs w:val="24"/>
        </w:rPr>
        <w:t xml:space="preserve">(2), </w:t>
      </w:r>
      <w:r w:rsidRPr="000D5ABE">
        <w:rPr>
          <w:rFonts w:ascii="Times New Roman" w:hAnsi="Times New Roman" w:cs="Times New Roman"/>
          <w:noProof/>
          <w:sz w:val="24"/>
          <w:szCs w:val="24"/>
        </w:rPr>
        <w:t>https://doi.org/10.1162/asep_a_00796.</w:t>
      </w:r>
    </w:p>
    <w:p w:rsidR="000D5ABE" w:rsidRPr="00B60738" w:rsidRDefault="002329FF" w:rsidP="00B60738">
      <w:pPr>
        <w:autoSpaceDE w:val="0"/>
        <w:autoSpaceDN w:val="0"/>
        <w:adjustRightInd w:val="0"/>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Mold, A. </w:t>
      </w:r>
      <w:r w:rsidR="000D5ABE" w:rsidRPr="000D5ABE">
        <w:rPr>
          <w:rFonts w:ascii="Times New Roman" w:hAnsi="Times New Roman" w:cs="Times New Roman"/>
          <w:sz w:val="24"/>
          <w:szCs w:val="24"/>
        </w:rPr>
        <w:t>and Mveyange, A.</w:t>
      </w:r>
      <w:r>
        <w:rPr>
          <w:rFonts w:ascii="Times New Roman" w:hAnsi="Times New Roman" w:cs="Times New Roman"/>
          <w:sz w:val="24"/>
          <w:szCs w:val="24"/>
        </w:rPr>
        <w:t>, 2020</w:t>
      </w:r>
      <w:r w:rsidR="000D5ABE" w:rsidRPr="000D5ABE">
        <w:rPr>
          <w:rFonts w:ascii="Times New Roman" w:hAnsi="Times New Roman" w:cs="Times New Roman"/>
          <w:sz w:val="24"/>
          <w:szCs w:val="24"/>
        </w:rPr>
        <w:t>.</w:t>
      </w:r>
      <w:proofErr w:type="gramEnd"/>
      <w:r w:rsidR="000D5ABE" w:rsidRPr="000D5ABE">
        <w:rPr>
          <w:rFonts w:ascii="Times New Roman" w:hAnsi="Times New Roman" w:cs="Times New Roman"/>
          <w:sz w:val="24"/>
          <w:szCs w:val="24"/>
        </w:rPr>
        <w:t xml:space="preserve"> </w:t>
      </w:r>
      <w:r w:rsidR="000D5ABE" w:rsidRPr="000D5ABE">
        <w:rPr>
          <w:rFonts w:ascii="Times New Roman" w:hAnsi="Times New Roman" w:cs="Times New Roman"/>
          <w:i/>
          <w:sz w:val="24"/>
          <w:szCs w:val="24"/>
        </w:rPr>
        <w:t>The Impact of the CO</w:t>
      </w:r>
      <w:r w:rsidR="00B60738">
        <w:rPr>
          <w:rFonts w:ascii="Times New Roman" w:hAnsi="Times New Roman" w:cs="Times New Roman"/>
          <w:i/>
          <w:sz w:val="24"/>
          <w:szCs w:val="24"/>
        </w:rPr>
        <w:t xml:space="preserve">VID-19 Crisis on Trade: Recent </w:t>
      </w:r>
      <w:r w:rsidR="000D5ABE" w:rsidRPr="000D5ABE">
        <w:rPr>
          <w:rFonts w:ascii="Times New Roman" w:hAnsi="Times New Roman" w:cs="Times New Roman"/>
          <w:i/>
          <w:sz w:val="24"/>
          <w:szCs w:val="24"/>
        </w:rPr>
        <w:t>Evidence from East Africa</w:t>
      </w:r>
      <w:r w:rsidR="000D5ABE" w:rsidRPr="000D5ABE">
        <w:rPr>
          <w:rFonts w:ascii="Times New Roman" w:hAnsi="Times New Roman" w:cs="Times New Roman"/>
          <w:sz w:val="24"/>
          <w:szCs w:val="24"/>
        </w:rPr>
        <w:t>. Washington D.C., United States: Brookings Institution.</w:t>
      </w:r>
      <w:r w:rsidR="000D5ABE" w:rsidRPr="000D5ABE">
        <w:rPr>
          <w:rFonts w:ascii="Times New Roman" w:hAnsi="Times New Roman" w:cs="Times New Roman"/>
          <w:i/>
          <w:sz w:val="24"/>
          <w:szCs w:val="24"/>
        </w:rPr>
        <w:t xml:space="preserve">  </w:t>
      </w:r>
    </w:p>
    <w:p w:rsidR="000D5ABE" w:rsidRPr="000D5ABE" w:rsidRDefault="00921D53" w:rsidP="005508A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OPEC.</w:t>
      </w:r>
      <w:proofErr w:type="gramEnd"/>
      <w:r>
        <w:rPr>
          <w:rFonts w:ascii="Times New Roman" w:hAnsi="Times New Roman" w:cs="Times New Roman"/>
          <w:sz w:val="24"/>
          <w:szCs w:val="24"/>
        </w:rPr>
        <w:t xml:space="preserve"> 2021</w:t>
      </w:r>
      <w:r w:rsidR="000D5ABE" w:rsidRPr="000D5ABE">
        <w:rPr>
          <w:rFonts w:ascii="Times New Roman" w:hAnsi="Times New Roman" w:cs="Times New Roman"/>
          <w:sz w:val="24"/>
          <w:szCs w:val="24"/>
        </w:rPr>
        <w:t xml:space="preserve">. </w:t>
      </w:r>
      <w:r w:rsidR="000D5ABE" w:rsidRPr="000D5ABE">
        <w:rPr>
          <w:rFonts w:ascii="Times New Roman" w:hAnsi="Times New Roman" w:cs="Times New Roman"/>
          <w:i/>
          <w:sz w:val="24"/>
          <w:szCs w:val="24"/>
        </w:rPr>
        <w:t>OPEC Basket Price</w:t>
      </w:r>
      <w:r>
        <w:rPr>
          <w:rFonts w:ascii="Times New Roman" w:hAnsi="Times New Roman" w:cs="Times New Roman"/>
          <w:sz w:val="24"/>
          <w:szCs w:val="24"/>
        </w:rPr>
        <w:t xml:space="preserve">. </w:t>
      </w:r>
      <w:r w:rsidR="000D5ABE" w:rsidRPr="000D5ABE">
        <w:rPr>
          <w:rFonts w:ascii="Times New Roman" w:hAnsi="Times New Roman" w:cs="Times New Roman"/>
          <w:sz w:val="24"/>
          <w:szCs w:val="24"/>
        </w:rPr>
        <w:t>https://www.opec.org/opec_web/en/data_graphs/40.htm</w:t>
      </w:r>
    </w:p>
    <w:p w:rsidR="000D5ABE" w:rsidRPr="005508A4" w:rsidRDefault="005508A4" w:rsidP="005508A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Pesaran, M. H., Shin, Y. and Smith, P. R.</w:t>
      </w:r>
      <w:r w:rsidR="00B21284">
        <w:rPr>
          <w:rFonts w:ascii="Times New Roman" w:hAnsi="Times New Roman" w:cs="Times New Roman"/>
          <w:noProof/>
          <w:sz w:val="24"/>
          <w:szCs w:val="24"/>
        </w:rPr>
        <w:t>,</w:t>
      </w:r>
      <w:r>
        <w:rPr>
          <w:rFonts w:ascii="Times New Roman" w:hAnsi="Times New Roman" w:cs="Times New Roman"/>
          <w:noProof/>
          <w:sz w:val="24"/>
          <w:szCs w:val="24"/>
        </w:rPr>
        <w:t xml:space="preserve"> 1999</w:t>
      </w:r>
      <w:r w:rsidR="000D5ABE" w:rsidRPr="000D5ABE">
        <w:rPr>
          <w:rFonts w:ascii="Times New Roman" w:hAnsi="Times New Roman" w:cs="Times New Roman"/>
          <w:noProof/>
          <w:sz w:val="24"/>
          <w:szCs w:val="24"/>
        </w:rPr>
        <w:t>. Pooled Me</w:t>
      </w:r>
      <w:r>
        <w:rPr>
          <w:rFonts w:ascii="Times New Roman" w:hAnsi="Times New Roman" w:cs="Times New Roman"/>
          <w:noProof/>
          <w:sz w:val="24"/>
          <w:szCs w:val="24"/>
        </w:rPr>
        <w:t xml:space="preserve">an Group Estimation of Dynamic </w:t>
      </w:r>
      <w:r w:rsidR="000D5ABE" w:rsidRPr="000D5ABE">
        <w:rPr>
          <w:rFonts w:ascii="Times New Roman" w:hAnsi="Times New Roman" w:cs="Times New Roman"/>
          <w:noProof/>
          <w:sz w:val="24"/>
          <w:szCs w:val="24"/>
        </w:rPr>
        <w:t xml:space="preserve">Heterogeneous Panels. </w:t>
      </w:r>
      <w:r w:rsidR="000D5ABE" w:rsidRPr="000D5ABE">
        <w:rPr>
          <w:rFonts w:ascii="Times New Roman" w:hAnsi="Times New Roman" w:cs="Times New Roman"/>
          <w:i/>
          <w:iCs/>
          <w:noProof/>
          <w:sz w:val="24"/>
          <w:szCs w:val="24"/>
        </w:rPr>
        <w:t xml:space="preserve">Journal of the American Statistical Association, </w:t>
      </w:r>
      <w:r w:rsidR="000D5ABE" w:rsidRPr="000D5ABE">
        <w:rPr>
          <w:rFonts w:ascii="Times New Roman" w:hAnsi="Times New Roman" w:cs="Times New Roman"/>
          <w:iCs/>
          <w:noProof/>
          <w:sz w:val="24"/>
          <w:szCs w:val="24"/>
        </w:rPr>
        <w:t xml:space="preserve">94 </w:t>
      </w:r>
      <w:r>
        <w:rPr>
          <w:rFonts w:ascii="Times New Roman" w:hAnsi="Times New Roman" w:cs="Times New Roman"/>
          <w:noProof/>
          <w:sz w:val="24"/>
          <w:szCs w:val="24"/>
        </w:rPr>
        <w:t xml:space="preserve">(446), pp. </w:t>
      </w:r>
      <w:r w:rsidR="000D5ABE" w:rsidRPr="000D5ABE">
        <w:rPr>
          <w:rFonts w:ascii="Times New Roman" w:hAnsi="Times New Roman" w:cs="Times New Roman"/>
          <w:noProof/>
          <w:sz w:val="24"/>
          <w:szCs w:val="24"/>
        </w:rPr>
        <w:t>621-634.</w:t>
      </w:r>
    </w:p>
    <w:p w:rsidR="005508A4" w:rsidRDefault="005508A4" w:rsidP="006F6EA7">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Pesaran, M. H. and Smith, R. P., 1995</w:t>
      </w:r>
      <w:r w:rsidR="000D5ABE" w:rsidRPr="000D5ABE">
        <w:rPr>
          <w:rFonts w:ascii="Times New Roman" w:hAnsi="Times New Roman" w:cs="Times New Roman"/>
          <w:noProof/>
          <w:sz w:val="24"/>
          <w:szCs w:val="24"/>
        </w:rPr>
        <w:t>. Estimating Long-Run Relationships from Dynamic</w:t>
      </w:r>
      <w:r>
        <w:rPr>
          <w:rFonts w:ascii="Times New Roman" w:hAnsi="Times New Roman" w:cs="Times New Roman"/>
          <w:noProof/>
          <w:sz w:val="24"/>
          <w:szCs w:val="24"/>
        </w:rPr>
        <w:t xml:space="preserve"> </w:t>
      </w:r>
    </w:p>
    <w:p w:rsidR="000D5ABE" w:rsidRPr="000D5ABE" w:rsidRDefault="000D5ABE" w:rsidP="005508A4">
      <w:pPr>
        <w:spacing w:line="360" w:lineRule="auto"/>
        <w:ind w:left="720" w:hanging="720"/>
        <w:jc w:val="both"/>
        <w:rPr>
          <w:rFonts w:ascii="Times New Roman" w:hAnsi="Times New Roman" w:cs="Times New Roman"/>
          <w:noProof/>
          <w:sz w:val="24"/>
          <w:szCs w:val="24"/>
        </w:rPr>
      </w:pPr>
      <w:r w:rsidRPr="000D5ABE">
        <w:rPr>
          <w:rFonts w:ascii="Times New Roman" w:hAnsi="Times New Roman" w:cs="Times New Roman"/>
          <w:noProof/>
          <w:sz w:val="24"/>
          <w:szCs w:val="24"/>
        </w:rPr>
        <w:t xml:space="preserve">Heterogeneous Panels. </w:t>
      </w:r>
      <w:r w:rsidRPr="000D5ABE">
        <w:rPr>
          <w:rFonts w:ascii="Times New Roman" w:hAnsi="Times New Roman" w:cs="Times New Roman"/>
          <w:i/>
          <w:iCs/>
          <w:noProof/>
          <w:sz w:val="24"/>
          <w:szCs w:val="24"/>
        </w:rPr>
        <w:t xml:space="preserve">Journal of Econometrics, </w:t>
      </w:r>
      <w:r w:rsidR="005508A4">
        <w:rPr>
          <w:rFonts w:ascii="Times New Roman" w:hAnsi="Times New Roman" w:cs="Times New Roman"/>
          <w:iCs/>
          <w:noProof/>
          <w:sz w:val="24"/>
          <w:szCs w:val="24"/>
        </w:rPr>
        <w:t>68,</w:t>
      </w:r>
      <w:r w:rsidRPr="000D5ABE">
        <w:rPr>
          <w:rFonts w:ascii="Times New Roman" w:hAnsi="Times New Roman" w:cs="Times New Roman"/>
          <w:iCs/>
          <w:noProof/>
          <w:sz w:val="24"/>
          <w:szCs w:val="24"/>
        </w:rPr>
        <w:t xml:space="preserve"> </w:t>
      </w:r>
      <w:r w:rsidR="005508A4">
        <w:rPr>
          <w:rFonts w:ascii="Times New Roman" w:hAnsi="Times New Roman" w:cs="Times New Roman"/>
          <w:iCs/>
          <w:noProof/>
          <w:sz w:val="24"/>
          <w:szCs w:val="24"/>
        </w:rPr>
        <w:t xml:space="preserve">pp. </w:t>
      </w:r>
      <w:r w:rsidRPr="000D5ABE">
        <w:rPr>
          <w:rFonts w:ascii="Times New Roman" w:hAnsi="Times New Roman" w:cs="Times New Roman"/>
          <w:noProof/>
          <w:sz w:val="24"/>
          <w:szCs w:val="24"/>
        </w:rPr>
        <w:t>79-113.</w:t>
      </w:r>
    </w:p>
    <w:p w:rsidR="000D5ABE" w:rsidRPr="000D5ABE" w:rsidRDefault="000D5ABE" w:rsidP="005973E4">
      <w:pPr>
        <w:autoSpaceDE w:val="0"/>
        <w:autoSpaceDN w:val="0"/>
        <w:adjustRightInd w:val="0"/>
        <w:spacing w:line="360" w:lineRule="auto"/>
        <w:jc w:val="both"/>
        <w:rPr>
          <w:rFonts w:ascii="Times New Roman" w:hAnsi="Times New Roman" w:cs="Times New Roman"/>
          <w:sz w:val="24"/>
          <w:szCs w:val="24"/>
        </w:rPr>
      </w:pPr>
      <w:proofErr w:type="gramStart"/>
      <w:r w:rsidRPr="000D5ABE">
        <w:rPr>
          <w:rFonts w:ascii="Times New Roman" w:hAnsi="Times New Roman" w:cs="Times New Roman"/>
          <w:sz w:val="24"/>
          <w:szCs w:val="24"/>
        </w:rPr>
        <w:t xml:space="preserve">Rahman, S. M. D., Hossain, I., Mullick, R. </w:t>
      </w:r>
      <w:r w:rsidR="005973E4">
        <w:rPr>
          <w:rFonts w:ascii="Times New Roman" w:hAnsi="Times New Roman" w:cs="Times New Roman"/>
          <w:sz w:val="24"/>
          <w:szCs w:val="24"/>
        </w:rPr>
        <w:t>A. and</w:t>
      </w:r>
      <w:r w:rsidRPr="000D5ABE">
        <w:rPr>
          <w:rFonts w:ascii="Times New Roman" w:hAnsi="Times New Roman" w:cs="Times New Roman"/>
          <w:sz w:val="24"/>
          <w:szCs w:val="24"/>
        </w:rPr>
        <w:t xml:space="preserve"> Khan, H. M.</w:t>
      </w:r>
      <w:r w:rsidR="005973E4">
        <w:rPr>
          <w:rFonts w:ascii="Times New Roman" w:hAnsi="Times New Roman" w:cs="Times New Roman"/>
          <w:sz w:val="24"/>
          <w:szCs w:val="24"/>
        </w:rPr>
        <w:t xml:space="preserve"> (2020).</w:t>
      </w:r>
      <w:proofErr w:type="gramEnd"/>
      <w:r w:rsidR="005973E4">
        <w:rPr>
          <w:rFonts w:ascii="Times New Roman" w:hAnsi="Times New Roman" w:cs="Times New Roman"/>
          <w:sz w:val="24"/>
          <w:szCs w:val="24"/>
        </w:rPr>
        <w:t xml:space="preserve"> Food security and the </w:t>
      </w:r>
      <w:r w:rsidRPr="000D5ABE">
        <w:rPr>
          <w:rFonts w:ascii="Times New Roman" w:hAnsi="Times New Roman" w:cs="Times New Roman"/>
          <w:sz w:val="24"/>
          <w:szCs w:val="24"/>
        </w:rPr>
        <w:t xml:space="preserve">Coronavirus Disease 2019 (COVID-19): A systemic review. </w:t>
      </w:r>
      <w:proofErr w:type="gramStart"/>
      <w:r w:rsidRPr="000D5ABE">
        <w:rPr>
          <w:rFonts w:ascii="Times New Roman" w:hAnsi="Times New Roman" w:cs="Times New Roman"/>
          <w:i/>
          <w:iCs/>
          <w:sz w:val="24"/>
          <w:szCs w:val="24"/>
        </w:rPr>
        <w:t>JMSCR</w:t>
      </w:r>
      <w:r w:rsidRPr="000D5ABE">
        <w:rPr>
          <w:rFonts w:ascii="Times New Roman" w:hAnsi="Times New Roman" w:cs="Times New Roman"/>
          <w:sz w:val="24"/>
          <w:szCs w:val="24"/>
        </w:rPr>
        <w:t xml:space="preserve">, </w:t>
      </w:r>
      <w:r w:rsidRPr="000D5ABE">
        <w:rPr>
          <w:rFonts w:ascii="Times New Roman" w:hAnsi="Times New Roman" w:cs="Times New Roman"/>
          <w:iCs/>
          <w:sz w:val="24"/>
          <w:szCs w:val="24"/>
        </w:rPr>
        <w:t xml:space="preserve">8 </w:t>
      </w:r>
      <w:r w:rsidR="005973E4">
        <w:rPr>
          <w:rFonts w:ascii="Times New Roman" w:hAnsi="Times New Roman" w:cs="Times New Roman"/>
          <w:sz w:val="24"/>
          <w:szCs w:val="24"/>
        </w:rPr>
        <w:t>(5), pp.180-</w:t>
      </w:r>
      <w:r w:rsidRPr="000D5ABE">
        <w:rPr>
          <w:rFonts w:ascii="Times New Roman" w:hAnsi="Times New Roman" w:cs="Times New Roman"/>
          <w:sz w:val="24"/>
          <w:szCs w:val="24"/>
        </w:rPr>
        <w:t>184.</w:t>
      </w:r>
      <w:proofErr w:type="gramEnd"/>
      <w:r w:rsidRPr="000D5ABE">
        <w:rPr>
          <w:rFonts w:ascii="Times New Roman" w:hAnsi="Times New Roman" w:cs="Times New Roman"/>
          <w:sz w:val="24"/>
          <w:szCs w:val="24"/>
        </w:rPr>
        <w:t xml:space="preserve"> </w:t>
      </w:r>
    </w:p>
    <w:p w:rsidR="00885B0E" w:rsidRDefault="00885B0E" w:rsidP="000D5ABE">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Tsai T. C., Jacobson, B. H. and Jha, A. K., 2020</w:t>
      </w:r>
      <w:r w:rsidR="000D5ABE" w:rsidRPr="000D5ABE">
        <w:rPr>
          <w:rFonts w:ascii="Times New Roman" w:hAnsi="Times New Roman" w:cs="Times New Roman"/>
          <w:color w:val="000000"/>
          <w:sz w:val="24"/>
          <w:szCs w:val="24"/>
        </w:rPr>
        <w:t>.</w:t>
      </w:r>
      <w:proofErr w:type="gramEnd"/>
      <w:r w:rsidR="000D5ABE" w:rsidRPr="000D5ABE">
        <w:rPr>
          <w:rFonts w:ascii="Times New Roman" w:hAnsi="Times New Roman" w:cs="Times New Roman"/>
          <w:color w:val="000000"/>
          <w:sz w:val="24"/>
          <w:szCs w:val="24"/>
        </w:rPr>
        <w:t xml:space="preserve"> </w:t>
      </w:r>
      <w:proofErr w:type="gramStart"/>
      <w:r w:rsidR="000D5ABE" w:rsidRPr="000D5ABE">
        <w:rPr>
          <w:rFonts w:ascii="Times New Roman" w:hAnsi="Times New Roman" w:cs="Times New Roman"/>
          <w:color w:val="000000"/>
          <w:sz w:val="24"/>
          <w:szCs w:val="24"/>
        </w:rPr>
        <w:t xml:space="preserve">American Hospital Capacity </w:t>
      </w:r>
      <w:r w:rsidR="006F6EA7" w:rsidRPr="000D5ABE">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Projected </w:t>
      </w:r>
      <w:r w:rsidR="000D5ABE" w:rsidRPr="000D5ABE">
        <w:rPr>
          <w:rFonts w:ascii="Times New Roman" w:hAnsi="Times New Roman" w:cs="Times New Roman"/>
          <w:color w:val="000000"/>
          <w:sz w:val="24"/>
          <w:szCs w:val="24"/>
        </w:rPr>
        <w:t>Need for COVID-</w:t>
      </w:r>
      <w:r>
        <w:rPr>
          <w:rFonts w:ascii="Times New Roman" w:hAnsi="Times New Roman" w:cs="Times New Roman"/>
          <w:color w:val="000000"/>
          <w:sz w:val="24"/>
          <w:szCs w:val="24"/>
        </w:rPr>
        <w:t>19 Patient Care.</w:t>
      </w:r>
      <w:proofErr w:type="gramEnd"/>
    </w:p>
    <w:p w:rsidR="000D5ABE" w:rsidRPr="00885B0E" w:rsidRDefault="000D5ABE" w:rsidP="00CB6046">
      <w:pPr>
        <w:autoSpaceDE w:val="0"/>
        <w:autoSpaceDN w:val="0"/>
        <w:adjustRightInd w:val="0"/>
        <w:spacing w:line="360" w:lineRule="auto"/>
        <w:jc w:val="both"/>
        <w:rPr>
          <w:rFonts w:ascii="Times New Roman" w:hAnsi="Times New Roman" w:cs="Times New Roman"/>
          <w:color w:val="000000"/>
          <w:sz w:val="24"/>
          <w:szCs w:val="24"/>
        </w:rPr>
      </w:pPr>
      <w:r w:rsidRPr="000D5ABE">
        <w:rPr>
          <w:rFonts w:ascii="Times New Roman" w:hAnsi="Times New Roman" w:cs="Times New Roman"/>
          <w:sz w:val="24"/>
          <w:szCs w:val="24"/>
        </w:rPr>
        <w:t>https://www.healthaffairs.org/do/10.1377/hblog20200317.457910/full/</w:t>
      </w:r>
    </w:p>
    <w:p w:rsidR="000D5ABE" w:rsidRPr="00CB6046" w:rsidRDefault="000D5ABE" w:rsidP="000D5ABE">
      <w:pPr>
        <w:autoSpaceDE w:val="0"/>
        <w:autoSpaceDN w:val="0"/>
        <w:adjustRightInd w:val="0"/>
        <w:spacing w:after="0" w:line="360" w:lineRule="auto"/>
        <w:jc w:val="both"/>
        <w:rPr>
          <w:rFonts w:ascii="Times New Roman" w:hAnsi="Times New Roman" w:cs="Times New Roman"/>
          <w:i/>
          <w:sz w:val="24"/>
          <w:szCs w:val="24"/>
        </w:rPr>
      </w:pPr>
      <w:proofErr w:type="gramStart"/>
      <w:r w:rsidRPr="000D5ABE">
        <w:rPr>
          <w:rFonts w:ascii="Times New Roman" w:hAnsi="Times New Roman" w:cs="Times New Roman"/>
          <w:sz w:val="24"/>
          <w:szCs w:val="24"/>
        </w:rPr>
        <w:t>Verhagen, M. D., Brazel, D. M</w:t>
      </w:r>
      <w:r w:rsidR="00CB6046">
        <w:rPr>
          <w:rFonts w:ascii="Times New Roman" w:hAnsi="Times New Roman" w:cs="Times New Roman"/>
          <w:sz w:val="24"/>
          <w:szCs w:val="24"/>
        </w:rPr>
        <w:t xml:space="preserve">., Dowd, J. B., Kashnitsky, I. and </w:t>
      </w:r>
      <w:r w:rsidR="00676957">
        <w:rPr>
          <w:rFonts w:ascii="Times New Roman" w:hAnsi="Times New Roman" w:cs="Times New Roman"/>
          <w:sz w:val="24"/>
          <w:szCs w:val="24"/>
        </w:rPr>
        <w:t>Mills, M. C., 2020</w:t>
      </w:r>
      <w:r w:rsidRPr="000D5ABE">
        <w:rPr>
          <w:rFonts w:ascii="Times New Roman" w:hAnsi="Times New Roman" w:cs="Times New Roman"/>
          <w:sz w:val="24"/>
          <w:szCs w:val="24"/>
        </w:rPr>
        <w:t>.</w:t>
      </w:r>
      <w:proofErr w:type="gramEnd"/>
      <w:r w:rsidRPr="000D5ABE">
        <w:rPr>
          <w:rFonts w:ascii="Times New Roman" w:hAnsi="Times New Roman" w:cs="Times New Roman"/>
          <w:sz w:val="24"/>
          <w:szCs w:val="24"/>
        </w:rPr>
        <w:t xml:space="preserve"> </w:t>
      </w:r>
      <w:r w:rsidR="00CB6046">
        <w:rPr>
          <w:rFonts w:ascii="Times New Roman" w:hAnsi="Times New Roman" w:cs="Times New Roman"/>
          <w:i/>
          <w:sz w:val="24"/>
          <w:szCs w:val="24"/>
        </w:rPr>
        <w:t xml:space="preserve">Mapping </w:t>
      </w:r>
      <w:r w:rsidRPr="000D5ABE">
        <w:rPr>
          <w:rFonts w:ascii="Times New Roman" w:hAnsi="Times New Roman" w:cs="Times New Roman"/>
          <w:i/>
          <w:sz w:val="24"/>
          <w:szCs w:val="24"/>
        </w:rPr>
        <w:t>hospital demand: demographics, spatial variation, and the ris</w:t>
      </w:r>
      <w:r w:rsidR="00CB6046">
        <w:rPr>
          <w:rFonts w:ascii="Times New Roman" w:hAnsi="Times New Roman" w:cs="Times New Roman"/>
          <w:i/>
          <w:sz w:val="24"/>
          <w:szCs w:val="24"/>
        </w:rPr>
        <w:t xml:space="preserve">k of “hospital deserts” during </w:t>
      </w:r>
      <w:r w:rsidRPr="000D5ABE">
        <w:rPr>
          <w:rFonts w:ascii="Times New Roman" w:hAnsi="Times New Roman" w:cs="Times New Roman"/>
          <w:i/>
          <w:sz w:val="24"/>
          <w:szCs w:val="24"/>
        </w:rPr>
        <w:t>Covid-19 in England and Wales</w:t>
      </w:r>
      <w:r w:rsidRPr="000D5ABE">
        <w:rPr>
          <w:rFonts w:ascii="Times New Roman" w:hAnsi="Times New Roman" w:cs="Times New Roman"/>
          <w:sz w:val="24"/>
          <w:szCs w:val="24"/>
        </w:rPr>
        <w:t>: Oxford.</w:t>
      </w:r>
    </w:p>
    <w:p w:rsidR="001B43F7" w:rsidRDefault="000D5ABE" w:rsidP="009241EF">
      <w:pPr>
        <w:spacing w:after="0" w:line="360" w:lineRule="auto"/>
        <w:ind w:left="720" w:hanging="720"/>
        <w:jc w:val="both"/>
        <w:rPr>
          <w:rFonts w:ascii="Times New Roman" w:hAnsi="Times New Roman" w:cs="Times New Roman"/>
          <w:i/>
          <w:iCs/>
          <w:noProof/>
          <w:sz w:val="24"/>
          <w:szCs w:val="24"/>
        </w:rPr>
      </w:pPr>
      <w:r w:rsidRPr="000D5ABE">
        <w:rPr>
          <w:rFonts w:ascii="Times New Roman" w:hAnsi="Times New Roman" w:cs="Times New Roman"/>
          <w:noProof/>
          <w:sz w:val="24"/>
          <w:szCs w:val="24"/>
        </w:rPr>
        <w:lastRenderedPageBreak/>
        <w:t>Vickers, B., Ali, S., Zhuawu, C., Zimmermann, A., Attaallah</w:t>
      </w:r>
      <w:r w:rsidR="00676957">
        <w:rPr>
          <w:rFonts w:ascii="Times New Roman" w:hAnsi="Times New Roman" w:cs="Times New Roman"/>
          <w:noProof/>
          <w:sz w:val="24"/>
          <w:szCs w:val="24"/>
        </w:rPr>
        <w:t>, H. and</w:t>
      </w:r>
      <w:r w:rsidR="00ED2154">
        <w:rPr>
          <w:rFonts w:ascii="Times New Roman" w:hAnsi="Times New Roman" w:cs="Times New Roman"/>
          <w:noProof/>
          <w:sz w:val="24"/>
          <w:szCs w:val="24"/>
        </w:rPr>
        <w:t xml:space="preserve"> Dervisholli, E.</w:t>
      </w:r>
      <w:r w:rsidR="001B43F7">
        <w:rPr>
          <w:rFonts w:ascii="Times New Roman" w:hAnsi="Times New Roman" w:cs="Times New Roman"/>
          <w:noProof/>
          <w:sz w:val="24"/>
          <w:szCs w:val="24"/>
        </w:rPr>
        <w:t>, 2020</w:t>
      </w:r>
      <w:r w:rsidR="00ED2154">
        <w:rPr>
          <w:rFonts w:ascii="Times New Roman" w:hAnsi="Times New Roman" w:cs="Times New Roman"/>
          <w:noProof/>
          <w:sz w:val="24"/>
          <w:szCs w:val="24"/>
        </w:rPr>
        <w:t>.</w:t>
      </w:r>
      <w:r w:rsidR="00ED2154">
        <w:rPr>
          <w:rFonts w:ascii="Times New Roman" w:hAnsi="Times New Roman" w:cs="Times New Roman"/>
          <w:i/>
          <w:iCs/>
          <w:noProof/>
          <w:sz w:val="24"/>
          <w:szCs w:val="24"/>
        </w:rPr>
        <w:t xml:space="preserve"> </w:t>
      </w:r>
    </w:p>
    <w:p w:rsidR="001B43F7" w:rsidRDefault="00ED2154" w:rsidP="009241EF">
      <w:pPr>
        <w:spacing w:after="0" w:line="360" w:lineRule="auto"/>
        <w:ind w:left="720" w:hanging="720"/>
        <w:jc w:val="both"/>
        <w:rPr>
          <w:rFonts w:ascii="Times New Roman" w:hAnsi="Times New Roman" w:cs="Times New Roman"/>
          <w:iCs/>
          <w:noProof/>
          <w:sz w:val="24"/>
          <w:szCs w:val="24"/>
        </w:rPr>
      </w:pPr>
      <w:r>
        <w:rPr>
          <w:rFonts w:ascii="Times New Roman" w:hAnsi="Times New Roman" w:cs="Times New Roman"/>
          <w:i/>
          <w:iCs/>
          <w:noProof/>
          <w:sz w:val="24"/>
          <w:szCs w:val="24"/>
        </w:rPr>
        <w:t xml:space="preserve">Impacts of the </w:t>
      </w:r>
      <w:r w:rsidRPr="00ED2154">
        <w:rPr>
          <w:rFonts w:ascii="Times New Roman" w:hAnsi="Times New Roman" w:cs="Times New Roman"/>
          <w:i/>
          <w:iCs/>
          <w:noProof/>
          <w:sz w:val="24"/>
          <w:szCs w:val="24"/>
        </w:rPr>
        <w:t>COVID-19</w:t>
      </w:r>
      <w:r>
        <w:rPr>
          <w:rFonts w:ascii="Times New Roman" w:hAnsi="Times New Roman" w:cs="Times New Roman"/>
          <w:i/>
          <w:iCs/>
          <w:noProof/>
          <w:sz w:val="24"/>
          <w:szCs w:val="24"/>
        </w:rPr>
        <w:t xml:space="preserve"> pandemic on food trade in the Commonwealth. </w:t>
      </w:r>
      <w:r w:rsidR="000D5ABE" w:rsidRPr="00ED2154">
        <w:rPr>
          <w:rFonts w:ascii="Times New Roman" w:hAnsi="Times New Roman" w:cs="Times New Roman"/>
          <w:iCs/>
          <w:noProof/>
          <w:sz w:val="24"/>
          <w:szCs w:val="24"/>
        </w:rPr>
        <w:t xml:space="preserve">International Trade </w:t>
      </w:r>
    </w:p>
    <w:p w:rsidR="000D5ABE" w:rsidRPr="000D5ABE" w:rsidRDefault="000D5ABE" w:rsidP="001B43F7">
      <w:pPr>
        <w:spacing w:line="360" w:lineRule="auto"/>
        <w:ind w:left="720" w:hanging="720"/>
        <w:jc w:val="both"/>
        <w:rPr>
          <w:rFonts w:ascii="Times New Roman" w:hAnsi="Times New Roman" w:cs="Times New Roman"/>
          <w:noProof/>
          <w:sz w:val="24"/>
          <w:szCs w:val="24"/>
        </w:rPr>
      </w:pPr>
      <w:r w:rsidRPr="00ED2154">
        <w:rPr>
          <w:rFonts w:ascii="Times New Roman" w:hAnsi="Times New Roman" w:cs="Times New Roman"/>
          <w:iCs/>
          <w:noProof/>
          <w:sz w:val="24"/>
          <w:szCs w:val="24"/>
        </w:rPr>
        <w:t>Working Paper 2020/15</w:t>
      </w:r>
      <w:r w:rsidRPr="000D5ABE">
        <w:rPr>
          <w:rFonts w:ascii="Times New Roman" w:hAnsi="Times New Roman" w:cs="Times New Roman"/>
          <w:i/>
          <w:iCs/>
          <w:noProof/>
          <w:sz w:val="24"/>
          <w:szCs w:val="24"/>
        </w:rPr>
        <w:t>.</w:t>
      </w:r>
      <w:r w:rsidRPr="000D5ABE">
        <w:rPr>
          <w:rFonts w:ascii="Times New Roman" w:hAnsi="Times New Roman" w:cs="Times New Roman"/>
          <w:noProof/>
          <w:sz w:val="24"/>
          <w:szCs w:val="24"/>
        </w:rPr>
        <w:t xml:space="preserve"> London: Commonwealth Secretariat and FAO.</w:t>
      </w:r>
    </w:p>
    <w:p w:rsidR="004056BF" w:rsidRDefault="004056BF" w:rsidP="009241EF">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World Bank. 2020</w:t>
      </w:r>
      <w:r w:rsidR="000D5ABE" w:rsidRPr="000D5ABE">
        <w:rPr>
          <w:rFonts w:ascii="Times New Roman" w:hAnsi="Times New Roman" w:cs="Times New Roman"/>
          <w:noProof/>
          <w:sz w:val="24"/>
          <w:szCs w:val="24"/>
        </w:rPr>
        <w:t xml:space="preserve">. </w:t>
      </w:r>
      <w:r w:rsidR="000D5ABE" w:rsidRPr="000D5ABE">
        <w:rPr>
          <w:rFonts w:ascii="Times New Roman" w:hAnsi="Times New Roman" w:cs="Times New Roman"/>
          <w:i/>
          <w:iCs/>
          <w:noProof/>
          <w:sz w:val="24"/>
          <w:szCs w:val="24"/>
        </w:rPr>
        <w:t>Global economic prospects, June 2020.</w:t>
      </w:r>
      <w:r w:rsidR="000D5ABE" w:rsidRPr="000D5ABE">
        <w:rPr>
          <w:rFonts w:ascii="Times New Roman" w:hAnsi="Times New Roman" w:cs="Times New Roman"/>
          <w:noProof/>
          <w:sz w:val="24"/>
          <w:szCs w:val="24"/>
        </w:rPr>
        <w:t xml:space="preserve"> Washington D.</w:t>
      </w:r>
      <w:r>
        <w:rPr>
          <w:rFonts w:ascii="Times New Roman" w:hAnsi="Times New Roman" w:cs="Times New Roman"/>
          <w:noProof/>
          <w:sz w:val="24"/>
          <w:szCs w:val="24"/>
        </w:rPr>
        <w:t xml:space="preserve"> C.: World Bank. </w:t>
      </w:r>
    </w:p>
    <w:p w:rsidR="000D5ABE" w:rsidRPr="000D5ABE" w:rsidRDefault="000D5ABE" w:rsidP="002B7772">
      <w:pPr>
        <w:spacing w:line="360" w:lineRule="auto"/>
        <w:ind w:left="720" w:hanging="720"/>
        <w:jc w:val="both"/>
        <w:rPr>
          <w:rFonts w:ascii="Times New Roman" w:hAnsi="Times New Roman" w:cs="Times New Roman"/>
          <w:noProof/>
          <w:sz w:val="24"/>
          <w:szCs w:val="24"/>
        </w:rPr>
      </w:pPr>
      <w:r w:rsidRPr="000D5ABE">
        <w:rPr>
          <w:rFonts w:ascii="Times New Roman" w:hAnsi="Times New Roman" w:cs="Times New Roman"/>
          <w:noProof/>
          <w:sz w:val="24"/>
          <w:szCs w:val="24"/>
        </w:rPr>
        <w:t>https://doi.org/10.1596/978- 1-4648-1553-9.</w:t>
      </w:r>
    </w:p>
    <w:p w:rsidR="000D5ABE" w:rsidRPr="000D5ABE" w:rsidRDefault="002B7772" w:rsidP="000D5ABE">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World Health Organization.</w:t>
      </w:r>
      <w:proofErr w:type="gramEnd"/>
      <w:r>
        <w:rPr>
          <w:rFonts w:ascii="Times New Roman" w:hAnsi="Times New Roman" w:cs="Times New Roman"/>
          <w:color w:val="000000"/>
          <w:sz w:val="24"/>
          <w:szCs w:val="24"/>
        </w:rPr>
        <w:t xml:space="preserve"> </w:t>
      </w:r>
      <w:r w:rsidR="000D5ABE" w:rsidRPr="000D5ABE">
        <w:rPr>
          <w:rFonts w:ascii="Times New Roman" w:hAnsi="Times New Roman" w:cs="Times New Roman"/>
          <w:color w:val="000000"/>
          <w:sz w:val="24"/>
          <w:szCs w:val="24"/>
        </w:rPr>
        <w:t>2020. Naming the coronavirus disease (COVID-19) and the virus</w:t>
      </w:r>
    </w:p>
    <w:p w:rsidR="002B7772" w:rsidRDefault="000D5ABE" w:rsidP="000D5ABE">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0D5ABE">
        <w:rPr>
          <w:rFonts w:ascii="Times New Roman" w:hAnsi="Times New Roman" w:cs="Times New Roman"/>
          <w:color w:val="000000"/>
          <w:sz w:val="24"/>
          <w:szCs w:val="24"/>
        </w:rPr>
        <w:t>that</w:t>
      </w:r>
      <w:proofErr w:type="gramEnd"/>
      <w:r w:rsidRPr="000D5ABE">
        <w:rPr>
          <w:rFonts w:ascii="Times New Roman" w:hAnsi="Times New Roman" w:cs="Times New Roman"/>
          <w:color w:val="000000"/>
          <w:sz w:val="24"/>
          <w:szCs w:val="24"/>
        </w:rPr>
        <w:t xml:space="preserve"> causes it. </w:t>
      </w:r>
      <w:proofErr w:type="gramStart"/>
      <w:r w:rsidRPr="000D5ABE">
        <w:rPr>
          <w:rFonts w:ascii="Times New Roman" w:hAnsi="Times New Roman" w:cs="Times New Roman"/>
          <w:color w:val="000000"/>
          <w:sz w:val="24"/>
          <w:szCs w:val="24"/>
        </w:rPr>
        <w:t>Coronavirus disease tec</w:t>
      </w:r>
      <w:r w:rsidR="002B7772">
        <w:rPr>
          <w:rFonts w:ascii="Times New Roman" w:hAnsi="Times New Roman" w:cs="Times New Roman"/>
          <w:color w:val="000000"/>
          <w:sz w:val="24"/>
          <w:szCs w:val="24"/>
        </w:rPr>
        <w:t>hnical guidance.</w:t>
      </w:r>
      <w:proofErr w:type="gramEnd"/>
    </w:p>
    <w:p w:rsidR="00AD0226" w:rsidRPr="002B7772" w:rsidRDefault="006473EA" w:rsidP="002B7772">
      <w:pPr>
        <w:autoSpaceDE w:val="0"/>
        <w:autoSpaceDN w:val="0"/>
        <w:adjustRightInd w:val="0"/>
        <w:spacing w:after="0" w:line="360" w:lineRule="auto"/>
        <w:jc w:val="both"/>
        <w:rPr>
          <w:rFonts w:ascii="Times New Roman" w:hAnsi="Times New Roman" w:cs="Times New Roman"/>
          <w:color w:val="000000"/>
          <w:sz w:val="24"/>
          <w:szCs w:val="24"/>
        </w:rPr>
      </w:pPr>
      <w:hyperlink r:id="rId16" w:history="1">
        <w:proofErr w:type="gramStart"/>
        <w:r w:rsidR="000D5ABE" w:rsidRPr="000D5ABE">
          <w:rPr>
            <w:rFonts w:ascii="Times New Roman" w:hAnsi="Times New Roman" w:cs="Times New Roman"/>
            <w:sz w:val="24"/>
            <w:szCs w:val="24"/>
          </w:rPr>
          <w:t>https://www.who.int/emergencies/diseases/novel-coronavirus-2019/technical-</w:t>
        </w:r>
      </w:hyperlink>
      <w:r w:rsidR="000D5ABE" w:rsidRPr="00DD1181">
        <w:rPr>
          <w:rFonts w:ascii="Times New Roman" w:hAnsi="Times New Roman" w:cs="Times New Roman"/>
          <w:sz w:val="24"/>
          <w:szCs w:val="24"/>
        </w:rPr>
        <w:t>guidance/naming-the-coronavirus-disease</w:t>
      </w:r>
      <w:r w:rsidR="003F5717">
        <w:rPr>
          <w:rFonts w:ascii="Times New Roman" w:hAnsi="Times New Roman" w:cs="Times New Roman"/>
          <w:sz w:val="24"/>
          <w:szCs w:val="24"/>
        </w:rPr>
        <w:t>.</w:t>
      </w:r>
      <w:proofErr w:type="gramEnd"/>
    </w:p>
    <w:p w:rsidR="00164746" w:rsidRDefault="00164746" w:rsidP="000D5ABE">
      <w:pPr>
        <w:spacing w:after="0" w:line="360" w:lineRule="auto"/>
        <w:jc w:val="both"/>
        <w:rPr>
          <w:rFonts w:ascii="Times New Roman" w:eastAsia="Times New Roman" w:hAnsi="Times New Roman" w:cs="Times New Roman"/>
          <w:b/>
          <w:sz w:val="24"/>
          <w:szCs w:val="24"/>
        </w:rPr>
      </w:pPr>
    </w:p>
    <w:p w:rsidR="00AD0226" w:rsidRDefault="00AD0226" w:rsidP="00AD022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r w:rsidRPr="004F158B">
        <w:rPr>
          <w:rFonts w:ascii="Times New Roman" w:eastAsia="Times New Roman" w:hAnsi="Times New Roman" w:cs="Times New Roman"/>
          <w:b/>
          <w:sz w:val="24"/>
          <w:szCs w:val="24"/>
        </w:rPr>
        <w:t>T</w:t>
      </w:r>
      <w:r w:rsidR="00EB2BC4">
        <w:rPr>
          <w:rFonts w:ascii="Times New Roman" w:eastAsia="Times New Roman" w:hAnsi="Times New Roman" w:cs="Times New Roman"/>
          <w:b/>
          <w:sz w:val="24"/>
          <w:szCs w:val="24"/>
        </w:rPr>
        <w:t xml:space="preserve">able A1. Country-specific </w:t>
      </w:r>
      <w:r w:rsidR="00BA0F17">
        <w:rPr>
          <w:rFonts w:ascii="Times New Roman" w:eastAsia="Times New Roman" w:hAnsi="Times New Roman" w:cs="Times New Roman"/>
          <w:b/>
          <w:sz w:val="24"/>
          <w:szCs w:val="24"/>
        </w:rPr>
        <w:t>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1509"/>
        <w:gridCol w:w="1342"/>
        <w:gridCol w:w="1252"/>
        <w:gridCol w:w="1151"/>
        <w:gridCol w:w="763"/>
      </w:tblGrid>
      <w:tr w:rsidR="00AD0226" w:rsidTr="000437DF">
        <w:trPr>
          <w:trHeight w:val="136"/>
        </w:trPr>
        <w:tc>
          <w:tcPr>
            <w:tcW w:w="3517" w:type="dxa"/>
            <w:tcBorders>
              <w:top w:val="single" w:sz="4" w:space="0" w:color="auto"/>
              <w:bottom w:val="single" w:sz="4" w:space="0" w:color="auto"/>
            </w:tcBorders>
          </w:tcPr>
          <w:p w:rsidR="00AD0226" w:rsidRPr="008C05EE" w:rsidRDefault="00AD0226" w:rsidP="00CD2079">
            <w:pPr>
              <w:spacing w:line="360" w:lineRule="auto"/>
              <w:jc w:val="both"/>
              <w:rPr>
                <w:rFonts w:ascii="Times New Roman" w:eastAsia="Times New Roman" w:hAnsi="Times New Roman" w:cs="Times New Roman"/>
                <w:b/>
              </w:rPr>
            </w:pPr>
            <w:r>
              <w:rPr>
                <w:rFonts w:ascii="Times New Roman" w:eastAsia="Times New Roman" w:hAnsi="Times New Roman" w:cs="Times New Roman"/>
                <w:b/>
              </w:rPr>
              <w:t>Variable</w:t>
            </w:r>
          </w:p>
        </w:tc>
        <w:tc>
          <w:tcPr>
            <w:tcW w:w="1509" w:type="dxa"/>
            <w:tcBorders>
              <w:top w:val="single" w:sz="4" w:space="0" w:color="auto"/>
              <w:bottom w:val="single" w:sz="4" w:space="0" w:color="auto"/>
            </w:tcBorders>
          </w:tcPr>
          <w:p w:rsidR="00AD0226" w:rsidRPr="008C05EE" w:rsidRDefault="00AD0226" w:rsidP="00CD2079">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Mean</w:t>
            </w:r>
          </w:p>
        </w:tc>
        <w:tc>
          <w:tcPr>
            <w:tcW w:w="1342" w:type="dxa"/>
            <w:tcBorders>
              <w:top w:val="single" w:sz="4" w:space="0" w:color="auto"/>
              <w:bottom w:val="single" w:sz="4" w:space="0" w:color="auto"/>
            </w:tcBorders>
          </w:tcPr>
          <w:p w:rsidR="00AD0226" w:rsidRPr="008C05EE" w:rsidRDefault="00AD0226" w:rsidP="00CD2079">
            <w:pPr>
              <w:spacing w:line="360" w:lineRule="auto"/>
              <w:jc w:val="both"/>
              <w:rPr>
                <w:rFonts w:ascii="Times New Roman" w:eastAsia="Times New Roman" w:hAnsi="Times New Roman" w:cs="Times New Roman"/>
                <w:b/>
              </w:rPr>
            </w:pPr>
            <w:r>
              <w:rPr>
                <w:rFonts w:ascii="Times New Roman" w:eastAsia="Times New Roman" w:hAnsi="Times New Roman" w:cs="Times New Roman"/>
                <w:b/>
              </w:rPr>
              <w:t>Std. Dev.</w:t>
            </w:r>
          </w:p>
        </w:tc>
        <w:tc>
          <w:tcPr>
            <w:tcW w:w="1252" w:type="dxa"/>
            <w:tcBorders>
              <w:top w:val="single" w:sz="4" w:space="0" w:color="auto"/>
              <w:bottom w:val="single" w:sz="4" w:space="0" w:color="auto"/>
            </w:tcBorders>
          </w:tcPr>
          <w:p w:rsidR="00AD0226" w:rsidRPr="008C05EE" w:rsidRDefault="00AD0226" w:rsidP="00CD2079">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Min</w:t>
            </w:r>
          </w:p>
        </w:tc>
        <w:tc>
          <w:tcPr>
            <w:tcW w:w="1151" w:type="dxa"/>
            <w:tcBorders>
              <w:top w:val="single" w:sz="4" w:space="0" w:color="auto"/>
              <w:bottom w:val="single" w:sz="4" w:space="0" w:color="auto"/>
            </w:tcBorders>
          </w:tcPr>
          <w:p w:rsidR="00AD0226" w:rsidRPr="008C05EE" w:rsidRDefault="00AD0226" w:rsidP="00CD2079">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Max</w:t>
            </w:r>
          </w:p>
        </w:tc>
        <w:tc>
          <w:tcPr>
            <w:tcW w:w="763" w:type="dxa"/>
            <w:tcBorders>
              <w:top w:val="single" w:sz="4" w:space="0" w:color="auto"/>
              <w:bottom w:val="single" w:sz="4" w:space="0" w:color="auto"/>
            </w:tcBorders>
          </w:tcPr>
          <w:p w:rsidR="00AD0226" w:rsidRPr="008C05EE" w:rsidRDefault="00AD0226" w:rsidP="00CD2079">
            <w:pPr>
              <w:spacing w:line="360" w:lineRule="auto"/>
              <w:jc w:val="both"/>
              <w:rPr>
                <w:rFonts w:ascii="Times New Roman" w:eastAsia="Times New Roman" w:hAnsi="Times New Roman" w:cs="Times New Roman"/>
                <w:b/>
              </w:rPr>
            </w:pPr>
            <w:r w:rsidRPr="008C05EE">
              <w:rPr>
                <w:rFonts w:ascii="Times New Roman" w:eastAsia="Times New Roman" w:hAnsi="Times New Roman" w:cs="Times New Roman"/>
                <w:b/>
              </w:rPr>
              <w:t>Obs.</w:t>
            </w:r>
          </w:p>
        </w:tc>
      </w:tr>
      <w:tr w:rsidR="00AD0226" w:rsidTr="000437DF">
        <w:trPr>
          <w:trHeight w:val="1565"/>
        </w:trPr>
        <w:tc>
          <w:tcPr>
            <w:tcW w:w="3517" w:type="dxa"/>
            <w:tcBorders>
              <w:top w:val="single" w:sz="4" w:space="0" w:color="auto"/>
            </w:tcBorders>
          </w:tcPr>
          <w:p w:rsidR="00AD0226" w:rsidRDefault="00762202"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CPI</w:t>
            </w:r>
            <w:r w:rsidR="00B94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D0226">
              <w:rPr>
                <w:rFonts w:ascii="Times New Roman" w:eastAsia="Times New Roman" w:hAnsi="Times New Roman" w:cs="Times New Roman"/>
                <w:sz w:val="24"/>
                <w:szCs w:val="24"/>
              </w:rPr>
              <w:t>Overall</w:t>
            </w:r>
          </w:p>
          <w:p w:rsidR="00AD0226" w:rsidRDefault="00AD0226"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0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Between</w:t>
            </w:r>
          </w:p>
          <w:p w:rsidR="00AD0226" w:rsidRPr="008C05EE" w:rsidRDefault="00AD022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B94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w:t>
            </w:r>
          </w:p>
        </w:tc>
        <w:tc>
          <w:tcPr>
            <w:tcW w:w="1509" w:type="dxa"/>
            <w:tcBorders>
              <w:top w:val="single" w:sz="4" w:space="0" w:color="auto"/>
            </w:tcBorders>
          </w:tcPr>
          <w:p w:rsidR="00AD0226" w:rsidRPr="008C05EE" w:rsidRDefault="00FC47D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4145.429</w:t>
            </w:r>
          </w:p>
        </w:tc>
        <w:tc>
          <w:tcPr>
            <w:tcW w:w="1342" w:type="dxa"/>
            <w:tcBorders>
              <w:top w:val="single" w:sz="4" w:space="0" w:color="auto"/>
            </w:tcBorders>
          </w:tcPr>
          <w:p w:rsidR="00AD0226" w:rsidRDefault="0040484B"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7089.6</w:t>
            </w:r>
            <w:r w:rsidR="00AD0226" w:rsidRPr="00357AB4">
              <w:rPr>
                <w:rFonts w:ascii="Times New Roman" w:eastAsia="Times New Roman" w:hAnsi="Times New Roman" w:cs="Times New Roman"/>
              </w:rPr>
              <w:t>87</w:t>
            </w:r>
            <w:r w:rsidR="00AD0226">
              <w:t xml:space="preserve"> </w:t>
            </w:r>
            <w:r w:rsidR="00D97149" w:rsidRPr="00D97149">
              <w:rPr>
                <w:rFonts w:ascii="Times New Roman" w:eastAsia="Times New Roman" w:hAnsi="Times New Roman" w:cs="Times New Roman"/>
              </w:rPr>
              <w:t>8057.323</w:t>
            </w:r>
          </w:p>
          <w:p w:rsidR="00AD0226" w:rsidRPr="008C05EE" w:rsidRDefault="00D97149" w:rsidP="00CD2079">
            <w:pPr>
              <w:spacing w:line="360" w:lineRule="auto"/>
              <w:jc w:val="both"/>
              <w:rPr>
                <w:rFonts w:ascii="Times New Roman" w:eastAsia="Times New Roman" w:hAnsi="Times New Roman" w:cs="Times New Roman"/>
              </w:rPr>
            </w:pPr>
            <w:r w:rsidRPr="00D97149">
              <w:rPr>
                <w:rFonts w:ascii="Times New Roman" w:eastAsia="Times New Roman" w:hAnsi="Times New Roman" w:cs="Times New Roman"/>
              </w:rPr>
              <w:t>864.907</w:t>
            </w:r>
          </w:p>
        </w:tc>
        <w:tc>
          <w:tcPr>
            <w:tcW w:w="1252" w:type="dxa"/>
            <w:tcBorders>
              <w:top w:val="single" w:sz="4" w:space="0" w:color="auto"/>
            </w:tcBorders>
          </w:tcPr>
          <w:p w:rsidR="00AD0226" w:rsidRDefault="00AD022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107</w:t>
            </w:r>
          </w:p>
          <w:p w:rsidR="00AD0226" w:rsidRPr="008C05EE" w:rsidRDefault="00D97149" w:rsidP="00D04B0E">
            <w:pPr>
              <w:spacing w:line="360" w:lineRule="auto"/>
              <w:jc w:val="both"/>
              <w:rPr>
                <w:rFonts w:ascii="Times New Roman" w:eastAsia="Times New Roman" w:hAnsi="Times New Roman" w:cs="Times New Roman"/>
              </w:rPr>
            </w:pPr>
            <w:r>
              <w:rPr>
                <w:rFonts w:ascii="Times New Roman" w:eastAsia="Times New Roman" w:hAnsi="Times New Roman" w:cs="Times New Roman"/>
              </w:rPr>
              <w:t>110.601</w:t>
            </w:r>
            <w:r w:rsidR="00AD0226" w:rsidRPr="002A3BA8">
              <w:rPr>
                <w:rFonts w:ascii="Times New Roman" w:eastAsia="Times New Roman" w:hAnsi="Times New Roman" w:cs="Times New Roman"/>
              </w:rPr>
              <w:t xml:space="preserve"> </w:t>
            </w:r>
            <w:r>
              <w:rPr>
                <w:rFonts w:ascii="Times New Roman" w:eastAsia="Times New Roman" w:hAnsi="Times New Roman" w:cs="Times New Roman"/>
              </w:rPr>
              <w:t>736.0</w:t>
            </w:r>
            <w:r w:rsidR="00AD0226">
              <w:rPr>
                <w:rFonts w:ascii="Times New Roman" w:eastAsia="Times New Roman" w:hAnsi="Times New Roman" w:cs="Times New Roman"/>
              </w:rPr>
              <w:t>22</w:t>
            </w:r>
          </w:p>
        </w:tc>
        <w:tc>
          <w:tcPr>
            <w:tcW w:w="1151" w:type="dxa"/>
            <w:tcBorders>
              <w:top w:val="single" w:sz="4" w:space="0" w:color="auto"/>
            </w:tcBorders>
          </w:tcPr>
          <w:p w:rsidR="00AD0226" w:rsidRDefault="00A43A3D"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18863.1</w:t>
            </w:r>
            <w:r w:rsidR="00AD0226">
              <w:rPr>
                <w:rFonts w:ascii="Times New Roman" w:eastAsia="Times New Roman" w:hAnsi="Times New Roman" w:cs="Times New Roman"/>
              </w:rPr>
              <w:t>0</w:t>
            </w:r>
          </w:p>
          <w:p w:rsidR="00AD0226" w:rsidRDefault="00F36512"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16231.41</w:t>
            </w:r>
          </w:p>
          <w:p w:rsidR="00AD0226" w:rsidRPr="008C05EE" w:rsidRDefault="00F36512" w:rsidP="00D04B0E">
            <w:pPr>
              <w:spacing w:line="360" w:lineRule="auto"/>
              <w:jc w:val="both"/>
              <w:rPr>
                <w:rFonts w:ascii="Times New Roman" w:eastAsia="Times New Roman" w:hAnsi="Times New Roman" w:cs="Times New Roman"/>
              </w:rPr>
            </w:pPr>
            <w:r>
              <w:rPr>
                <w:rFonts w:ascii="Times New Roman" w:eastAsia="Times New Roman" w:hAnsi="Times New Roman" w:cs="Times New Roman"/>
              </w:rPr>
              <w:t>6777.12</w:t>
            </w:r>
            <w:r w:rsidR="00AD0226" w:rsidRPr="00783998">
              <w:rPr>
                <w:rFonts w:ascii="Times New Roman" w:eastAsia="Times New Roman" w:hAnsi="Times New Roman" w:cs="Times New Roman"/>
              </w:rPr>
              <w:t>2</w:t>
            </w:r>
          </w:p>
        </w:tc>
        <w:tc>
          <w:tcPr>
            <w:tcW w:w="763" w:type="dxa"/>
            <w:tcBorders>
              <w:top w:val="single" w:sz="4" w:space="0" w:color="auto"/>
            </w:tcBorders>
          </w:tcPr>
          <w:p w:rsidR="00AD0226" w:rsidRPr="008C05EE" w:rsidRDefault="00A367A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N=60</w:t>
            </w:r>
          </w:p>
          <w:p w:rsidR="00AD0226" w:rsidRPr="008C05EE" w:rsidRDefault="00AD0226" w:rsidP="00CD2079">
            <w:pPr>
              <w:spacing w:line="360" w:lineRule="auto"/>
              <w:jc w:val="both"/>
              <w:rPr>
                <w:rFonts w:ascii="Times New Roman" w:eastAsia="Times New Roman" w:hAnsi="Times New Roman" w:cs="Times New Roman"/>
              </w:rPr>
            </w:pPr>
            <w:r w:rsidRPr="008C05EE">
              <w:rPr>
                <w:rFonts w:ascii="Times New Roman" w:eastAsia="Times New Roman" w:hAnsi="Times New Roman" w:cs="Times New Roman"/>
              </w:rPr>
              <w:t>n=4</w:t>
            </w:r>
          </w:p>
          <w:p w:rsidR="00BD7E56" w:rsidRPr="008C05EE" w:rsidRDefault="00A367A0" w:rsidP="00D04B0E">
            <w:pPr>
              <w:spacing w:line="360" w:lineRule="auto"/>
              <w:jc w:val="both"/>
              <w:rPr>
                <w:rFonts w:ascii="Times New Roman" w:eastAsia="Times New Roman" w:hAnsi="Times New Roman" w:cs="Times New Roman"/>
              </w:rPr>
            </w:pPr>
            <w:r>
              <w:rPr>
                <w:rFonts w:ascii="Times New Roman" w:eastAsia="Times New Roman" w:hAnsi="Times New Roman" w:cs="Times New Roman"/>
              </w:rPr>
              <w:t>T=15</w:t>
            </w:r>
          </w:p>
        </w:tc>
      </w:tr>
      <w:tr w:rsidR="00BD7E56" w:rsidRPr="008C05EE" w:rsidTr="00EA18D3">
        <w:trPr>
          <w:trHeight w:val="83"/>
        </w:trPr>
        <w:tc>
          <w:tcPr>
            <w:tcW w:w="3517" w:type="dxa"/>
          </w:tcPr>
          <w:p w:rsidR="00BD7E56" w:rsidRPr="008C05EE" w:rsidRDefault="00BD7E56" w:rsidP="00CD2079">
            <w:pPr>
              <w:spacing w:line="360" w:lineRule="auto"/>
              <w:jc w:val="both"/>
              <w:rPr>
                <w:rFonts w:ascii="Times New Roman" w:eastAsia="Times New Roman" w:hAnsi="Times New Roman" w:cs="Times New Roman"/>
              </w:rPr>
            </w:pPr>
          </w:p>
        </w:tc>
        <w:tc>
          <w:tcPr>
            <w:tcW w:w="1509" w:type="dxa"/>
          </w:tcPr>
          <w:p w:rsidR="00BD7E56" w:rsidRPr="008C05EE" w:rsidRDefault="00BD7E56" w:rsidP="00CD2079">
            <w:pPr>
              <w:spacing w:line="360" w:lineRule="auto"/>
              <w:jc w:val="both"/>
              <w:rPr>
                <w:rFonts w:ascii="Times New Roman" w:eastAsia="Times New Roman" w:hAnsi="Times New Roman" w:cs="Times New Roman"/>
              </w:rPr>
            </w:pPr>
          </w:p>
        </w:tc>
        <w:tc>
          <w:tcPr>
            <w:tcW w:w="1342" w:type="dxa"/>
          </w:tcPr>
          <w:p w:rsidR="00BD7E56" w:rsidRPr="008C05EE" w:rsidRDefault="00BD7E56" w:rsidP="00CD2079">
            <w:pPr>
              <w:spacing w:line="360" w:lineRule="auto"/>
              <w:jc w:val="both"/>
              <w:rPr>
                <w:rFonts w:ascii="Times New Roman" w:eastAsia="Times New Roman" w:hAnsi="Times New Roman" w:cs="Times New Roman"/>
              </w:rPr>
            </w:pPr>
          </w:p>
        </w:tc>
        <w:tc>
          <w:tcPr>
            <w:tcW w:w="1252" w:type="dxa"/>
          </w:tcPr>
          <w:p w:rsidR="00BD7E56" w:rsidRPr="008C05EE" w:rsidRDefault="00BD7E56" w:rsidP="00CD2079">
            <w:pPr>
              <w:spacing w:line="360" w:lineRule="auto"/>
              <w:jc w:val="both"/>
              <w:rPr>
                <w:rFonts w:ascii="Times New Roman" w:eastAsia="Times New Roman" w:hAnsi="Times New Roman" w:cs="Times New Roman"/>
              </w:rPr>
            </w:pPr>
          </w:p>
        </w:tc>
        <w:tc>
          <w:tcPr>
            <w:tcW w:w="1151" w:type="dxa"/>
          </w:tcPr>
          <w:p w:rsidR="00BD7E56" w:rsidRPr="008C05EE" w:rsidRDefault="00BD7E56" w:rsidP="00CD2079">
            <w:pPr>
              <w:spacing w:line="360" w:lineRule="auto"/>
              <w:jc w:val="both"/>
              <w:rPr>
                <w:rFonts w:ascii="Times New Roman" w:eastAsia="Times New Roman" w:hAnsi="Times New Roman" w:cs="Times New Roman"/>
              </w:rPr>
            </w:pPr>
          </w:p>
        </w:tc>
        <w:tc>
          <w:tcPr>
            <w:tcW w:w="763" w:type="dxa"/>
          </w:tcPr>
          <w:p w:rsidR="00BD7E56" w:rsidRPr="008C05EE" w:rsidRDefault="00BD7E56" w:rsidP="00CD2079">
            <w:pPr>
              <w:spacing w:line="360" w:lineRule="auto"/>
              <w:jc w:val="both"/>
              <w:rPr>
                <w:rFonts w:ascii="Times New Roman" w:eastAsia="Times New Roman" w:hAnsi="Times New Roman" w:cs="Times New Roman"/>
              </w:rPr>
            </w:pPr>
          </w:p>
        </w:tc>
      </w:tr>
      <w:tr w:rsidR="00BD7E56" w:rsidRPr="008C05EE" w:rsidTr="000437DF">
        <w:trPr>
          <w:trHeight w:val="136"/>
        </w:trPr>
        <w:tc>
          <w:tcPr>
            <w:tcW w:w="3517" w:type="dxa"/>
          </w:tcPr>
          <w:p w:rsidR="00BD7E56" w:rsidRDefault="00B94591"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Oil Prices</w:t>
            </w:r>
            <w:r w:rsidR="00BD7E56">
              <w:rPr>
                <w:rFonts w:ascii="Times New Roman" w:eastAsia="Times New Roman" w:hAnsi="Times New Roman" w:cs="Times New Roman"/>
                <w:b/>
                <w:sz w:val="24"/>
                <w:szCs w:val="24"/>
              </w:rPr>
              <w:t xml:space="preserve">             </w:t>
            </w:r>
            <w:r w:rsidR="00BD7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7E56">
              <w:rPr>
                <w:rFonts w:ascii="Times New Roman" w:eastAsia="Times New Roman" w:hAnsi="Times New Roman" w:cs="Times New Roman"/>
                <w:sz w:val="24"/>
                <w:szCs w:val="24"/>
              </w:rPr>
              <w:t>Overall</w:t>
            </w:r>
          </w:p>
          <w:p w:rsidR="00BD7E56" w:rsidRDefault="00BD7E56"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Between</w:t>
            </w:r>
          </w:p>
          <w:p w:rsidR="00BD7E56" w:rsidRPr="008C05EE" w:rsidRDefault="00BD7E5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B94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w:t>
            </w:r>
          </w:p>
        </w:tc>
        <w:tc>
          <w:tcPr>
            <w:tcW w:w="1509" w:type="dxa"/>
          </w:tcPr>
          <w:p w:rsidR="00BD7E56" w:rsidRPr="008C05EE"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45.73</w:t>
            </w:r>
            <w:r w:rsidR="00034A33">
              <w:rPr>
                <w:rFonts w:ascii="Times New Roman" w:eastAsia="Times New Roman" w:hAnsi="Times New Roman" w:cs="Times New Roman"/>
              </w:rPr>
              <w:t>0</w:t>
            </w:r>
          </w:p>
        </w:tc>
        <w:tc>
          <w:tcPr>
            <w:tcW w:w="1342" w:type="dxa"/>
          </w:tcPr>
          <w:p w:rsidR="00BD7E56" w:rsidRPr="006B56CE" w:rsidRDefault="002E4096" w:rsidP="00CD2079">
            <w:pPr>
              <w:spacing w:line="360" w:lineRule="auto"/>
              <w:jc w:val="both"/>
              <w:rPr>
                <w:rFonts w:ascii="Times New Roman" w:hAnsi="Times New Roman" w:cs="Times New Roman"/>
              </w:rPr>
            </w:pPr>
            <w:r>
              <w:rPr>
                <w:rFonts w:ascii="Times New Roman" w:hAnsi="Times New Roman" w:cs="Times New Roman"/>
              </w:rPr>
              <w:t>14.073</w:t>
            </w:r>
          </w:p>
          <w:p w:rsidR="00BD7E56"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0</w:t>
            </w:r>
          </w:p>
          <w:p w:rsidR="00BD7E56" w:rsidRPr="008C05EE"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14.073</w:t>
            </w:r>
          </w:p>
        </w:tc>
        <w:tc>
          <w:tcPr>
            <w:tcW w:w="1252" w:type="dxa"/>
          </w:tcPr>
          <w:p w:rsidR="00BD7E56"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17.66</w:t>
            </w:r>
          </w:p>
          <w:p w:rsidR="00BD7E56"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45.73</w:t>
            </w:r>
          </w:p>
          <w:p w:rsidR="00BD7E56" w:rsidRPr="008C05EE"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17.66</w:t>
            </w:r>
          </w:p>
        </w:tc>
        <w:tc>
          <w:tcPr>
            <w:tcW w:w="1151" w:type="dxa"/>
          </w:tcPr>
          <w:p w:rsidR="00BD7E56"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66.91</w:t>
            </w:r>
          </w:p>
          <w:p w:rsidR="00BD7E56"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45.73</w:t>
            </w:r>
          </w:p>
          <w:p w:rsidR="00BD7E56" w:rsidRDefault="002E4096" w:rsidP="00EA18D3">
            <w:pPr>
              <w:spacing w:line="360" w:lineRule="auto"/>
              <w:jc w:val="both"/>
              <w:rPr>
                <w:rFonts w:ascii="Times New Roman" w:eastAsia="Times New Roman" w:hAnsi="Times New Roman" w:cs="Times New Roman"/>
              </w:rPr>
            </w:pPr>
            <w:r>
              <w:rPr>
                <w:rFonts w:ascii="Times New Roman" w:eastAsia="Times New Roman" w:hAnsi="Times New Roman" w:cs="Times New Roman"/>
              </w:rPr>
              <w:t>66.91</w:t>
            </w:r>
          </w:p>
          <w:p w:rsidR="00EA18D3" w:rsidRPr="008C05EE" w:rsidRDefault="00EA18D3" w:rsidP="00EA18D3">
            <w:pPr>
              <w:spacing w:line="360" w:lineRule="auto"/>
              <w:jc w:val="both"/>
              <w:rPr>
                <w:rFonts w:ascii="Times New Roman" w:eastAsia="Times New Roman" w:hAnsi="Times New Roman" w:cs="Times New Roman"/>
              </w:rPr>
            </w:pPr>
          </w:p>
        </w:tc>
        <w:tc>
          <w:tcPr>
            <w:tcW w:w="763" w:type="dxa"/>
          </w:tcPr>
          <w:p w:rsidR="00BD7E56" w:rsidRPr="008C05EE" w:rsidRDefault="00BD7E5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N=60</w:t>
            </w:r>
          </w:p>
          <w:p w:rsidR="00BD7E56" w:rsidRPr="008C05EE" w:rsidRDefault="00BD7E56" w:rsidP="00CD2079">
            <w:pPr>
              <w:spacing w:line="360" w:lineRule="auto"/>
              <w:jc w:val="both"/>
              <w:rPr>
                <w:rFonts w:ascii="Times New Roman" w:eastAsia="Times New Roman" w:hAnsi="Times New Roman" w:cs="Times New Roman"/>
              </w:rPr>
            </w:pPr>
            <w:r w:rsidRPr="008C05EE">
              <w:rPr>
                <w:rFonts w:ascii="Times New Roman" w:eastAsia="Times New Roman" w:hAnsi="Times New Roman" w:cs="Times New Roman"/>
              </w:rPr>
              <w:t>n=4</w:t>
            </w:r>
          </w:p>
          <w:p w:rsidR="00BD7E56" w:rsidRPr="008C05EE" w:rsidRDefault="00BD7E5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T=15</w:t>
            </w:r>
          </w:p>
        </w:tc>
      </w:tr>
      <w:tr w:rsidR="00AD0226" w:rsidTr="000437DF">
        <w:trPr>
          <w:trHeight w:val="136"/>
        </w:trPr>
        <w:tc>
          <w:tcPr>
            <w:tcW w:w="3517" w:type="dxa"/>
          </w:tcPr>
          <w:p w:rsidR="00AD0226" w:rsidRDefault="00490C8C"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Covid C</w:t>
            </w:r>
            <w:r w:rsidR="00AD0226">
              <w:rPr>
                <w:rFonts w:ascii="Times New Roman" w:eastAsia="Times New Roman" w:hAnsi="Times New Roman" w:cs="Times New Roman"/>
                <w:b/>
                <w:sz w:val="24"/>
                <w:szCs w:val="24"/>
              </w:rPr>
              <w:t>ases</w:t>
            </w:r>
            <w:r w:rsidR="004F3D1B">
              <w:rPr>
                <w:rFonts w:ascii="Times New Roman" w:eastAsia="Times New Roman" w:hAnsi="Times New Roman" w:cs="Times New Roman"/>
                <w:b/>
                <w:sz w:val="24"/>
                <w:szCs w:val="24"/>
              </w:rPr>
              <w:t xml:space="preserve">  </w:t>
            </w:r>
            <w:r w:rsidR="00AD0226">
              <w:rPr>
                <w:rFonts w:ascii="Times New Roman" w:eastAsia="Times New Roman" w:hAnsi="Times New Roman" w:cs="Times New Roman"/>
                <w:b/>
                <w:sz w:val="24"/>
                <w:szCs w:val="24"/>
              </w:rPr>
              <w:t xml:space="preserve">                </w:t>
            </w:r>
            <w:r w:rsidR="00AD0226">
              <w:rPr>
                <w:rFonts w:ascii="Times New Roman" w:eastAsia="Times New Roman" w:hAnsi="Times New Roman" w:cs="Times New Roman"/>
                <w:sz w:val="24"/>
                <w:szCs w:val="24"/>
              </w:rPr>
              <w:t>Overall</w:t>
            </w:r>
          </w:p>
          <w:p w:rsidR="00AD0226" w:rsidRDefault="00AD0226"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Between</w:t>
            </w:r>
          </w:p>
          <w:p w:rsidR="00AD0226" w:rsidRPr="00E703CB" w:rsidRDefault="00AD0226"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0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w:t>
            </w:r>
          </w:p>
        </w:tc>
        <w:tc>
          <w:tcPr>
            <w:tcW w:w="1509" w:type="dxa"/>
          </w:tcPr>
          <w:p w:rsidR="00AD0226" w:rsidRPr="008C05EE" w:rsidRDefault="001E645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4262.267</w:t>
            </w:r>
          </w:p>
        </w:tc>
        <w:tc>
          <w:tcPr>
            <w:tcW w:w="1342" w:type="dxa"/>
          </w:tcPr>
          <w:p w:rsidR="00AD0226" w:rsidRPr="006B56CE" w:rsidRDefault="001E6450" w:rsidP="00CD2079">
            <w:pPr>
              <w:spacing w:line="360" w:lineRule="auto"/>
              <w:jc w:val="both"/>
              <w:rPr>
                <w:rFonts w:ascii="Times New Roman" w:hAnsi="Times New Roman" w:cs="Times New Roman"/>
              </w:rPr>
            </w:pPr>
            <w:r>
              <w:rPr>
                <w:rFonts w:ascii="Times New Roman" w:hAnsi="Times New Roman" w:cs="Times New Roman"/>
              </w:rPr>
              <w:t>6785.7</w:t>
            </w:r>
            <w:r w:rsidR="00AD0226" w:rsidRPr="006B56CE">
              <w:rPr>
                <w:rFonts w:ascii="Times New Roman" w:hAnsi="Times New Roman" w:cs="Times New Roman"/>
              </w:rPr>
              <w:t>45</w:t>
            </w:r>
          </w:p>
          <w:p w:rsidR="00AD0226" w:rsidRDefault="001E645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4849.632</w:t>
            </w:r>
          </w:p>
          <w:p w:rsidR="00AD0226" w:rsidRPr="008C05EE" w:rsidRDefault="001E645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5301.713</w:t>
            </w:r>
          </w:p>
        </w:tc>
        <w:tc>
          <w:tcPr>
            <w:tcW w:w="1252" w:type="dxa"/>
          </w:tcPr>
          <w:p w:rsidR="00AD0226" w:rsidRDefault="00AD022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w:t>
            </w:r>
          </w:p>
          <w:p w:rsidR="00AD0226" w:rsidRDefault="001E645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712.533</w:t>
            </w:r>
          </w:p>
          <w:p w:rsidR="00AD0226" w:rsidRPr="008C05EE" w:rsidRDefault="001E6450" w:rsidP="004F3D1B">
            <w:pPr>
              <w:spacing w:line="360" w:lineRule="auto"/>
              <w:jc w:val="both"/>
              <w:rPr>
                <w:rFonts w:ascii="Times New Roman" w:eastAsia="Times New Roman" w:hAnsi="Times New Roman" w:cs="Times New Roman"/>
              </w:rPr>
            </w:pPr>
            <w:r>
              <w:rPr>
                <w:rFonts w:ascii="Times New Roman" w:eastAsia="Times New Roman" w:hAnsi="Times New Roman" w:cs="Times New Roman"/>
              </w:rPr>
              <w:t>-7061.06</w:t>
            </w:r>
            <w:r w:rsidR="00AD0226" w:rsidRPr="00D75106">
              <w:rPr>
                <w:rFonts w:ascii="Times New Roman" w:eastAsia="Times New Roman" w:hAnsi="Times New Roman" w:cs="Times New Roman"/>
              </w:rPr>
              <w:t>7</w:t>
            </w:r>
          </w:p>
        </w:tc>
        <w:tc>
          <w:tcPr>
            <w:tcW w:w="1151" w:type="dxa"/>
          </w:tcPr>
          <w:p w:rsidR="00AD0226" w:rsidRDefault="00AD022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28426</w:t>
            </w:r>
          </w:p>
          <w:p w:rsidR="00AD0226" w:rsidRDefault="002E409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11382.330</w:t>
            </w:r>
          </w:p>
          <w:p w:rsidR="00AD0226" w:rsidRPr="008C05EE" w:rsidRDefault="002E4096" w:rsidP="000F7E73">
            <w:pPr>
              <w:spacing w:line="360" w:lineRule="auto"/>
              <w:jc w:val="both"/>
              <w:rPr>
                <w:rFonts w:ascii="Times New Roman" w:eastAsia="Times New Roman" w:hAnsi="Times New Roman" w:cs="Times New Roman"/>
              </w:rPr>
            </w:pPr>
            <w:r>
              <w:rPr>
                <w:rFonts w:ascii="Times New Roman" w:eastAsia="Times New Roman" w:hAnsi="Times New Roman" w:cs="Times New Roman"/>
              </w:rPr>
              <w:t>21305.93</w:t>
            </w:r>
            <w:r w:rsidR="00AD0226">
              <w:rPr>
                <w:rFonts w:ascii="Times New Roman" w:eastAsia="Times New Roman" w:hAnsi="Times New Roman" w:cs="Times New Roman"/>
              </w:rPr>
              <w:t>0</w:t>
            </w:r>
          </w:p>
        </w:tc>
        <w:tc>
          <w:tcPr>
            <w:tcW w:w="763" w:type="dxa"/>
          </w:tcPr>
          <w:p w:rsidR="00AD0226" w:rsidRPr="008C05EE" w:rsidRDefault="00A367A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N=60</w:t>
            </w:r>
          </w:p>
          <w:p w:rsidR="00AD0226" w:rsidRPr="008C05EE" w:rsidRDefault="00AD0226" w:rsidP="00CD2079">
            <w:pPr>
              <w:spacing w:line="360" w:lineRule="auto"/>
              <w:jc w:val="both"/>
              <w:rPr>
                <w:rFonts w:ascii="Times New Roman" w:eastAsia="Times New Roman" w:hAnsi="Times New Roman" w:cs="Times New Roman"/>
              </w:rPr>
            </w:pPr>
            <w:r w:rsidRPr="008C05EE">
              <w:rPr>
                <w:rFonts w:ascii="Times New Roman" w:eastAsia="Times New Roman" w:hAnsi="Times New Roman" w:cs="Times New Roman"/>
              </w:rPr>
              <w:t>n=4</w:t>
            </w:r>
          </w:p>
          <w:p w:rsidR="00AD0226" w:rsidRPr="008C05EE" w:rsidRDefault="00A367A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T=15</w:t>
            </w:r>
          </w:p>
        </w:tc>
      </w:tr>
      <w:tr w:rsidR="00AD0226" w:rsidTr="000437DF">
        <w:trPr>
          <w:trHeight w:val="136"/>
        </w:trPr>
        <w:tc>
          <w:tcPr>
            <w:tcW w:w="3517" w:type="dxa"/>
          </w:tcPr>
          <w:p w:rsidR="00AD0226" w:rsidRPr="008C05EE" w:rsidRDefault="00AD0226" w:rsidP="00CD2079">
            <w:pPr>
              <w:spacing w:line="360" w:lineRule="auto"/>
              <w:jc w:val="both"/>
              <w:rPr>
                <w:rFonts w:ascii="Times New Roman" w:eastAsia="Times New Roman" w:hAnsi="Times New Roman" w:cs="Times New Roman"/>
              </w:rPr>
            </w:pPr>
          </w:p>
        </w:tc>
        <w:tc>
          <w:tcPr>
            <w:tcW w:w="1509" w:type="dxa"/>
          </w:tcPr>
          <w:p w:rsidR="00AD0226" w:rsidRPr="008C05EE" w:rsidRDefault="00AD0226" w:rsidP="00CD2079">
            <w:pPr>
              <w:spacing w:line="360" w:lineRule="auto"/>
              <w:jc w:val="both"/>
              <w:rPr>
                <w:rFonts w:ascii="Times New Roman" w:eastAsia="Times New Roman" w:hAnsi="Times New Roman" w:cs="Times New Roman"/>
              </w:rPr>
            </w:pPr>
          </w:p>
        </w:tc>
        <w:tc>
          <w:tcPr>
            <w:tcW w:w="1342" w:type="dxa"/>
          </w:tcPr>
          <w:p w:rsidR="00AD0226" w:rsidRPr="008C05EE" w:rsidRDefault="00AD0226" w:rsidP="00CD2079">
            <w:pPr>
              <w:spacing w:line="360" w:lineRule="auto"/>
              <w:jc w:val="both"/>
              <w:rPr>
                <w:rFonts w:ascii="Times New Roman" w:eastAsia="Times New Roman" w:hAnsi="Times New Roman" w:cs="Times New Roman"/>
              </w:rPr>
            </w:pPr>
          </w:p>
        </w:tc>
        <w:tc>
          <w:tcPr>
            <w:tcW w:w="1252" w:type="dxa"/>
          </w:tcPr>
          <w:p w:rsidR="00AD0226" w:rsidRPr="008C05EE" w:rsidRDefault="00AD0226" w:rsidP="00CD2079">
            <w:pPr>
              <w:spacing w:line="360" w:lineRule="auto"/>
              <w:jc w:val="both"/>
              <w:rPr>
                <w:rFonts w:ascii="Times New Roman" w:eastAsia="Times New Roman" w:hAnsi="Times New Roman" w:cs="Times New Roman"/>
              </w:rPr>
            </w:pPr>
          </w:p>
        </w:tc>
        <w:tc>
          <w:tcPr>
            <w:tcW w:w="1151" w:type="dxa"/>
          </w:tcPr>
          <w:p w:rsidR="00AD0226" w:rsidRPr="008C05EE" w:rsidRDefault="00AD0226" w:rsidP="00CD2079">
            <w:pPr>
              <w:spacing w:line="360" w:lineRule="auto"/>
              <w:jc w:val="both"/>
              <w:rPr>
                <w:rFonts w:ascii="Times New Roman" w:eastAsia="Times New Roman" w:hAnsi="Times New Roman" w:cs="Times New Roman"/>
              </w:rPr>
            </w:pPr>
          </w:p>
        </w:tc>
        <w:tc>
          <w:tcPr>
            <w:tcW w:w="763" w:type="dxa"/>
          </w:tcPr>
          <w:p w:rsidR="00AD0226" w:rsidRPr="008C05EE" w:rsidRDefault="00AD0226" w:rsidP="00CD2079">
            <w:pPr>
              <w:spacing w:line="360" w:lineRule="auto"/>
              <w:jc w:val="both"/>
              <w:rPr>
                <w:rFonts w:ascii="Times New Roman" w:eastAsia="Times New Roman" w:hAnsi="Times New Roman" w:cs="Times New Roman"/>
              </w:rPr>
            </w:pPr>
          </w:p>
        </w:tc>
      </w:tr>
      <w:tr w:rsidR="00E703CB" w:rsidRPr="008C05EE" w:rsidTr="00124274">
        <w:trPr>
          <w:trHeight w:val="136"/>
        </w:trPr>
        <w:tc>
          <w:tcPr>
            <w:tcW w:w="3517" w:type="dxa"/>
          </w:tcPr>
          <w:p w:rsidR="00E703CB" w:rsidRDefault="00490C8C"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Trade B</w:t>
            </w:r>
            <w:r w:rsidR="00E703CB">
              <w:rPr>
                <w:rFonts w:ascii="Times New Roman" w:eastAsia="Times New Roman" w:hAnsi="Times New Roman" w:cs="Times New Roman"/>
                <w:b/>
                <w:sz w:val="24"/>
                <w:szCs w:val="24"/>
              </w:rPr>
              <w:t xml:space="preserve">alance              </w:t>
            </w:r>
            <w:r w:rsidR="00E703CB">
              <w:rPr>
                <w:rFonts w:ascii="Times New Roman" w:eastAsia="Times New Roman" w:hAnsi="Times New Roman" w:cs="Times New Roman"/>
                <w:sz w:val="24"/>
                <w:szCs w:val="24"/>
              </w:rPr>
              <w:t>Overall</w:t>
            </w:r>
          </w:p>
          <w:p w:rsidR="00E703CB" w:rsidRDefault="00E703CB"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Between</w:t>
            </w:r>
          </w:p>
          <w:p w:rsidR="00E703CB" w:rsidRPr="008C05EE"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Within</w:t>
            </w:r>
          </w:p>
        </w:tc>
        <w:tc>
          <w:tcPr>
            <w:tcW w:w="1509" w:type="dxa"/>
          </w:tcPr>
          <w:p w:rsidR="00E703CB" w:rsidRPr="008C05EE" w:rsidRDefault="00034A33"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437.079</w:t>
            </w:r>
          </w:p>
        </w:tc>
        <w:tc>
          <w:tcPr>
            <w:tcW w:w="1342" w:type="dxa"/>
          </w:tcPr>
          <w:p w:rsidR="00E703CB" w:rsidRPr="006B56CE" w:rsidRDefault="00976B45" w:rsidP="00124274">
            <w:pPr>
              <w:spacing w:line="360" w:lineRule="auto"/>
              <w:jc w:val="both"/>
              <w:rPr>
                <w:rFonts w:ascii="Times New Roman" w:hAnsi="Times New Roman" w:cs="Times New Roman"/>
              </w:rPr>
            </w:pPr>
            <w:r>
              <w:rPr>
                <w:rFonts w:ascii="Times New Roman" w:hAnsi="Times New Roman" w:cs="Times New Roman"/>
              </w:rPr>
              <w:t>274.954</w:t>
            </w:r>
          </w:p>
          <w:p w:rsidR="00E703CB" w:rsidRDefault="00046E23"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275.977</w:t>
            </w:r>
          </w:p>
          <w:p w:rsidR="00E703CB" w:rsidRPr="008C05EE" w:rsidRDefault="003C3CB4"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132.322</w:t>
            </w:r>
          </w:p>
        </w:tc>
        <w:tc>
          <w:tcPr>
            <w:tcW w:w="1252" w:type="dxa"/>
          </w:tcPr>
          <w:p w:rsidR="00E703CB" w:rsidRDefault="00717DAE"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128.</w:t>
            </w:r>
            <w:r w:rsidR="00E703CB">
              <w:rPr>
                <w:rFonts w:ascii="Times New Roman" w:eastAsia="Times New Roman" w:hAnsi="Times New Roman" w:cs="Times New Roman"/>
              </w:rPr>
              <w:t>6</w:t>
            </w:r>
          </w:p>
          <w:p w:rsidR="00E703CB" w:rsidRDefault="00046E23" w:rsidP="00124274">
            <w:pPr>
              <w:spacing w:line="360" w:lineRule="auto"/>
              <w:jc w:val="both"/>
              <w:rPr>
                <w:rFonts w:ascii="Times New Roman" w:eastAsia="Times New Roman" w:hAnsi="Times New Roman" w:cs="Times New Roman"/>
              </w:rPr>
            </w:pPr>
            <w:r w:rsidRPr="00046E23">
              <w:rPr>
                <w:rFonts w:ascii="Times New Roman" w:eastAsia="Times New Roman" w:hAnsi="Times New Roman" w:cs="Times New Roman"/>
              </w:rPr>
              <w:t>184.471</w:t>
            </w:r>
          </w:p>
          <w:p w:rsidR="00E703CB" w:rsidRPr="008C05EE" w:rsidRDefault="00046E23"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184.521</w:t>
            </w:r>
          </w:p>
        </w:tc>
        <w:tc>
          <w:tcPr>
            <w:tcW w:w="1151" w:type="dxa"/>
          </w:tcPr>
          <w:p w:rsidR="00E703CB" w:rsidRDefault="00717DAE"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1083.11</w:t>
            </w:r>
          </w:p>
          <w:p w:rsidR="00E703CB" w:rsidRDefault="00046E23"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829.168</w:t>
            </w:r>
          </w:p>
          <w:p w:rsidR="00E703CB" w:rsidRDefault="0062336F"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1013.084</w:t>
            </w:r>
          </w:p>
          <w:p w:rsidR="00E703CB" w:rsidRPr="008C05EE" w:rsidRDefault="00E703CB" w:rsidP="00124274">
            <w:pPr>
              <w:spacing w:line="360" w:lineRule="auto"/>
              <w:jc w:val="both"/>
              <w:rPr>
                <w:rFonts w:ascii="Times New Roman" w:eastAsia="Times New Roman" w:hAnsi="Times New Roman" w:cs="Times New Roman"/>
              </w:rPr>
            </w:pPr>
          </w:p>
        </w:tc>
        <w:tc>
          <w:tcPr>
            <w:tcW w:w="763" w:type="dxa"/>
          </w:tcPr>
          <w:p w:rsidR="00E703CB" w:rsidRPr="008C05EE"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t>N=60</w:t>
            </w:r>
          </w:p>
          <w:p w:rsidR="00E703CB" w:rsidRPr="008C05EE" w:rsidRDefault="00E703CB" w:rsidP="00124274">
            <w:pPr>
              <w:spacing w:line="360" w:lineRule="auto"/>
              <w:jc w:val="both"/>
              <w:rPr>
                <w:rFonts w:ascii="Times New Roman" w:eastAsia="Times New Roman" w:hAnsi="Times New Roman" w:cs="Times New Roman"/>
              </w:rPr>
            </w:pPr>
            <w:r w:rsidRPr="008C05EE">
              <w:rPr>
                <w:rFonts w:ascii="Times New Roman" w:eastAsia="Times New Roman" w:hAnsi="Times New Roman" w:cs="Times New Roman"/>
              </w:rPr>
              <w:t>n=4</w:t>
            </w:r>
          </w:p>
          <w:p w:rsidR="00E703CB" w:rsidRPr="008C05EE" w:rsidRDefault="00E703CB" w:rsidP="0070713B">
            <w:pPr>
              <w:spacing w:line="360" w:lineRule="auto"/>
              <w:jc w:val="both"/>
              <w:rPr>
                <w:rFonts w:ascii="Times New Roman" w:eastAsia="Times New Roman" w:hAnsi="Times New Roman" w:cs="Times New Roman"/>
              </w:rPr>
            </w:pPr>
            <w:r>
              <w:rPr>
                <w:rFonts w:ascii="Times New Roman" w:eastAsia="Times New Roman" w:hAnsi="Times New Roman" w:cs="Times New Roman"/>
              </w:rPr>
              <w:t>T=15</w:t>
            </w:r>
          </w:p>
        </w:tc>
      </w:tr>
      <w:tr w:rsidR="00E703CB" w:rsidRPr="008C05EE" w:rsidTr="00124274">
        <w:trPr>
          <w:trHeight w:val="136"/>
        </w:trPr>
        <w:tc>
          <w:tcPr>
            <w:tcW w:w="3517" w:type="dxa"/>
          </w:tcPr>
          <w:p w:rsidR="00E703CB" w:rsidRDefault="00490C8C"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M2</w:t>
            </w:r>
            <w:r w:rsidR="00E703CB">
              <w:rPr>
                <w:rFonts w:ascii="Times New Roman" w:eastAsia="Times New Roman" w:hAnsi="Times New Roman" w:cs="Times New Roman"/>
                <w:b/>
                <w:sz w:val="24"/>
                <w:szCs w:val="24"/>
              </w:rPr>
              <w:t xml:space="preserve"> Money</w:t>
            </w:r>
            <w:r>
              <w:rPr>
                <w:rFonts w:ascii="Times New Roman" w:eastAsia="Times New Roman" w:hAnsi="Times New Roman" w:cs="Times New Roman"/>
                <w:b/>
                <w:sz w:val="24"/>
                <w:szCs w:val="24"/>
              </w:rPr>
              <w:t xml:space="preserve"> </w:t>
            </w:r>
            <w:r w:rsidR="00E703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703CB">
              <w:rPr>
                <w:rFonts w:ascii="Times New Roman" w:eastAsia="Times New Roman" w:hAnsi="Times New Roman" w:cs="Times New Roman"/>
                <w:sz w:val="24"/>
                <w:szCs w:val="24"/>
              </w:rPr>
              <w:t>Overall</w:t>
            </w:r>
          </w:p>
          <w:p w:rsidR="00E703CB" w:rsidRDefault="00E703CB" w:rsidP="001242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Between</w:t>
            </w:r>
          </w:p>
          <w:p w:rsidR="00E703CB" w:rsidRPr="008C05EE"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Within</w:t>
            </w:r>
          </w:p>
        </w:tc>
        <w:tc>
          <w:tcPr>
            <w:tcW w:w="1509" w:type="dxa"/>
          </w:tcPr>
          <w:p w:rsidR="00E703CB" w:rsidRPr="008C05EE"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9642.654</w:t>
            </w:r>
          </w:p>
        </w:tc>
        <w:tc>
          <w:tcPr>
            <w:tcW w:w="1342" w:type="dxa"/>
          </w:tcPr>
          <w:p w:rsidR="00E703CB" w:rsidRDefault="00E703CB" w:rsidP="00124274">
            <w:pPr>
              <w:spacing w:line="360" w:lineRule="auto"/>
              <w:jc w:val="both"/>
              <w:rPr>
                <w:rFonts w:ascii="Times New Roman" w:hAnsi="Times New Roman" w:cs="Times New Roman"/>
              </w:rPr>
            </w:pPr>
            <w:r>
              <w:rPr>
                <w:rFonts w:ascii="Times New Roman" w:hAnsi="Times New Roman" w:cs="Times New Roman"/>
              </w:rPr>
              <w:t>11789.57</w:t>
            </w:r>
          </w:p>
          <w:p w:rsidR="00E703CB" w:rsidRDefault="00E703CB" w:rsidP="00124274">
            <w:pPr>
              <w:spacing w:line="360" w:lineRule="auto"/>
              <w:jc w:val="both"/>
              <w:rPr>
                <w:rFonts w:ascii="Times New Roman" w:hAnsi="Times New Roman" w:cs="Times New Roman"/>
              </w:rPr>
            </w:pPr>
            <w:r>
              <w:rPr>
                <w:rFonts w:ascii="Times New Roman" w:hAnsi="Times New Roman" w:cs="Times New Roman"/>
              </w:rPr>
              <w:t>13493.46</w:t>
            </w:r>
          </w:p>
          <w:p w:rsidR="00E703CB" w:rsidRDefault="00E703CB" w:rsidP="00124274">
            <w:pPr>
              <w:spacing w:line="360" w:lineRule="auto"/>
              <w:jc w:val="both"/>
              <w:rPr>
                <w:rFonts w:ascii="Times New Roman" w:eastAsia="Times New Roman" w:hAnsi="Times New Roman" w:cs="Times New Roman"/>
              </w:rPr>
            </w:pPr>
            <w:r>
              <w:rPr>
                <w:rFonts w:ascii="Times New Roman" w:hAnsi="Times New Roman" w:cs="Times New Roman"/>
              </w:rPr>
              <w:lastRenderedPageBreak/>
              <w:t>352.754</w:t>
            </w:r>
          </w:p>
          <w:p w:rsidR="00E703CB" w:rsidRPr="008C05EE" w:rsidRDefault="00E703CB" w:rsidP="00124274">
            <w:pPr>
              <w:spacing w:line="360" w:lineRule="auto"/>
              <w:jc w:val="both"/>
              <w:rPr>
                <w:rFonts w:ascii="Times New Roman" w:eastAsia="Times New Roman" w:hAnsi="Times New Roman" w:cs="Times New Roman"/>
              </w:rPr>
            </w:pPr>
          </w:p>
        </w:tc>
        <w:tc>
          <w:tcPr>
            <w:tcW w:w="1252" w:type="dxa"/>
          </w:tcPr>
          <w:p w:rsidR="00E703CB"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591.14</w:t>
            </w:r>
            <w:r w:rsidRPr="00355289">
              <w:rPr>
                <w:rFonts w:ascii="Times New Roman" w:eastAsia="Times New Roman" w:hAnsi="Times New Roman" w:cs="Times New Roman"/>
              </w:rPr>
              <w:t xml:space="preserve">   </w:t>
            </w:r>
          </w:p>
          <w:p w:rsidR="00E703CB" w:rsidRPr="008C05EE" w:rsidRDefault="00E703CB" w:rsidP="000F7E73">
            <w:pPr>
              <w:spacing w:line="360" w:lineRule="auto"/>
              <w:jc w:val="both"/>
              <w:rPr>
                <w:rFonts w:ascii="Times New Roman" w:eastAsia="Times New Roman" w:hAnsi="Times New Roman" w:cs="Times New Roman"/>
              </w:rPr>
            </w:pPr>
            <w:r>
              <w:rPr>
                <w:rFonts w:ascii="Times New Roman" w:eastAsia="Times New Roman" w:hAnsi="Times New Roman" w:cs="Times New Roman"/>
              </w:rPr>
              <w:t>848.779</w:t>
            </w:r>
            <w:r w:rsidRPr="00355289">
              <w:rPr>
                <w:rFonts w:ascii="Times New Roman" w:eastAsia="Times New Roman" w:hAnsi="Times New Roman" w:cs="Times New Roman"/>
              </w:rPr>
              <w:t xml:space="preserve">  </w:t>
            </w:r>
            <w:r w:rsidRPr="00B43083">
              <w:rPr>
                <w:rFonts w:ascii="Times New Roman" w:eastAsia="Times New Roman" w:hAnsi="Times New Roman" w:cs="Times New Roman"/>
              </w:rPr>
              <w:t xml:space="preserve"> </w:t>
            </w:r>
            <w:r>
              <w:rPr>
                <w:rFonts w:ascii="Times New Roman" w:eastAsia="Times New Roman" w:hAnsi="Times New Roman" w:cs="Times New Roman"/>
              </w:rPr>
              <w:lastRenderedPageBreak/>
              <w:t>8571.96</w:t>
            </w:r>
          </w:p>
        </w:tc>
        <w:tc>
          <w:tcPr>
            <w:tcW w:w="1151" w:type="dxa"/>
          </w:tcPr>
          <w:p w:rsidR="00E703CB"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30663.400</w:t>
            </w:r>
          </w:p>
          <w:p w:rsidR="00E703CB" w:rsidRPr="008C05EE" w:rsidRDefault="00E703CB" w:rsidP="000F7E73">
            <w:pPr>
              <w:spacing w:line="360" w:lineRule="auto"/>
              <w:jc w:val="both"/>
              <w:rPr>
                <w:rFonts w:ascii="Times New Roman" w:eastAsia="Times New Roman" w:hAnsi="Times New Roman" w:cs="Times New Roman"/>
              </w:rPr>
            </w:pPr>
            <w:r>
              <w:rPr>
                <w:rFonts w:ascii="Times New Roman" w:eastAsia="Times New Roman" w:hAnsi="Times New Roman" w:cs="Times New Roman"/>
              </w:rPr>
              <w:t>29626.790</w:t>
            </w:r>
            <w:r w:rsidRPr="002A3BA8">
              <w:rPr>
                <w:rFonts w:ascii="Times New Roman" w:eastAsia="Times New Roman" w:hAnsi="Times New Roman" w:cs="Times New Roman"/>
              </w:rPr>
              <w:t xml:space="preserve">  </w:t>
            </w:r>
            <w:r>
              <w:rPr>
                <w:rFonts w:ascii="Times New Roman" w:eastAsia="Times New Roman" w:hAnsi="Times New Roman" w:cs="Times New Roman"/>
              </w:rPr>
              <w:lastRenderedPageBreak/>
              <w:t>10679.26</w:t>
            </w:r>
          </w:p>
        </w:tc>
        <w:tc>
          <w:tcPr>
            <w:tcW w:w="763" w:type="dxa"/>
          </w:tcPr>
          <w:p w:rsidR="00E703CB" w:rsidRPr="008C05EE"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N=60</w:t>
            </w:r>
          </w:p>
          <w:p w:rsidR="00E703CB" w:rsidRPr="008C05EE" w:rsidRDefault="00E703CB" w:rsidP="00124274">
            <w:pPr>
              <w:spacing w:line="360" w:lineRule="auto"/>
              <w:jc w:val="both"/>
              <w:rPr>
                <w:rFonts w:ascii="Times New Roman" w:eastAsia="Times New Roman" w:hAnsi="Times New Roman" w:cs="Times New Roman"/>
              </w:rPr>
            </w:pPr>
            <w:r w:rsidRPr="008C05EE">
              <w:rPr>
                <w:rFonts w:ascii="Times New Roman" w:eastAsia="Times New Roman" w:hAnsi="Times New Roman" w:cs="Times New Roman"/>
              </w:rPr>
              <w:t>n=4</w:t>
            </w:r>
          </w:p>
          <w:p w:rsidR="00E703CB" w:rsidRPr="008C05EE" w:rsidRDefault="00E703CB" w:rsidP="00124274">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T=15</w:t>
            </w:r>
          </w:p>
        </w:tc>
      </w:tr>
      <w:tr w:rsidR="00AD0226" w:rsidTr="000437DF">
        <w:trPr>
          <w:trHeight w:val="136"/>
        </w:trPr>
        <w:tc>
          <w:tcPr>
            <w:tcW w:w="3517" w:type="dxa"/>
          </w:tcPr>
          <w:p w:rsidR="00AD0226" w:rsidRDefault="00D34737"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Exchange Rate             </w:t>
            </w:r>
            <w:r w:rsidR="00AD0226">
              <w:rPr>
                <w:rFonts w:ascii="Times New Roman" w:eastAsia="Times New Roman" w:hAnsi="Times New Roman" w:cs="Times New Roman"/>
                <w:sz w:val="24"/>
                <w:szCs w:val="24"/>
              </w:rPr>
              <w:t>Overall</w:t>
            </w:r>
          </w:p>
          <w:p w:rsidR="00AD0226" w:rsidRDefault="00AD0226"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Between</w:t>
            </w:r>
          </w:p>
          <w:p w:rsidR="00AD0226" w:rsidRPr="008C05EE" w:rsidRDefault="00AD022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B24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w:t>
            </w:r>
          </w:p>
        </w:tc>
        <w:tc>
          <w:tcPr>
            <w:tcW w:w="1509" w:type="dxa"/>
          </w:tcPr>
          <w:p w:rsidR="00AD0226" w:rsidRPr="008C05EE" w:rsidRDefault="001B5AEC"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1236.022</w:t>
            </w:r>
          </w:p>
        </w:tc>
        <w:tc>
          <w:tcPr>
            <w:tcW w:w="1342" w:type="dxa"/>
          </w:tcPr>
          <w:p w:rsidR="00AD0226" w:rsidRDefault="00DE0191" w:rsidP="00CD2079">
            <w:pPr>
              <w:spacing w:line="360" w:lineRule="auto"/>
              <w:jc w:val="both"/>
              <w:rPr>
                <w:rFonts w:ascii="Times New Roman" w:hAnsi="Times New Roman" w:cs="Times New Roman"/>
              </w:rPr>
            </w:pPr>
            <w:r>
              <w:rPr>
                <w:rFonts w:ascii="Times New Roman" w:hAnsi="Times New Roman" w:cs="Times New Roman"/>
              </w:rPr>
              <w:t>1472.391</w:t>
            </w:r>
          </w:p>
          <w:p w:rsidR="00AD0226" w:rsidRDefault="00DE0191" w:rsidP="00CD2079">
            <w:pPr>
              <w:spacing w:line="360" w:lineRule="auto"/>
              <w:jc w:val="both"/>
              <w:rPr>
                <w:rFonts w:ascii="Times New Roman" w:hAnsi="Times New Roman" w:cs="Times New Roman"/>
              </w:rPr>
            </w:pPr>
            <w:r>
              <w:rPr>
                <w:rFonts w:ascii="Times New Roman" w:hAnsi="Times New Roman" w:cs="Times New Roman"/>
              </w:rPr>
              <w:t>1685.4</w:t>
            </w:r>
            <w:r w:rsidR="00AD0226" w:rsidRPr="00121512">
              <w:rPr>
                <w:rFonts w:ascii="Times New Roman" w:hAnsi="Times New Roman" w:cs="Times New Roman"/>
              </w:rPr>
              <w:t>82</w:t>
            </w:r>
          </w:p>
          <w:p w:rsidR="00AD0226" w:rsidRPr="008C05EE" w:rsidRDefault="00DE0191" w:rsidP="000F7E73">
            <w:pPr>
              <w:spacing w:line="360" w:lineRule="auto"/>
              <w:jc w:val="both"/>
              <w:rPr>
                <w:rFonts w:ascii="Times New Roman" w:eastAsia="Times New Roman" w:hAnsi="Times New Roman" w:cs="Times New Roman"/>
              </w:rPr>
            </w:pPr>
            <w:r>
              <w:rPr>
                <w:rFonts w:ascii="Times New Roman" w:hAnsi="Times New Roman" w:cs="Times New Roman"/>
              </w:rPr>
              <w:t>34.</w:t>
            </w:r>
            <w:r w:rsidR="00AD0226">
              <w:rPr>
                <w:rFonts w:ascii="Times New Roman" w:hAnsi="Times New Roman" w:cs="Times New Roman"/>
              </w:rPr>
              <w:t>4</w:t>
            </w:r>
            <w:r>
              <w:rPr>
                <w:rFonts w:ascii="Times New Roman" w:hAnsi="Times New Roman" w:cs="Times New Roman"/>
              </w:rPr>
              <w:t>01</w:t>
            </w:r>
          </w:p>
        </w:tc>
        <w:tc>
          <w:tcPr>
            <w:tcW w:w="1252" w:type="dxa"/>
          </w:tcPr>
          <w:p w:rsidR="00AD0226" w:rsidRDefault="00AD0226" w:rsidP="00CD2079">
            <w:pPr>
              <w:spacing w:line="360" w:lineRule="auto"/>
              <w:jc w:val="both"/>
              <w:rPr>
                <w:rFonts w:ascii="Times New Roman" w:eastAsia="Times New Roman" w:hAnsi="Times New Roman" w:cs="Times New Roman"/>
              </w:rPr>
            </w:pPr>
            <w:r w:rsidRPr="00355289">
              <w:rPr>
                <w:rFonts w:ascii="Times New Roman" w:eastAsia="Times New Roman" w:hAnsi="Times New Roman" w:cs="Times New Roman"/>
              </w:rPr>
              <w:t xml:space="preserve">103.74    </w:t>
            </w:r>
          </w:p>
          <w:p w:rsidR="00AD0226" w:rsidRDefault="00DE0191"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108.006</w:t>
            </w:r>
            <w:r w:rsidR="00AD0226" w:rsidRPr="00355289">
              <w:rPr>
                <w:rFonts w:ascii="Times New Roman" w:eastAsia="Times New Roman" w:hAnsi="Times New Roman" w:cs="Times New Roman"/>
              </w:rPr>
              <w:t xml:space="preserve">   </w:t>
            </w:r>
          </w:p>
          <w:p w:rsidR="00AD0226" w:rsidRPr="008C05EE" w:rsidRDefault="00DE0191" w:rsidP="000F7E73">
            <w:pPr>
              <w:spacing w:line="360" w:lineRule="auto"/>
              <w:jc w:val="both"/>
              <w:rPr>
                <w:rFonts w:ascii="Times New Roman" w:eastAsia="Times New Roman" w:hAnsi="Times New Roman" w:cs="Times New Roman"/>
              </w:rPr>
            </w:pPr>
            <w:r>
              <w:rPr>
                <w:rFonts w:ascii="Times New Roman" w:eastAsia="Times New Roman" w:hAnsi="Times New Roman" w:cs="Times New Roman"/>
              </w:rPr>
              <w:t>1091.5</w:t>
            </w:r>
            <w:r w:rsidR="00AD0226" w:rsidRPr="00B43083">
              <w:rPr>
                <w:rFonts w:ascii="Times New Roman" w:eastAsia="Times New Roman" w:hAnsi="Times New Roman" w:cs="Times New Roman"/>
              </w:rPr>
              <w:t>3</w:t>
            </w:r>
          </w:p>
        </w:tc>
        <w:tc>
          <w:tcPr>
            <w:tcW w:w="1151" w:type="dxa"/>
          </w:tcPr>
          <w:p w:rsidR="00AD0226" w:rsidRDefault="00AD0226" w:rsidP="00CD2079">
            <w:pPr>
              <w:spacing w:line="360" w:lineRule="auto"/>
              <w:jc w:val="both"/>
              <w:rPr>
                <w:rFonts w:ascii="Times New Roman" w:eastAsia="Times New Roman" w:hAnsi="Times New Roman" w:cs="Times New Roman"/>
              </w:rPr>
            </w:pPr>
            <w:r w:rsidRPr="00355289">
              <w:rPr>
                <w:rFonts w:ascii="Times New Roman" w:eastAsia="Times New Roman" w:hAnsi="Times New Roman" w:cs="Times New Roman"/>
              </w:rPr>
              <w:t>3791.46</w:t>
            </w:r>
            <w:r>
              <w:rPr>
                <w:rFonts w:ascii="Times New Roman" w:eastAsia="Times New Roman" w:hAnsi="Times New Roman" w:cs="Times New Roman"/>
              </w:rPr>
              <w:t>0</w:t>
            </w:r>
          </w:p>
          <w:p w:rsidR="00AD0226" w:rsidRDefault="009B76F9"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3697.280</w:t>
            </w:r>
          </w:p>
          <w:p w:rsidR="00AD0226" w:rsidRPr="008C05EE" w:rsidRDefault="009B76F9" w:rsidP="000F7E73">
            <w:pPr>
              <w:spacing w:line="360" w:lineRule="auto"/>
              <w:jc w:val="both"/>
              <w:rPr>
                <w:rFonts w:ascii="Times New Roman" w:eastAsia="Times New Roman" w:hAnsi="Times New Roman" w:cs="Times New Roman"/>
              </w:rPr>
            </w:pPr>
            <w:r>
              <w:rPr>
                <w:rFonts w:ascii="Times New Roman" w:eastAsia="Times New Roman" w:hAnsi="Times New Roman" w:cs="Times New Roman"/>
              </w:rPr>
              <w:t>1330.202</w:t>
            </w:r>
          </w:p>
        </w:tc>
        <w:tc>
          <w:tcPr>
            <w:tcW w:w="763" w:type="dxa"/>
          </w:tcPr>
          <w:p w:rsidR="00AD0226" w:rsidRPr="008C05EE" w:rsidRDefault="00A367A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N=60</w:t>
            </w:r>
          </w:p>
          <w:p w:rsidR="00AD0226" w:rsidRPr="008C05EE" w:rsidRDefault="00AD0226" w:rsidP="00CD2079">
            <w:pPr>
              <w:spacing w:line="360" w:lineRule="auto"/>
              <w:jc w:val="both"/>
              <w:rPr>
                <w:rFonts w:ascii="Times New Roman" w:eastAsia="Times New Roman" w:hAnsi="Times New Roman" w:cs="Times New Roman"/>
              </w:rPr>
            </w:pPr>
            <w:r w:rsidRPr="008C05EE">
              <w:rPr>
                <w:rFonts w:ascii="Times New Roman" w:eastAsia="Times New Roman" w:hAnsi="Times New Roman" w:cs="Times New Roman"/>
              </w:rPr>
              <w:t>n=4</w:t>
            </w:r>
          </w:p>
          <w:p w:rsidR="00AD0226" w:rsidRPr="008C05EE" w:rsidRDefault="00A367A0"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T=15</w:t>
            </w:r>
          </w:p>
        </w:tc>
      </w:tr>
      <w:tr w:rsidR="00AD0226" w:rsidTr="000437DF">
        <w:trPr>
          <w:trHeight w:val="136"/>
        </w:trPr>
        <w:tc>
          <w:tcPr>
            <w:tcW w:w="3517" w:type="dxa"/>
          </w:tcPr>
          <w:p w:rsidR="00AD0226" w:rsidRPr="008C05EE" w:rsidRDefault="00AD0226" w:rsidP="00CD2079">
            <w:pPr>
              <w:spacing w:line="360" w:lineRule="auto"/>
              <w:jc w:val="both"/>
              <w:rPr>
                <w:rFonts w:ascii="Times New Roman" w:eastAsia="Times New Roman" w:hAnsi="Times New Roman" w:cs="Times New Roman"/>
              </w:rPr>
            </w:pPr>
          </w:p>
        </w:tc>
        <w:tc>
          <w:tcPr>
            <w:tcW w:w="1509" w:type="dxa"/>
          </w:tcPr>
          <w:p w:rsidR="00AD0226" w:rsidRPr="008C05EE" w:rsidRDefault="00AD0226" w:rsidP="00CD2079">
            <w:pPr>
              <w:spacing w:line="360" w:lineRule="auto"/>
              <w:jc w:val="both"/>
              <w:rPr>
                <w:rFonts w:ascii="Times New Roman" w:eastAsia="Times New Roman" w:hAnsi="Times New Roman" w:cs="Times New Roman"/>
              </w:rPr>
            </w:pPr>
          </w:p>
        </w:tc>
        <w:tc>
          <w:tcPr>
            <w:tcW w:w="1342" w:type="dxa"/>
          </w:tcPr>
          <w:p w:rsidR="00B94591" w:rsidRPr="008C05EE" w:rsidRDefault="00B94591" w:rsidP="00CD2079">
            <w:pPr>
              <w:spacing w:line="360" w:lineRule="auto"/>
              <w:jc w:val="both"/>
              <w:rPr>
                <w:rFonts w:ascii="Times New Roman" w:eastAsia="Times New Roman" w:hAnsi="Times New Roman" w:cs="Times New Roman"/>
              </w:rPr>
            </w:pPr>
          </w:p>
        </w:tc>
        <w:tc>
          <w:tcPr>
            <w:tcW w:w="1252" w:type="dxa"/>
          </w:tcPr>
          <w:p w:rsidR="00AD0226" w:rsidRPr="008C05EE" w:rsidRDefault="00AD0226" w:rsidP="00CD2079">
            <w:pPr>
              <w:spacing w:line="360" w:lineRule="auto"/>
              <w:jc w:val="both"/>
              <w:rPr>
                <w:rFonts w:ascii="Times New Roman" w:eastAsia="Times New Roman" w:hAnsi="Times New Roman" w:cs="Times New Roman"/>
              </w:rPr>
            </w:pPr>
          </w:p>
        </w:tc>
        <w:tc>
          <w:tcPr>
            <w:tcW w:w="1151" w:type="dxa"/>
          </w:tcPr>
          <w:p w:rsidR="00AD0226" w:rsidRPr="008C05EE" w:rsidRDefault="00AD0226" w:rsidP="00CD2079">
            <w:pPr>
              <w:spacing w:line="360" w:lineRule="auto"/>
              <w:jc w:val="both"/>
              <w:rPr>
                <w:rFonts w:ascii="Times New Roman" w:eastAsia="Times New Roman" w:hAnsi="Times New Roman" w:cs="Times New Roman"/>
              </w:rPr>
            </w:pPr>
          </w:p>
        </w:tc>
        <w:tc>
          <w:tcPr>
            <w:tcW w:w="763" w:type="dxa"/>
          </w:tcPr>
          <w:p w:rsidR="00AD0226" w:rsidRPr="008C05EE" w:rsidRDefault="00AD0226" w:rsidP="00CD2079">
            <w:pPr>
              <w:spacing w:line="360" w:lineRule="auto"/>
              <w:jc w:val="both"/>
              <w:rPr>
                <w:rFonts w:ascii="Times New Roman" w:eastAsia="Times New Roman" w:hAnsi="Times New Roman" w:cs="Times New Roman"/>
              </w:rPr>
            </w:pPr>
          </w:p>
        </w:tc>
      </w:tr>
      <w:tr w:rsidR="00AD0226" w:rsidTr="000437DF">
        <w:trPr>
          <w:trHeight w:val="136"/>
        </w:trPr>
        <w:tc>
          <w:tcPr>
            <w:tcW w:w="3517" w:type="dxa"/>
            <w:tcBorders>
              <w:bottom w:val="single" w:sz="4" w:space="0" w:color="auto"/>
            </w:tcBorders>
          </w:tcPr>
          <w:p w:rsidR="00AD0226" w:rsidRDefault="00D34737"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Lending Rate               </w:t>
            </w:r>
            <w:r w:rsidR="00AD0226">
              <w:rPr>
                <w:rFonts w:ascii="Times New Roman" w:eastAsia="Times New Roman" w:hAnsi="Times New Roman" w:cs="Times New Roman"/>
                <w:sz w:val="24"/>
                <w:szCs w:val="24"/>
              </w:rPr>
              <w:t>Overall</w:t>
            </w:r>
          </w:p>
          <w:p w:rsidR="00AD0226" w:rsidRDefault="00AD0226" w:rsidP="00CD20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Between</w:t>
            </w:r>
          </w:p>
          <w:p w:rsidR="00AD0226" w:rsidRPr="008C05EE" w:rsidRDefault="00AD0226"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3D0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w:t>
            </w:r>
          </w:p>
        </w:tc>
        <w:tc>
          <w:tcPr>
            <w:tcW w:w="1509" w:type="dxa"/>
            <w:tcBorders>
              <w:bottom w:val="single" w:sz="4" w:space="0" w:color="auto"/>
            </w:tcBorders>
          </w:tcPr>
          <w:p w:rsidR="00AD0226" w:rsidRPr="008C05EE" w:rsidRDefault="001F4961"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15.599</w:t>
            </w:r>
          </w:p>
        </w:tc>
        <w:tc>
          <w:tcPr>
            <w:tcW w:w="1342" w:type="dxa"/>
            <w:tcBorders>
              <w:bottom w:val="single" w:sz="4" w:space="0" w:color="auto"/>
            </w:tcBorders>
          </w:tcPr>
          <w:p w:rsidR="00AD0226" w:rsidRPr="006B56CE" w:rsidRDefault="001F4961" w:rsidP="00CD2079">
            <w:pPr>
              <w:spacing w:line="360" w:lineRule="auto"/>
              <w:jc w:val="both"/>
              <w:rPr>
                <w:rFonts w:ascii="Times New Roman" w:hAnsi="Times New Roman" w:cs="Times New Roman"/>
              </w:rPr>
            </w:pPr>
            <w:r>
              <w:rPr>
                <w:rFonts w:ascii="Times New Roman" w:hAnsi="Times New Roman" w:cs="Times New Roman"/>
              </w:rPr>
              <w:t>2.636</w:t>
            </w:r>
            <w:r w:rsidR="00AD0226" w:rsidRPr="00492582">
              <w:rPr>
                <w:rFonts w:ascii="Times New Roman" w:hAnsi="Times New Roman" w:cs="Times New Roman"/>
              </w:rPr>
              <w:t xml:space="preserve">      </w:t>
            </w:r>
          </w:p>
          <w:p w:rsidR="00AD0226" w:rsidRDefault="001F4961"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2.869</w:t>
            </w:r>
            <w:r w:rsidR="00AD0226" w:rsidRPr="00795445">
              <w:rPr>
                <w:rFonts w:ascii="Times New Roman" w:eastAsia="Times New Roman" w:hAnsi="Times New Roman" w:cs="Times New Roman"/>
              </w:rPr>
              <w:t xml:space="preserve"> </w:t>
            </w:r>
          </w:p>
          <w:p w:rsidR="00AD0226" w:rsidRDefault="001F4961"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0.819</w:t>
            </w:r>
            <w:r w:rsidR="00AD0226" w:rsidRPr="001375F2">
              <w:rPr>
                <w:rFonts w:ascii="Times New Roman" w:eastAsia="Times New Roman" w:hAnsi="Times New Roman" w:cs="Times New Roman"/>
              </w:rPr>
              <w:t xml:space="preserve">   </w:t>
            </w:r>
          </w:p>
          <w:p w:rsidR="00AD0226" w:rsidRPr="008C05EE" w:rsidRDefault="00AD0226" w:rsidP="00CD2079">
            <w:pPr>
              <w:spacing w:line="360" w:lineRule="auto"/>
              <w:jc w:val="both"/>
              <w:rPr>
                <w:rFonts w:ascii="Times New Roman" w:eastAsia="Times New Roman" w:hAnsi="Times New Roman" w:cs="Times New Roman"/>
              </w:rPr>
            </w:pPr>
            <w:r w:rsidRPr="00795445">
              <w:rPr>
                <w:rFonts w:ascii="Times New Roman" w:eastAsia="Times New Roman" w:hAnsi="Times New Roman" w:cs="Times New Roman"/>
              </w:rPr>
              <w:t xml:space="preserve">  </w:t>
            </w:r>
          </w:p>
        </w:tc>
        <w:tc>
          <w:tcPr>
            <w:tcW w:w="1252" w:type="dxa"/>
            <w:tcBorders>
              <w:bottom w:val="single" w:sz="4" w:space="0" w:color="auto"/>
            </w:tcBorders>
          </w:tcPr>
          <w:p w:rsidR="00AD0226" w:rsidRDefault="00AD0226" w:rsidP="00CD2079">
            <w:pPr>
              <w:spacing w:line="360" w:lineRule="auto"/>
              <w:jc w:val="both"/>
              <w:rPr>
                <w:rFonts w:ascii="Times New Roman" w:hAnsi="Times New Roman" w:cs="Times New Roman"/>
              </w:rPr>
            </w:pPr>
            <w:r w:rsidRPr="00492582">
              <w:rPr>
                <w:rFonts w:ascii="Times New Roman" w:hAnsi="Times New Roman" w:cs="Times New Roman"/>
              </w:rPr>
              <w:t>11.75</w:t>
            </w:r>
            <w:r>
              <w:rPr>
                <w:rFonts w:ascii="Times New Roman" w:hAnsi="Times New Roman" w:cs="Times New Roman"/>
              </w:rPr>
              <w:t>0</w:t>
            </w:r>
          </w:p>
          <w:p w:rsidR="00AD0226" w:rsidRDefault="00AD0226" w:rsidP="00CD2079">
            <w:pPr>
              <w:spacing w:line="360" w:lineRule="auto"/>
              <w:jc w:val="both"/>
              <w:rPr>
                <w:rFonts w:ascii="Times New Roman" w:eastAsia="Times New Roman" w:hAnsi="Times New Roman" w:cs="Times New Roman"/>
              </w:rPr>
            </w:pPr>
            <w:r w:rsidRPr="00795445">
              <w:rPr>
                <w:rFonts w:ascii="Times New Roman" w:eastAsia="Times New Roman" w:hAnsi="Times New Roman" w:cs="Times New Roman"/>
              </w:rPr>
              <w:t>11.</w:t>
            </w:r>
            <w:r w:rsidR="001F4961">
              <w:rPr>
                <w:rFonts w:ascii="Times New Roman" w:eastAsia="Times New Roman" w:hAnsi="Times New Roman" w:cs="Times New Roman"/>
              </w:rPr>
              <w:t>979</w:t>
            </w:r>
          </w:p>
          <w:p w:rsidR="00AD0226" w:rsidRDefault="001F4961"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12.419</w:t>
            </w:r>
            <w:r w:rsidR="00AD0226" w:rsidRPr="001375F2">
              <w:rPr>
                <w:rFonts w:ascii="Times New Roman" w:eastAsia="Times New Roman" w:hAnsi="Times New Roman" w:cs="Times New Roman"/>
              </w:rPr>
              <w:t xml:space="preserve">   </w:t>
            </w:r>
          </w:p>
          <w:p w:rsidR="00AD0226" w:rsidRPr="008C05EE" w:rsidRDefault="00AD0226" w:rsidP="00CD2079">
            <w:pPr>
              <w:spacing w:line="360" w:lineRule="auto"/>
              <w:jc w:val="both"/>
              <w:rPr>
                <w:rFonts w:ascii="Times New Roman" w:eastAsia="Times New Roman" w:hAnsi="Times New Roman" w:cs="Times New Roman"/>
              </w:rPr>
            </w:pPr>
            <w:r w:rsidRPr="00795445">
              <w:rPr>
                <w:rFonts w:ascii="Times New Roman" w:eastAsia="Times New Roman" w:hAnsi="Times New Roman" w:cs="Times New Roman"/>
              </w:rPr>
              <w:t xml:space="preserve">  </w:t>
            </w:r>
            <w:r w:rsidRPr="00492582">
              <w:rPr>
                <w:rFonts w:ascii="Times New Roman" w:hAnsi="Times New Roman" w:cs="Times New Roman"/>
              </w:rPr>
              <w:t xml:space="preserve">  </w:t>
            </w:r>
            <w:r w:rsidRPr="00B43083">
              <w:rPr>
                <w:rFonts w:ascii="Times New Roman" w:eastAsia="Times New Roman" w:hAnsi="Times New Roman" w:cs="Times New Roman"/>
              </w:rPr>
              <w:t xml:space="preserve"> </w:t>
            </w:r>
          </w:p>
        </w:tc>
        <w:tc>
          <w:tcPr>
            <w:tcW w:w="1151" w:type="dxa"/>
            <w:tcBorders>
              <w:bottom w:val="single" w:sz="4" w:space="0" w:color="auto"/>
            </w:tcBorders>
          </w:tcPr>
          <w:p w:rsidR="00AD0226" w:rsidRDefault="00AD0226" w:rsidP="00CD2079">
            <w:pPr>
              <w:spacing w:line="360" w:lineRule="auto"/>
              <w:jc w:val="both"/>
              <w:rPr>
                <w:rFonts w:ascii="Times New Roman" w:eastAsia="Times New Roman" w:hAnsi="Times New Roman" w:cs="Times New Roman"/>
              </w:rPr>
            </w:pPr>
            <w:r w:rsidRPr="00492582">
              <w:rPr>
                <w:rFonts w:ascii="Times New Roman" w:hAnsi="Times New Roman" w:cs="Times New Roman"/>
              </w:rPr>
              <w:t>20.93</w:t>
            </w:r>
          </w:p>
          <w:p w:rsidR="00AD0226" w:rsidRDefault="001F4961"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18.951</w:t>
            </w:r>
          </w:p>
          <w:p w:rsidR="00AD0226" w:rsidRPr="008C05EE" w:rsidRDefault="001F4961"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17.578</w:t>
            </w:r>
          </w:p>
        </w:tc>
        <w:tc>
          <w:tcPr>
            <w:tcW w:w="763" w:type="dxa"/>
            <w:tcBorders>
              <w:bottom w:val="single" w:sz="4" w:space="0" w:color="auto"/>
            </w:tcBorders>
          </w:tcPr>
          <w:p w:rsidR="00AD0226" w:rsidRPr="008C05EE" w:rsidRDefault="00F3497E"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N=60</w:t>
            </w:r>
          </w:p>
          <w:p w:rsidR="00AD0226" w:rsidRPr="008C05EE" w:rsidRDefault="00AD0226" w:rsidP="00CD2079">
            <w:pPr>
              <w:spacing w:line="360" w:lineRule="auto"/>
              <w:jc w:val="both"/>
              <w:rPr>
                <w:rFonts w:ascii="Times New Roman" w:eastAsia="Times New Roman" w:hAnsi="Times New Roman" w:cs="Times New Roman"/>
              </w:rPr>
            </w:pPr>
            <w:r w:rsidRPr="008C05EE">
              <w:rPr>
                <w:rFonts w:ascii="Times New Roman" w:eastAsia="Times New Roman" w:hAnsi="Times New Roman" w:cs="Times New Roman"/>
              </w:rPr>
              <w:t>n=4</w:t>
            </w:r>
          </w:p>
          <w:p w:rsidR="00AD0226" w:rsidRPr="008C05EE" w:rsidRDefault="00F3497E" w:rsidP="00CD2079">
            <w:pPr>
              <w:spacing w:line="360" w:lineRule="auto"/>
              <w:jc w:val="both"/>
              <w:rPr>
                <w:rFonts w:ascii="Times New Roman" w:eastAsia="Times New Roman" w:hAnsi="Times New Roman" w:cs="Times New Roman"/>
              </w:rPr>
            </w:pPr>
            <w:r>
              <w:rPr>
                <w:rFonts w:ascii="Times New Roman" w:eastAsia="Times New Roman" w:hAnsi="Times New Roman" w:cs="Times New Roman"/>
              </w:rPr>
              <w:t>T=15</w:t>
            </w:r>
          </w:p>
        </w:tc>
      </w:tr>
    </w:tbl>
    <w:p w:rsidR="00AD0226" w:rsidRDefault="00AD0226" w:rsidP="00AD02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Source: </w:t>
      </w:r>
      <w:r w:rsidRPr="00A44CB5">
        <w:rPr>
          <w:rFonts w:ascii="Times New Roman" w:eastAsia="Times New Roman" w:hAnsi="Times New Roman" w:cs="Times New Roman"/>
          <w:sz w:val="24"/>
          <w:szCs w:val="24"/>
        </w:rPr>
        <w:t>Author’s compilation from stata</w:t>
      </w:r>
    </w:p>
    <w:p w:rsidR="006F74EE" w:rsidRDefault="006F74EE" w:rsidP="00AD0226">
      <w:pPr>
        <w:spacing w:after="0" w:line="360" w:lineRule="auto"/>
        <w:jc w:val="both"/>
        <w:rPr>
          <w:rFonts w:ascii="Times New Roman" w:eastAsia="Times New Roman" w:hAnsi="Times New Roman" w:cs="Times New Roman"/>
          <w:b/>
          <w:sz w:val="24"/>
          <w:szCs w:val="24"/>
        </w:rPr>
      </w:pPr>
    </w:p>
    <w:p w:rsidR="00AD0226" w:rsidRPr="00201655" w:rsidRDefault="00A05BE7" w:rsidP="00AD0226">
      <w:pPr>
        <w:jc w:val="both"/>
        <w:rPr>
          <w:rFonts w:ascii="Times New Roman" w:hAnsi="Times New Roman" w:cs="Times New Roman"/>
          <w:b/>
          <w:sz w:val="24"/>
          <w:szCs w:val="24"/>
        </w:rPr>
      </w:pPr>
      <w:r>
        <w:rPr>
          <w:rFonts w:ascii="Times New Roman" w:hAnsi="Times New Roman" w:cs="Times New Roman"/>
          <w:b/>
          <w:sz w:val="24"/>
          <w:szCs w:val="24"/>
        </w:rPr>
        <w:t>Appendix Table A2: Pairwise correlation m</w:t>
      </w:r>
      <w:r w:rsidR="00AD0226" w:rsidRPr="00201655">
        <w:rPr>
          <w:rFonts w:ascii="Times New Roman" w:hAnsi="Times New Roman" w:cs="Times New Roman"/>
          <w:b/>
          <w:sz w:val="24"/>
          <w:szCs w:val="24"/>
        </w:rPr>
        <w:t>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139"/>
        <w:gridCol w:w="1231"/>
        <w:gridCol w:w="1352"/>
        <w:gridCol w:w="1437"/>
        <w:gridCol w:w="1253"/>
      </w:tblGrid>
      <w:tr w:rsidR="00B60B37" w:rsidRPr="00201655" w:rsidTr="00B60B37">
        <w:tc>
          <w:tcPr>
            <w:tcW w:w="1717" w:type="dxa"/>
            <w:tcBorders>
              <w:top w:val="single" w:sz="4" w:space="0" w:color="auto"/>
              <w:bottom w:val="single" w:sz="4" w:space="0" w:color="auto"/>
            </w:tcBorders>
          </w:tcPr>
          <w:p w:rsidR="00B60B37" w:rsidRPr="00201655" w:rsidRDefault="00B60B37" w:rsidP="00CD2079">
            <w:pPr>
              <w:jc w:val="both"/>
              <w:rPr>
                <w:rFonts w:ascii="Times New Roman" w:hAnsi="Times New Roman" w:cs="Times New Roman"/>
                <w:b/>
                <w:sz w:val="24"/>
                <w:szCs w:val="24"/>
              </w:rPr>
            </w:pPr>
          </w:p>
        </w:tc>
        <w:tc>
          <w:tcPr>
            <w:tcW w:w="1139" w:type="dxa"/>
            <w:tcBorders>
              <w:top w:val="single" w:sz="4" w:space="0" w:color="auto"/>
              <w:bottom w:val="single" w:sz="4" w:space="0" w:color="auto"/>
            </w:tcBorders>
          </w:tcPr>
          <w:p w:rsidR="00B60B37" w:rsidRPr="00201655" w:rsidRDefault="00B60B37"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Covid </m:t>
                </m:r>
              </m:oMath>
            </m:oMathPara>
          </w:p>
          <w:p w:rsidR="00B60B37" w:rsidRPr="00201655" w:rsidRDefault="00FC4BEF" w:rsidP="00CD2079">
            <w:pPr>
              <w:jc w:val="both"/>
              <w:rPr>
                <w:rFonts w:ascii="Times New Roman" w:hAnsi="Times New Roman" w:cs="Times New Roman"/>
                <w:b/>
                <w:sz w:val="24"/>
                <w:szCs w:val="24"/>
              </w:rPr>
            </w:pPr>
            <m:oMathPara>
              <m:oMath>
                <m:r>
                  <m:rPr>
                    <m:sty m:val="bi"/>
                  </m:rPr>
                  <w:rPr>
                    <w:rFonts w:ascii="Cambria Math" w:hAnsi="Cambria Math" w:cs="Times New Roman"/>
                    <w:sz w:val="24"/>
                    <w:szCs w:val="24"/>
                  </w:rPr>
                  <m:t>Cases</m:t>
                </m:r>
              </m:oMath>
            </m:oMathPara>
          </w:p>
        </w:tc>
        <w:tc>
          <w:tcPr>
            <w:tcW w:w="1231" w:type="dxa"/>
            <w:tcBorders>
              <w:top w:val="single" w:sz="4" w:space="0" w:color="auto"/>
              <w:bottom w:val="single" w:sz="4" w:space="0" w:color="auto"/>
            </w:tcBorders>
          </w:tcPr>
          <w:p w:rsidR="00B60B37" w:rsidRPr="00201655" w:rsidRDefault="00B60B37"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Trade </m:t>
                </m:r>
              </m:oMath>
            </m:oMathPara>
          </w:p>
          <w:p w:rsidR="00B60B37" w:rsidRPr="00201655" w:rsidRDefault="00FC4BEF" w:rsidP="00CD2079">
            <w:pPr>
              <w:jc w:val="both"/>
              <w:rPr>
                <w:rFonts w:ascii="Times New Roman" w:hAnsi="Times New Roman" w:cs="Times New Roman"/>
                <w:b/>
                <w:sz w:val="24"/>
                <w:szCs w:val="24"/>
              </w:rPr>
            </w:pPr>
            <m:oMathPara>
              <m:oMath>
                <m:r>
                  <m:rPr>
                    <m:sty m:val="bi"/>
                  </m:rPr>
                  <w:rPr>
                    <w:rFonts w:ascii="Cambria Math" w:hAnsi="Cambria Math" w:cs="Times New Roman"/>
                    <w:sz w:val="24"/>
                    <w:szCs w:val="24"/>
                  </w:rPr>
                  <m:t>Balance</m:t>
                </m:r>
                <m:r>
                  <m:rPr>
                    <m:sty m:val="p"/>
                  </m:rPr>
                  <w:rPr>
                    <w:rFonts w:ascii="Cambria Math" w:hAnsi="Cambria Math" w:cs="Times New Roman"/>
                    <w:sz w:val="24"/>
                    <w:szCs w:val="24"/>
                  </w:rPr>
                  <w:br/>
                </m:r>
              </m:oMath>
            </m:oMathPara>
          </w:p>
        </w:tc>
        <w:tc>
          <w:tcPr>
            <w:tcW w:w="1352" w:type="dxa"/>
            <w:tcBorders>
              <w:top w:val="single" w:sz="4" w:space="0" w:color="auto"/>
              <w:bottom w:val="single" w:sz="4" w:space="0" w:color="auto"/>
            </w:tcBorders>
          </w:tcPr>
          <w:p w:rsidR="00E4061D" w:rsidRPr="00E4061D" w:rsidRDefault="00E4061D"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M</m:t>
                </m:r>
                <m:r>
                  <m:rPr>
                    <m:sty m:val="bi"/>
                  </m:rPr>
                  <w:rPr>
                    <w:rFonts w:ascii="Cambria Math" w:hAnsi="Cambria Math" w:cs="Times New Roman"/>
                    <w:sz w:val="24"/>
                    <w:szCs w:val="24"/>
                  </w:rPr>
                  <m:t xml:space="preserve">2 </m:t>
                </m:r>
              </m:oMath>
            </m:oMathPara>
          </w:p>
          <w:p w:rsidR="00B60B37" w:rsidRPr="00201655" w:rsidRDefault="00E4061D"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Money </m:t>
                </m:r>
              </m:oMath>
            </m:oMathPara>
          </w:p>
          <w:p w:rsidR="00B60B37" w:rsidRPr="00201655" w:rsidRDefault="00B60B37" w:rsidP="00E4061D">
            <w:pPr>
              <w:jc w:val="both"/>
              <w:rPr>
                <w:rFonts w:ascii="Times New Roman" w:eastAsiaTheme="minorEastAsia" w:hAnsi="Times New Roman" w:cs="Times New Roman"/>
                <w:b/>
                <w:sz w:val="24"/>
                <w:szCs w:val="24"/>
              </w:rPr>
            </w:pPr>
          </w:p>
        </w:tc>
        <w:tc>
          <w:tcPr>
            <w:tcW w:w="1169" w:type="dxa"/>
            <w:tcBorders>
              <w:top w:val="single" w:sz="4" w:space="0" w:color="auto"/>
              <w:bottom w:val="single" w:sz="4" w:space="0" w:color="auto"/>
            </w:tcBorders>
          </w:tcPr>
          <w:p w:rsidR="00E4061D" w:rsidRPr="00201655" w:rsidRDefault="00E4061D" w:rsidP="00E4061D">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Exchange </m:t>
                </m:r>
              </m:oMath>
            </m:oMathPara>
          </w:p>
          <w:p w:rsidR="00B60B37" w:rsidRPr="00201655" w:rsidRDefault="00FC4BEF" w:rsidP="00E4061D">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Rate</m:t>
                </m:r>
              </m:oMath>
            </m:oMathPara>
          </w:p>
        </w:tc>
        <w:tc>
          <w:tcPr>
            <w:tcW w:w="1252" w:type="dxa"/>
            <w:tcBorders>
              <w:top w:val="single" w:sz="4" w:space="0" w:color="auto"/>
              <w:bottom w:val="single" w:sz="4" w:space="0" w:color="auto"/>
            </w:tcBorders>
          </w:tcPr>
          <w:p w:rsidR="00B60B37" w:rsidRPr="00201655" w:rsidRDefault="00FC4BEF"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Lending </m:t>
                </m:r>
              </m:oMath>
            </m:oMathPara>
          </w:p>
          <w:p w:rsidR="00B60B37" w:rsidRPr="00201655" w:rsidRDefault="00FC4BEF"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Rate</m:t>
                </m:r>
              </m:oMath>
            </m:oMathPara>
          </w:p>
        </w:tc>
      </w:tr>
      <w:tr w:rsidR="00B60B37" w:rsidRPr="00201655" w:rsidTr="00B60B37">
        <w:tc>
          <w:tcPr>
            <w:tcW w:w="1717" w:type="dxa"/>
            <w:tcBorders>
              <w:top w:val="single" w:sz="4" w:space="0" w:color="auto"/>
            </w:tcBorders>
          </w:tcPr>
          <w:p w:rsidR="00B60B37" w:rsidRPr="00201655" w:rsidRDefault="00B60B37"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Covid </m:t>
                </m:r>
              </m:oMath>
            </m:oMathPara>
          </w:p>
          <w:p w:rsidR="00B60B37" w:rsidRPr="00201655" w:rsidRDefault="00FC4BEF"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Cases</m:t>
                </m:r>
              </m:oMath>
            </m:oMathPara>
          </w:p>
        </w:tc>
        <w:tc>
          <w:tcPr>
            <w:tcW w:w="1139" w:type="dxa"/>
            <w:tcBorders>
              <w:top w:val="single" w:sz="4" w:space="0" w:color="auto"/>
            </w:tcBorders>
          </w:tcPr>
          <w:p w:rsidR="00B60B37" w:rsidRPr="00201655" w:rsidRDefault="00B60B37" w:rsidP="00CD2079">
            <w:pPr>
              <w:jc w:val="both"/>
              <w:rPr>
                <w:rFonts w:ascii="Times New Roman" w:hAnsi="Times New Roman" w:cs="Times New Roman"/>
                <w:sz w:val="24"/>
                <w:szCs w:val="24"/>
              </w:rPr>
            </w:pPr>
            <w:r w:rsidRPr="00201655">
              <w:rPr>
                <w:rFonts w:ascii="Times New Roman" w:hAnsi="Times New Roman" w:cs="Times New Roman"/>
                <w:sz w:val="24"/>
                <w:szCs w:val="24"/>
              </w:rPr>
              <w:t>1.0000</w:t>
            </w:r>
          </w:p>
        </w:tc>
        <w:tc>
          <w:tcPr>
            <w:tcW w:w="1231" w:type="dxa"/>
            <w:tcBorders>
              <w:top w:val="single" w:sz="4" w:space="0" w:color="auto"/>
            </w:tcBorders>
          </w:tcPr>
          <w:p w:rsidR="00B60B37" w:rsidRPr="00201655" w:rsidRDefault="00B60B37" w:rsidP="00CD2079">
            <w:pPr>
              <w:jc w:val="both"/>
              <w:rPr>
                <w:rFonts w:ascii="Times New Roman" w:hAnsi="Times New Roman" w:cs="Times New Roman"/>
                <w:sz w:val="24"/>
                <w:szCs w:val="24"/>
              </w:rPr>
            </w:pPr>
          </w:p>
        </w:tc>
        <w:tc>
          <w:tcPr>
            <w:tcW w:w="1352" w:type="dxa"/>
            <w:tcBorders>
              <w:top w:val="single" w:sz="4" w:space="0" w:color="auto"/>
            </w:tcBorders>
          </w:tcPr>
          <w:p w:rsidR="00B60B37" w:rsidRPr="00201655" w:rsidRDefault="00201655" w:rsidP="00201655">
            <w:pPr>
              <w:tabs>
                <w:tab w:val="left" w:pos="1076"/>
              </w:tabs>
              <w:jc w:val="both"/>
              <w:rPr>
                <w:rFonts w:ascii="Times New Roman" w:hAnsi="Times New Roman" w:cs="Times New Roman"/>
                <w:sz w:val="24"/>
                <w:szCs w:val="24"/>
              </w:rPr>
            </w:pPr>
            <w:r w:rsidRPr="00201655">
              <w:rPr>
                <w:rFonts w:ascii="Times New Roman" w:hAnsi="Times New Roman" w:cs="Times New Roman"/>
                <w:sz w:val="24"/>
                <w:szCs w:val="24"/>
              </w:rPr>
              <w:tab/>
            </w:r>
          </w:p>
        </w:tc>
        <w:tc>
          <w:tcPr>
            <w:tcW w:w="1169" w:type="dxa"/>
            <w:tcBorders>
              <w:top w:val="single" w:sz="4" w:space="0" w:color="auto"/>
            </w:tcBorders>
          </w:tcPr>
          <w:p w:rsidR="00B60B37" w:rsidRPr="00201655" w:rsidRDefault="00B60B37" w:rsidP="00CD2079">
            <w:pPr>
              <w:jc w:val="both"/>
              <w:rPr>
                <w:rFonts w:ascii="Times New Roman" w:hAnsi="Times New Roman" w:cs="Times New Roman"/>
                <w:sz w:val="24"/>
                <w:szCs w:val="24"/>
              </w:rPr>
            </w:pPr>
          </w:p>
        </w:tc>
        <w:tc>
          <w:tcPr>
            <w:tcW w:w="1252" w:type="dxa"/>
            <w:tcBorders>
              <w:top w:val="single" w:sz="4" w:space="0" w:color="auto"/>
            </w:tcBorders>
          </w:tcPr>
          <w:p w:rsidR="00B60B37" w:rsidRPr="00201655" w:rsidRDefault="00B60B37" w:rsidP="00CD2079">
            <w:pPr>
              <w:jc w:val="both"/>
              <w:rPr>
                <w:rFonts w:ascii="Times New Roman" w:hAnsi="Times New Roman" w:cs="Times New Roman"/>
                <w:sz w:val="24"/>
                <w:szCs w:val="24"/>
              </w:rPr>
            </w:pPr>
          </w:p>
        </w:tc>
      </w:tr>
      <w:tr w:rsidR="00B60B37" w:rsidRPr="00201655" w:rsidTr="00B60B37">
        <w:tc>
          <w:tcPr>
            <w:tcW w:w="1717" w:type="dxa"/>
          </w:tcPr>
          <w:p w:rsidR="00B60B37" w:rsidRPr="00201655" w:rsidRDefault="00B60B37"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Trade </m:t>
                </m:r>
              </m:oMath>
            </m:oMathPara>
          </w:p>
          <w:p w:rsidR="00B60B37" w:rsidRPr="00201655" w:rsidRDefault="00FC4BEF" w:rsidP="00CD2079">
            <w:pPr>
              <w:jc w:val="both"/>
              <w:rPr>
                <w:rFonts w:ascii="Times New Roman" w:hAnsi="Times New Roman" w:cs="Times New Roman"/>
                <w:b/>
                <w:sz w:val="24"/>
                <w:szCs w:val="24"/>
              </w:rPr>
            </w:pPr>
            <m:oMathPara>
              <m:oMath>
                <m:r>
                  <m:rPr>
                    <m:sty m:val="bi"/>
                  </m:rPr>
                  <w:rPr>
                    <w:rFonts w:ascii="Cambria Math" w:hAnsi="Cambria Math" w:cs="Times New Roman"/>
                    <w:sz w:val="24"/>
                    <w:szCs w:val="24"/>
                  </w:rPr>
                  <m:t>Balance</m:t>
                </m:r>
              </m:oMath>
            </m:oMathPara>
          </w:p>
        </w:tc>
        <w:tc>
          <w:tcPr>
            <w:tcW w:w="1139" w:type="dxa"/>
          </w:tcPr>
          <w:p w:rsidR="00B60B37" w:rsidRPr="00201655" w:rsidRDefault="003820B9" w:rsidP="00CD2079">
            <w:pPr>
              <w:jc w:val="both"/>
              <w:rPr>
                <w:rFonts w:ascii="Times New Roman" w:hAnsi="Times New Roman" w:cs="Times New Roman"/>
                <w:sz w:val="24"/>
                <w:szCs w:val="24"/>
              </w:rPr>
            </w:pPr>
            <w:r>
              <w:rPr>
                <w:rFonts w:ascii="Times New Roman" w:hAnsi="Times New Roman" w:cs="Times New Roman"/>
                <w:sz w:val="24"/>
                <w:szCs w:val="24"/>
              </w:rPr>
              <w:t>0.6228</w:t>
            </w:r>
          </w:p>
        </w:tc>
        <w:tc>
          <w:tcPr>
            <w:tcW w:w="1231" w:type="dxa"/>
          </w:tcPr>
          <w:p w:rsidR="00B60B37" w:rsidRPr="00201655" w:rsidRDefault="00B60B37" w:rsidP="00CD2079">
            <w:pPr>
              <w:jc w:val="both"/>
              <w:rPr>
                <w:rFonts w:ascii="Times New Roman" w:hAnsi="Times New Roman" w:cs="Times New Roman"/>
                <w:sz w:val="24"/>
                <w:szCs w:val="24"/>
              </w:rPr>
            </w:pPr>
            <w:r w:rsidRPr="00201655">
              <w:rPr>
                <w:rFonts w:ascii="Times New Roman" w:hAnsi="Times New Roman" w:cs="Times New Roman"/>
                <w:sz w:val="24"/>
                <w:szCs w:val="24"/>
              </w:rPr>
              <w:t>1.0000</w:t>
            </w:r>
          </w:p>
        </w:tc>
        <w:tc>
          <w:tcPr>
            <w:tcW w:w="1352" w:type="dxa"/>
          </w:tcPr>
          <w:p w:rsidR="00B60B37" w:rsidRPr="00201655" w:rsidRDefault="00B60B37" w:rsidP="00CD2079">
            <w:pPr>
              <w:jc w:val="both"/>
              <w:rPr>
                <w:rFonts w:ascii="Times New Roman" w:hAnsi="Times New Roman" w:cs="Times New Roman"/>
                <w:sz w:val="24"/>
                <w:szCs w:val="24"/>
              </w:rPr>
            </w:pPr>
          </w:p>
        </w:tc>
        <w:tc>
          <w:tcPr>
            <w:tcW w:w="1169" w:type="dxa"/>
          </w:tcPr>
          <w:p w:rsidR="00B60B37" w:rsidRPr="00201655" w:rsidRDefault="00B60B37" w:rsidP="00CD2079">
            <w:pPr>
              <w:jc w:val="both"/>
              <w:rPr>
                <w:rFonts w:ascii="Times New Roman" w:hAnsi="Times New Roman" w:cs="Times New Roman"/>
                <w:sz w:val="24"/>
                <w:szCs w:val="24"/>
              </w:rPr>
            </w:pPr>
          </w:p>
        </w:tc>
        <w:tc>
          <w:tcPr>
            <w:tcW w:w="1252" w:type="dxa"/>
          </w:tcPr>
          <w:p w:rsidR="00B60B37" w:rsidRPr="00201655" w:rsidRDefault="00B60B37" w:rsidP="00CD2079">
            <w:pPr>
              <w:jc w:val="both"/>
              <w:rPr>
                <w:rFonts w:ascii="Times New Roman" w:hAnsi="Times New Roman" w:cs="Times New Roman"/>
                <w:sz w:val="24"/>
                <w:szCs w:val="24"/>
              </w:rPr>
            </w:pPr>
          </w:p>
        </w:tc>
      </w:tr>
      <w:tr w:rsidR="00B60B37" w:rsidRPr="00201655" w:rsidTr="00B60B37">
        <w:tc>
          <w:tcPr>
            <w:tcW w:w="1717" w:type="dxa"/>
          </w:tcPr>
          <w:p w:rsidR="00E4061D" w:rsidRPr="00201655" w:rsidRDefault="00E4061D" w:rsidP="00E4061D">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M</m:t>
                </m:r>
                <m:r>
                  <m:rPr>
                    <m:sty m:val="bi"/>
                  </m:rPr>
                  <w:rPr>
                    <w:rFonts w:ascii="Cambria Math" w:hAnsi="Cambria Math" w:cs="Times New Roman"/>
                    <w:sz w:val="24"/>
                    <w:szCs w:val="24"/>
                  </w:rPr>
                  <m:t xml:space="preserve">2 </m:t>
                </m:r>
              </m:oMath>
            </m:oMathPara>
          </w:p>
          <w:p w:rsidR="00B60B37" w:rsidRPr="00201655" w:rsidRDefault="00E4061D" w:rsidP="00E4061D">
            <w:pPr>
              <w:jc w:val="both"/>
              <w:rPr>
                <w:rFonts w:ascii="Times New Roman" w:hAnsi="Times New Roman" w:cs="Times New Roman"/>
                <w:b/>
                <w:sz w:val="24"/>
                <w:szCs w:val="24"/>
              </w:rPr>
            </w:pPr>
            <m:oMathPara>
              <m:oMath>
                <m:r>
                  <m:rPr>
                    <m:sty m:val="bi"/>
                  </m:rPr>
                  <w:rPr>
                    <w:rFonts w:ascii="Cambria Math" w:hAnsi="Cambria Math" w:cs="Times New Roman"/>
                    <w:sz w:val="24"/>
                    <w:szCs w:val="24"/>
                  </w:rPr>
                  <m:t>Money</m:t>
                </m:r>
              </m:oMath>
            </m:oMathPara>
          </w:p>
        </w:tc>
        <w:tc>
          <w:tcPr>
            <w:tcW w:w="1139" w:type="dxa"/>
          </w:tcPr>
          <w:p w:rsidR="00B60B37" w:rsidRPr="00201655" w:rsidRDefault="001D255C" w:rsidP="00CD2079">
            <w:pPr>
              <w:jc w:val="both"/>
              <w:rPr>
                <w:rFonts w:ascii="Times New Roman" w:hAnsi="Times New Roman" w:cs="Times New Roman"/>
                <w:sz w:val="24"/>
                <w:szCs w:val="24"/>
              </w:rPr>
            </w:pPr>
            <w:r>
              <w:rPr>
                <w:rFonts w:ascii="Times New Roman" w:hAnsi="Times New Roman" w:cs="Times New Roman"/>
                <w:sz w:val="24"/>
                <w:szCs w:val="24"/>
              </w:rPr>
              <w:t>0.6322</w:t>
            </w:r>
          </w:p>
        </w:tc>
        <w:tc>
          <w:tcPr>
            <w:tcW w:w="1231" w:type="dxa"/>
          </w:tcPr>
          <w:p w:rsidR="00B60B37" w:rsidRPr="00201655" w:rsidRDefault="00583C68" w:rsidP="00CD2079">
            <w:pPr>
              <w:jc w:val="both"/>
              <w:rPr>
                <w:rFonts w:ascii="Times New Roman" w:hAnsi="Times New Roman" w:cs="Times New Roman"/>
                <w:sz w:val="24"/>
                <w:szCs w:val="24"/>
              </w:rPr>
            </w:pPr>
            <w:r>
              <w:rPr>
                <w:rFonts w:ascii="Times New Roman" w:hAnsi="Times New Roman" w:cs="Times New Roman"/>
                <w:sz w:val="24"/>
                <w:szCs w:val="24"/>
              </w:rPr>
              <w:t>0.5247</w:t>
            </w:r>
          </w:p>
        </w:tc>
        <w:tc>
          <w:tcPr>
            <w:tcW w:w="1352" w:type="dxa"/>
          </w:tcPr>
          <w:p w:rsidR="00B60B37" w:rsidRPr="00201655" w:rsidRDefault="00B60B37" w:rsidP="00CD2079">
            <w:pPr>
              <w:jc w:val="both"/>
              <w:rPr>
                <w:rFonts w:ascii="Times New Roman" w:hAnsi="Times New Roman" w:cs="Times New Roman"/>
                <w:sz w:val="24"/>
                <w:szCs w:val="24"/>
              </w:rPr>
            </w:pPr>
            <w:r w:rsidRPr="00201655">
              <w:rPr>
                <w:rFonts w:ascii="Times New Roman" w:hAnsi="Times New Roman" w:cs="Times New Roman"/>
                <w:sz w:val="24"/>
                <w:szCs w:val="24"/>
              </w:rPr>
              <w:t>1.0000</w:t>
            </w:r>
          </w:p>
        </w:tc>
        <w:tc>
          <w:tcPr>
            <w:tcW w:w="1169" w:type="dxa"/>
          </w:tcPr>
          <w:p w:rsidR="00B60B37" w:rsidRPr="00201655" w:rsidRDefault="00B60B37" w:rsidP="00CD2079">
            <w:pPr>
              <w:jc w:val="both"/>
              <w:rPr>
                <w:rFonts w:ascii="Times New Roman" w:hAnsi="Times New Roman" w:cs="Times New Roman"/>
                <w:sz w:val="24"/>
                <w:szCs w:val="24"/>
              </w:rPr>
            </w:pPr>
          </w:p>
        </w:tc>
        <w:tc>
          <w:tcPr>
            <w:tcW w:w="1252" w:type="dxa"/>
          </w:tcPr>
          <w:p w:rsidR="00B60B37" w:rsidRPr="00201655" w:rsidRDefault="00B60B37" w:rsidP="00CD2079">
            <w:pPr>
              <w:jc w:val="both"/>
              <w:rPr>
                <w:rFonts w:ascii="Times New Roman" w:hAnsi="Times New Roman" w:cs="Times New Roman"/>
                <w:sz w:val="24"/>
                <w:szCs w:val="24"/>
              </w:rPr>
            </w:pPr>
          </w:p>
        </w:tc>
      </w:tr>
      <w:tr w:rsidR="00B60B37" w:rsidRPr="00201655" w:rsidTr="00B60B37">
        <w:tc>
          <w:tcPr>
            <w:tcW w:w="1717" w:type="dxa"/>
          </w:tcPr>
          <w:p w:rsidR="00E4061D" w:rsidRPr="00201655" w:rsidRDefault="00E4061D" w:rsidP="00E4061D">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Exchange </m:t>
                </m:r>
              </m:oMath>
            </m:oMathPara>
          </w:p>
          <w:p w:rsidR="00B60B37" w:rsidRPr="00201655" w:rsidRDefault="00FC4BEF" w:rsidP="00E4061D">
            <w:pPr>
              <w:jc w:val="both"/>
              <w:rPr>
                <w:rFonts w:ascii="Times New Roman" w:hAnsi="Times New Roman" w:cs="Times New Roman"/>
                <w:b/>
                <w:sz w:val="24"/>
                <w:szCs w:val="24"/>
              </w:rPr>
            </w:pPr>
            <m:oMathPara>
              <m:oMath>
                <m:r>
                  <m:rPr>
                    <m:sty m:val="bi"/>
                  </m:rPr>
                  <w:rPr>
                    <w:rFonts w:ascii="Cambria Math" w:hAnsi="Cambria Math" w:cs="Times New Roman"/>
                    <w:sz w:val="24"/>
                    <w:szCs w:val="24"/>
                  </w:rPr>
                  <m:t>Rate</m:t>
                </m:r>
              </m:oMath>
            </m:oMathPara>
          </w:p>
        </w:tc>
        <w:tc>
          <w:tcPr>
            <w:tcW w:w="1139" w:type="dxa"/>
          </w:tcPr>
          <w:p w:rsidR="00B60B37" w:rsidRPr="00201655" w:rsidRDefault="00B36967" w:rsidP="00CD2079">
            <w:pPr>
              <w:jc w:val="both"/>
              <w:rPr>
                <w:rFonts w:ascii="Times New Roman" w:hAnsi="Times New Roman" w:cs="Times New Roman"/>
                <w:sz w:val="24"/>
                <w:szCs w:val="24"/>
              </w:rPr>
            </w:pPr>
            <w:r>
              <w:rPr>
                <w:rFonts w:ascii="Times New Roman" w:hAnsi="Times New Roman" w:cs="Times New Roman"/>
                <w:sz w:val="24"/>
                <w:szCs w:val="24"/>
              </w:rPr>
              <w:t>-</w:t>
            </w:r>
            <w:r w:rsidR="00393E0F" w:rsidRPr="00201655">
              <w:rPr>
                <w:rFonts w:ascii="Times New Roman" w:hAnsi="Times New Roman" w:cs="Times New Roman"/>
                <w:sz w:val="24"/>
                <w:szCs w:val="24"/>
              </w:rPr>
              <w:t>0.</w:t>
            </w:r>
            <w:r>
              <w:rPr>
                <w:rFonts w:ascii="Times New Roman" w:hAnsi="Times New Roman" w:cs="Times New Roman"/>
                <w:sz w:val="24"/>
                <w:szCs w:val="24"/>
              </w:rPr>
              <w:t>1630</w:t>
            </w:r>
          </w:p>
        </w:tc>
        <w:tc>
          <w:tcPr>
            <w:tcW w:w="1231" w:type="dxa"/>
          </w:tcPr>
          <w:p w:rsidR="00B60B37" w:rsidRPr="00201655" w:rsidRDefault="00085170" w:rsidP="00CD2079">
            <w:pPr>
              <w:jc w:val="both"/>
              <w:rPr>
                <w:rFonts w:ascii="Times New Roman" w:hAnsi="Times New Roman" w:cs="Times New Roman"/>
                <w:sz w:val="24"/>
                <w:szCs w:val="24"/>
              </w:rPr>
            </w:pPr>
            <w:r>
              <w:rPr>
                <w:rFonts w:ascii="Times New Roman" w:hAnsi="Times New Roman" w:cs="Times New Roman"/>
                <w:sz w:val="24"/>
                <w:szCs w:val="24"/>
              </w:rPr>
              <w:t>-0.3524</w:t>
            </w:r>
          </w:p>
        </w:tc>
        <w:tc>
          <w:tcPr>
            <w:tcW w:w="1352" w:type="dxa"/>
          </w:tcPr>
          <w:p w:rsidR="00B60B37" w:rsidRPr="00201655" w:rsidRDefault="0009417B" w:rsidP="00CD2079">
            <w:pPr>
              <w:jc w:val="both"/>
              <w:rPr>
                <w:rFonts w:ascii="Times New Roman" w:hAnsi="Times New Roman" w:cs="Times New Roman"/>
                <w:sz w:val="24"/>
                <w:szCs w:val="24"/>
              </w:rPr>
            </w:pPr>
            <w:r w:rsidRPr="00201655">
              <w:rPr>
                <w:rFonts w:ascii="Times New Roman" w:hAnsi="Times New Roman" w:cs="Times New Roman"/>
                <w:sz w:val="24"/>
                <w:szCs w:val="24"/>
              </w:rPr>
              <w:t>-0.2988</w:t>
            </w:r>
          </w:p>
        </w:tc>
        <w:tc>
          <w:tcPr>
            <w:tcW w:w="1169" w:type="dxa"/>
          </w:tcPr>
          <w:p w:rsidR="00B60B37" w:rsidRPr="00201655" w:rsidRDefault="00B60B37" w:rsidP="00CD2079">
            <w:pPr>
              <w:jc w:val="both"/>
              <w:rPr>
                <w:rFonts w:ascii="Times New Roman" w:hAnsi="Times New Roman" w:cs="Times New Roman"/>
                <w:sz w:val="24"/>
                <w:szCs w:val="24"/>
              </w:rPr>
            </w:pPr>
            <w:r w:rsidRPr="00201655">
              <w:rPr>
                <w:rFonts w:ascii="Times New Roman" w:hAnsi="Times New Roman" w:cs="Times New Roman"/>
                <w:sz w:val="24"/>
                <w:szCs w:val="24"/>
              </w:rPr>
              <w:t>1.0000</w:t>
            </w:r>
          </w:p>
        </w:tc>
        <w:tc>
          <w:tcPr>
            <w:tcW w:w="1252" w:type="dxa"/>
          </w:tcPr>
          <w:p w:rsidR="00B60B37" w:rsidRPr="00201655" w:rsidRDefault="00B60B37" w:rsidP="00CD2079">
            <w:pPr>
              <w:jc w:val="both"/>
              <w:rPr>
                <w:rFonts w:ascii="Times New Roman" w:hAnsi="Times New Roman" w:cs="Times New Roman"/>
                <w:sz w:val="24"/>
                <w:szCs w:val="24"/>
              </w:rPr>
            </w:pPr>
          </w:p>
        </w:tc>
      </w:tr>
      <w:tr w:rsidR="00B60B37" w:rsidRPr="00201655" w:rsidTr="00B60B37">
        <w:tc>
          <w:tcPr>
            <w:tcW w:w="1717" w:type="dxa"/>
            <w:tcBorders>
              <w:bottom w:val="single" w:sz="4" w:space="0" w:color="auto"/>
            </w:tcBorders>
          </w:tcPr>
          <w:p w:rsidR="00B60B37" w:rsidRPr="00201655" w:rsidRDefault="00FC4BEF" w:rsidP="00CD2079">
            <w:pPr>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Lending </m:t>
                </m:r>
              </m:oMath>
            </m:oMathPara>
          </w:p>
          <w:p w:rsidR="00B60B37" w:rsidRPr="00201655" w:rsidRDefault="00FC4BEF" w:rsidP="00CD2079">
            <w:pPr>
              <w:jc w:val="both"/>
              <w:rPr>
                <w:rFonts w:ascii="Times New Roman" w:hAnsi="Times New Roman" w:cs="Times New Roman"/>
                <w:b/>
                <w:sz w:val="24"/>
                <w:szCs w:val="24"/>
              </w:rPr>
            </w:pPr>
            <m:oMathPara>
              <m:oMath>
                <m:r>
                  <m:rPr>
                    <m:sty m:val="bi"/>
                  </m:rPr>
                  <w:rPr>
                    <w:rFonts w:ascii="Cambria Math" w:hAnsi="Cambria Math" w:cs="Times New Roman"/>
                    <w:sz w:val="24"/>
                    <w:szCs w:val="24"/>
                  </w:rPr>
                  <m:t>Rate</m:t>
                </m:r>
              </m:oMath>
            </m:oMathPara>
          </w:p>
        </w:tc>
        <w:tc>
          <w:tcPr>
            <w:tcW w:w="1139" w:type="dxa"/>
            <w:tcBorders>
              <w:bottom w:val="single" w:sz="4" w:space="0" w:color="auto"/>
            </w:tcBorders>
          </w:tcPr>
          <w:p w:rsidR="00B60B37" w:rsidRPr="00201655" w:rsidRDefault="00393E0F" w:rsidP="00CD2079">
            <w:pPr>
              <w:jc w:val="both"/>
              <w:rPr>
                <w:rFonts w:ascii="Times New Roman" w:hAnsi="Times New Roman" w:cs="Times New Roman"/>
                <w:sz w:val="24"/>
                <w:szCs w:val="24"/>
              </w:rPr>
            </w:pPr>
            <w:r w:rsidRPr="00201655">
              <w:rPr>
                <w:rFonts w:ascii="Times New Roman" w:hAnsi="Times New Roman" w:cs="Times New Roman"/>
                <w:sz w:val="24"/>
                <w:szCs w:val="24"/>
              </w:rPr>
              <w:t>-0.4435</w:t>
            </w:r>
          </w:p>
        </w:tc>
        <w:tc>
          <w:tcPr>
            <w:tcW w:w="1231" w:type="dxa"/>
            <w:tcBorders>
              <w:bottom w:val="single" w:sz="4" w:space="0" w:color="auto"/>
            </w:tcBorders>
          </w:tcPr>
          <w:p w:rsidR="00B60B37" w:rsidRPr="00201655" w:rsidRDefault="00601AB4" w:rsidP="00CD2079">
            <w:pPr>
              <w:jc w:val="both"/>
              <w:rPr>
                <w:rFonts w:ascii="Times New Roman" w:hAnsi="Times New Roman" w:cs="Times New Roman"/>
                <w:sz w:val="24"/>
                <w:szCs w:val="24"/>
              </w:rPr>
            </w:pPr>
            <w:r>
              <w:rPr>
                <w:rFonts w:ascii="Times New Roman" w:hAnsi="Times New Roman" w:cs="Times New Roman"/>
                <w:sz w:val="24"/>
                <w:szCs w:val="24"/>
              </w:rPr>
              <w:t>-</w:t>
            </w:r>
            <w:r w:rsidR="00814FD5">
              <w:rPr>
                <w:rFonts w:ascii="Times New Roman" w:hAnsi="Times New Roman" w:cs="Times New Roman"/>
                <w:sz w:val="24"/>
                <w:szCs w:val="24"/>
              </w:rPr>
              <w:t>0.6359</w:t>
            </w:r>
          </w:p>
        </w:tc>
        <w:tc>
          <w:tcPr>
            <w:tcW w:w="1352" w:type="dxa"/>
            <w:tcBorders>
              <w:bottom w:val="single" w:sz="4" w:space="0" w:color="auto"/>
            </w:tcBorders>
          </w:tcPr>
          <w:p w:rsidR="00B60B37" w:rsidRPr="00201655" w:rsidRDefault="000105B5" w:rsidP="00CD2079">
            <w:pPr>
              <w:jc w:val="both"/>
              <w:rPr>
                <w:rFonts w:ascii="Times New Roman" w:hAnsi="Times New Roman" w:cs="Times New Roman"/>
                <w:sz w:val="24"/>
                <w:szCs w:val="24"/>
              </w:rPr>
            </w:pPr>
            <w:r>
              <w:rPr>
                <w:rFonts w:ascii="Times New Roman" w:hAnsi="Times New Roman" w:cs="Times New Roman"/>
                <w:sz w:val="24"/>
                <w:szCs w:val="24"/>
              </w:rPr>
              <w:t>-0.7063</w:t>
            </w:r>
          </w:p>
        </w:tc>
        <w:tc>
          <w:tcPr>
            <w:tcW w:w="1169" w:type="dxa"/>
            <w:tcBorders>
              <w:bottom w:val="single" w:sz="4" w:space="0" w:color="auto"/>
            </w:tcBorders>
          </w:tcPr>
          <w:p w:rsidR="00B60B37" w:rsidRPr="00201655" w:rsidRDefault="00626D5D" w:rsidP="00CD2079">
            <w:pPr>
              <w:jc w:val="both"/>
              <w:rPr>
                <w:rFonts w:ascii="Times New Roman" w:hAnsi="Times New Roman" w:cs="Times New Roman"/>
                <w:sz w:val="24"/>
                <w:szCs w:val="24"/>
              </w:rPr>
            </w:pPr>
            <w:r>
              <w:rPr>
                <w:rFonts w:ascii="Times New Roman" w:hAnsi="Times New Roman" w:cs="Times New Roman"/>
                <w:sz w:val="24"/>
                <w:szCs w:val="24"/>
              </w:rPr>
              <w:t>0.6148</w:t>
            </w:r>
          </w:p>
        </w:tc>
        <w:tc>
          <w:tcPr>
            <w:tcW w:w="1252" w:type="dxa"/>
            <w:tcBorders>
              <w:bottom w:val="single" w:sz="4" w:space="0" w:color="auto"/>
            </w:tcBorders>
          </w:tcPr>
          <w:p w:rsidR="00B60B37" w:rsidRPr="00201655" w:rsidRDefault="00B60B37" w:rsidP="00CD2079">
            <w:pPr>
              <w:jc w:val="both"/>
              <w:rPr>
                <w:rFonts w:ascii="Times New Roman" w:hAnsi="Times New Roman" w:cs="Times New Roman"/>
                <w:sz w:val="24"/>
                <w:szCs w:val="24"/>
              </w:rPr>
            </w:pPr>
            <w:r w:rsidRPr="00201655">
              <w:rPr>
                <w:rFonts w:ascii="Times New Roman" w:hAnsi="Times New Roman" w:cs="Times New Roman"/>
                <w:sz w:val="24"/>
                <w:szCs w:val="24"/>
              </w:rPr>
              <w:t>1.0000</w:t>
            </w:r>
          </w:p>
        </w:tc>
      </w:tr>
    </w:tbl>
    <w:p w:rsidR="00AD0226" w:rsidRPr="00201655" w:rsidRDefault="00AD0226" w:rsidP="00AD0226">
      <w:pPr>
        <w:jc w:val="both"/>
        <w:rPr>
          <w:rFonts w:ascii="Times New Roman" w:hAnsi="Times New Roman" w:cs="Times New Roman"/>
          <w:sz w:val="24"/>
          <w:szCs w:val="24"/>
        </w:rPr>
      </w:pPr>
      <w:r w:rsidRPr="00201655">
        <w:rPr>
          <w:rFonts w:ascii="Times New Roman" w:hAnsi="Times New Roman" w:cs="Times New Roman"/>
          <w:b/>
          <w:sz w:val="24"/>
          <w:szCs w:val="24"/>
        </w:rPr>
        <w:t xml:space="preserve">Source: </w:t>
      </w:r>
      <w:r w:rsidRPr="00201655">
        <w:rPr>
          <w:rFonts w:ascii="Times New Roman" w:hAnsi="Times New Roman" w:cs="Times New Roman"/>
          <w:sz w:val="24"/>
          <w:szCs w:val="24"/>
        </w:rPr>
        <w:t>Stata computation</w:t>
      </w:r>
    </w:p>
    <w:sectPr w:rsidR="00AD0226" w:rsidRPr="0020165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EA" w:rsidRDefault="006473EA" w:rsidP="005E2617">
      <w:pPr>
        <w:spacing w:after="0" w:line="240" w:lineRule="auto"/>
      </w:pPr>
      <w:r>
        <w:separator/>
      </w:r>
    </w:p>
  </w:endnote>
  <w:endnote w:type="continuationSeparator" w:id="0">
    <w:p w:rsidR="006473EA" w:rsidRDefault="006473EA" w:rsidP="005E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RM12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06981"/>
      <w:docPartObj>
        <w:docPartGallery w:val="Page Numbers (Bottom of Page)"/>
        <w:docPartUnique/>
      </w:docPartObj>
    </w:sdtPr>
    <w:sdtEndPr>
      <w:rPr>
        <w:noProof/>
      </w:rPr>
    </w:sdtEndPr>
    <w:sdtContent>
      <w:p w:rsidR="00E64ED1" w:rsidRDefault="00E64ED1">
        <w:pPr>
          <w:pStyle w:val="Footer"/>
          <w:jc w:val="center"/>
        </w:pPr>
        <w:r>
          <w:fldChar w:fldCharType="begin"/>
        </w:r>
        <w:r>
          <w:instrText xml:space="preserve"> PAGE   \* MERGEFORMAT </w:instrText>
        </w:r>
        <w:r>
          <w:fldChar w:fldCharType="separate"/>
        </w:r>
        <w:r w:rsidR="002976C3">
          <w:rPr>
            <w:noProof/>
          </w:rPr>
          <w:t>25</w:t>
        </w:r>
        <w:r>
          <w:rPr>
            <w:noProof/>
          </w:rPr>
          <w:fldChar w:fldCharType="end"/>
        </w:r>
      </w:p>
    </w:sdtContent>
  </w:sdt>
  <w:p w:rsidR="00E64ED1" w:rsidRDefault="00E6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EA" w:rsidRDefault="006473EA" w:rsidP="005E2617">
      <w:pPr>
        <w:spacing w:after="0" w:line="240" w:lineRule="auto"/>
      </w:pPr>
      <w:r>
        <w:separator/>
      </w:r>
    </w:p>
  </w:footnote>
  <w:footnote w:type="continuationSeparator" w:id="0">
    <w:p w:rsidR="006473EA" w:rsidRDefault="006473EA" w:rsidP="005E2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D1" w:rsidRDefault="00E64ED1" w:rsidP="0023459D">
    <w:pPr>
      <w:pStyle w:val="Header"/>
      <w:tabs>
        <w:tab w:val="clear" w:pos="4680"/>
        <w:tab w:val="clear" w:pos="9360"/>
        <w:tab w:val="left" w:pos="625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068"/>
    <w:multiLevelType w:val="multilevel"/>
    <w:tmpl w:val="247AB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D5072"/>
    <w:multiLevelType w:val="hybridMultilevel"/>
    <w:tmpl w:val="F0D2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53501"/>
    <w:multiLevelType w:val="multilevel"/>
    <w:tmpl w:val="549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F5420"/>
    <w:multiLevelType w:val="hybridMultilevel"/>
    <w:tmpl w:val="A8C2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C2911"/>
    <w:multiLevelType w:val="hybridMultilevel"/>
    <w:tmpl w:val="49D2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E44E9"/>
    <w:multiLevelType w:val="multilevel"/>
    <w:tmpl w:val="9F9E06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A81D53"/>
    <w:multiLevelType w:val="hybridMultilevel"/>
    <w:tmpl w:val="509006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00A09"/>
    <w:multiLevelType w:val="hybridMultilevel"/>
    <w:tmpl w:val="6BA061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803DE8"/>
    <w:multiLevelType w:val="hybridMultilevel"/>
    <w:tmpl w:val="69EE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76BB7"/>
    <w:multiLevelType w:val="multilevel"/>
    <w:tmpl w:val="54281B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2C90EF0"/>
    <w:multiLevelType w:val="hybridMultilevel"/>
    <w:tmpl w:val="9FE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17227"/>
    <w:multiLevelType w:val="hybridMultilevel"/>
    <w:tmpl w:val="65E8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A0347"/>
    <w:multiLevelType w:val="hybridMultilevel"/>
    <w:tmpl w:val="F75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0"/>
  </w:num>
  <w:num w:numId="7">
    <w:abstractNumId w:val="12"/>
  </w:num>
  <w:num w:numId="8">
    <w:abstractNumId w:val="8"/>
  </w:num>
  <w:num w:numId="9">
    <w:abstractNumId w:val="2"/>
  </w:num>
  <w:num w:numId="10">
    <w:abstractNumId w:val="9"/>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37"/>
    <w:rsid w:val="00001141"/>
    <w:rsid w:val="000023F5"/>
    <w:rsid w:val="00002B5D"/>
    <w:rsid w:val="00003CE6"/>
    <w:rsid w:val="000043F9"/>
    <w:rsid w:val="00004905"/>
    <w:rsid w:val="00004976"/>
    <w:rsid w:val="000052BF"/>
    <w:rsid w:val="00005FDD"/>
    <w:rsid w:val="000065CA"/>
    <w:rsid w:val="00006FA8"/>
    <w:rsid w:val="00007644"/>
    <w:rsid w:val="000105B5"/>
    <w:rsid w:val="000112F7"/>
    <w:rsid w:val="000114A5"/>
    <w:rsid w:val="00012518"/>
    <w:rsid w:val="0001410D"/>
    <w:rsid w:val="000143C3"/>
    <w:rsid w:val="00016493"/>
    <w:rsid w:val="00016FFE"/>
    <w:rsid w:val="0001788F"/>
    <w:rsid w:val="00021BCA"/>
    <w:rsid w:val="000226DF"/>
    <w:rsid w:val="00024062"/>
    <w:rsid w:val="00024B32"/>
    <w:rsid w:val="000253BB"/>
    <w:rsid w:val="00025BA2"/>
    <w:rsid w:val="00026479"/>
    <w:rsid w:val="0003014C"/>
    <w:rsid w:val="0003083E"/>
    <w:rsid w:val="0003083F"/>
    <w:rsid w:val="000312D9"/>
    <w:rsid w:val="0003407E"/>
    <w:rsid w:val="00034A33"/>
    <w:rsid w:val="0003542C"/>
    <w:rsid w:val="00036787"/>
    <w:rsid w:val="000369A1"/>
    <w:rsid w:val="00040A68"/>
    <w:rsid w:val="00040F59"/>
    <w:rsid w:val="000437DF"/>
    <w:rsid w:val="00043AD6"/>
    <w:rsid w:val="00043E68"/>
    <w:rsid w:val="00046E23"/>
    <w:rsid w:val="000474D9"/>
    <w:rsid w:val="0004784F"/>
    <w:rsid w:val="00050CD3"/>
    <w:rsid w:val="00051B17"/>
    <w:rsid w:val="0005230C"/>
    <w:rsid w:val="00053BBF"/>
    <w:rsid w:val="00053D70"/>
    <w:rsid w:val="000548DF"/>
    <w:rsid w:val="00055D64"/>
    <w:rsid w:val="0006001A"/>
    <w:rsid w:val="00060601"/>
    <w:rsid w:val="000610B2"/>
    <w:rsid w:val="0006446C"/>
    <w:rsid w:val="00064552"/>
    <w:rsid w:val="000646BB"/>
    <w:rsid w:val="00065B46"/>
    <w:rsid w:val="00065CD1"/>
    <w:rsid w:val="00070384"/>
    <w:rsid w:val="00070FD6"/>
    <w:rsid w:val="000754EB"/>
    <w:rsid w:val="00075B42"/>
    <w:rsid w:val="0007603F"/>
    <w:rsid w:val="000769C2"/>
    <w:rsid w:val="00076BFE"/>
    <w:rsid w:val="000772A5"/>
    <w:rsid w:val="00080DF5"/>
    <w:rsid w:val="00081C7D"/>
    <w:rsid w:val="00081D29"/>
    <w:rsid w:val="00084A29"/>
    <w:rsid w:val="00085170"/>
    <w:rsid w:val="00085B6F"/>
    <w:rsid w:val="00085C46"/>
    <w:rsid w:val="00093AED"/>
    <w:rsid w:val="0009417B"/>
    <w:rsid w:val="0009496A"/>
    <w:rsid w:val="00095588"/>
    <w:rsid w:val="00095A9F"/>
    <w:rsid w:val="00096069"/>
    <w:rsid w:val="000A0420"/>
    <w:rsid w:val="000A0592"/>
    <w:rsid w:val="000A08EF"/>
    <w:rsid w:val="000A3B44"/>
    <w:rsid w:val="000A6467"/>
    <w:rsid w:val="000A6A6B"/>
    <w:rsid w:val="000A7355"/>
    <w:rsid w:val="000B03CF"/>
    <w:rsid w:val="000B2F11"/>
    <w:rsid w:val="000B38A1"/>
    <w:rsid w:val="000B3A69"/>
    <w:rsid w:val="000B508C"/>
    <w:rsid w:val="000B76FC"/>
    <w:rsid w:val="000C0FBC"/>
    <w:rsid w:val="000C14CB"/>
    <w:rsid w:val="000C29E2"/>
    <w:rsid w:val="000C5616"/>
    <w:rsid w:val="000C5FDF"/>
    <w:rsid w:val="000C7D43"/>
    <w:rsid w:val="000D1B9A"/>
    <w:rsid w:val="000D1EB2"/>
    <w:rsid w:val="000D3F34"/>
    <w:rsid w:val="000D50FA"/>
    <w:rsid w:val="000D5ABE"/>
    <w:rsid w:val="000D668F"/>
    <w:rsid w:val="000D779D"/>
    <w:rsid w:val="000E030F"/>
    <w:rsid w:val="000E0BB8"/>
    <w:rsid w:val="000E1D5D"/>
    <w:rsid w:val="000E73DC"/>
    <w:rsid w:val="000F0728"/>
    <w:rsid w:val="000F1C4D"/>
    <w:rsid w:val="000F2F30"/>
    <w:rsid w:val="000F4C36"/>
    <w:rsid w:val="000F57E5"/>
    <w:rsid w:val="000F5A86"/>
    <w:rsid w:val="000F5D51"/>
    <w:rsid w:val="000F5FDA"/>
    <w:rsid w:val="000F6AE0"/>
    <w:rsid w:val="000F6D49"/>
    <w:rsid w:val="000F7329"/>
    <w:rsid w:val="000F75D9"/>
    <w:rsid w:val="000F7A0C"/>
    <w:rsid w:val="000F7E73"/>
    <w:rsid w:val="001036D3"/>
    <w:rsid w:val="00103EAD"/>
    <w:rsid w:val="00104574"/>
    <w:rsid w:val="00104B80"/>
    <w:rsid w:val="001067D0"/>
    <w:rsid w:val="00107C67"/>
    <w:rsid w:val="0011008E"/>
    <w:rsid w:val="00110090"/>
    <w:rsid w:val="00111240"/>
    <w:rsid w:val="00112FBE"/>
    <w:rsid w:val="00115E1B"/>
    <w:rsid w:val="00121512"/>
    <w:rsid w:val="00122E00"/>
    <w:rsid w:val="0012358D"/>
    <w:rsid w:val="00124274"/>
    <w:rsid w:val="001277E6"/>
    <w:rsid w:val="001278FE"/>
    <w:rsid w:val="00130062"/>
    <w:rsid w:val="00130469"/>
    <w:rsid w:val="0013117D"/>
    <w:rsid w:val="001330C7"/>
    <w:rsid w:val="00133D65"/>
    <w:rsid w:val="00133F48"/>
    <w:rsid w:val="001357B5"/>
    <w:rsid w:val="00135884"/>
    <w:rsid w:val="00136B72"/>
    <w:rsid w:val="00136B8E"/>
    <w:rsid w:val="001375F2"/>
    <w:rsid w:val="001378DB"/>
    <w:rsid w:val="00137F84"/>
    <w:rsid w:val="001409E5"/>
    <w:rsid w:val="00140DED"/>
    <w:rsid w:val="00141398"/>
    <w:rsid w:val="0014155A"/>
    <w:rsid w:val="0014262C"/>
    <w:rsid w:val="001427FF"/>
    <w:rsid w:val="00144038"/>
    <w:rsid w:val="00144AC3"/>
    <w:rsid w:val="00145A63"/>
    <w:rsid w:val="00145DE0"/>
    <w:rsid w:val="0014731D"/>
    <w:rsid w:val="00147FC5"/>
    <w:rsid w:val="00150784"/>
    <w:rsid w:val="00150FDC"/>
    <w:rsid w:val="00151275"/>
    <w:rsid w:val="0015400E"/>
    <w:rsid w:val="00155791"/>
    <w:rsid w:val="0015596E"/>
    <w:rsid w:val="001600E9"/>
    <w:rsid w:val="00160964"/>
    <w:rsid w:val="00162EE3"/>
    <w:rsid w:val="00163CE5"/>
    <w:rsid w:val="00164746"/>
    <w:rsid w:val="0016680D"/>
    <w:rsid w:val="001668B3"/>
    <w:rsid w:val="00167D3E"/>
    <w:rsid w:val="00170D0F"/>
    <w:rsid w:val="001710BE"/>
    <w:rsid w:val="00171543"/>
    <w:rsid w:val="0017169C"/>
    <w:rsid w:val="00172FA7"/>
    <w:rsid w:val="001743C1"/>
    <w:rsid w:val="00176BB4"/>
    <w:rsid w:val="001771B5"/>
    <w:rsid w:val="00177C87"/>
    <w:rsid w:val="00177FE6"/>
    <w:rsid w:val="001805D0"/>
    <w:rsid w:val="0018170D"/>
    <w:rsid w:val="00182C82"/>
    <w:rsid w:val="00183C5D"/>
    <w:rsid w:val="001878C3"/>
    <w:rsid w:val="00187D77"/>
    <w:rsid w:val="001909CE"/>
    <w:rsid w:val="00190C57"/>
    <w:rsid w:val="001913CB"/>
    <w:rsid w:val="00191EAA"/>
    <w:rsid w:val="0019274F"/>
    <w:rsid w:val="001936BE"/>
    <w:rsid w:val="00197D21"/>
    <w:rsid w:val="001A5C09"/>
    <w:rsid w:val="001A6F08"/>
    <w:rsid w:val="001A786D"/>
    <w:rsid w:val="001A7A48"/>
    <w:rsid w:val="001A7C5B"/>
    <w:rsid w:val="001B0EAA"/>
    <w:rsid w:val="001B2F54"/>
    <w:rsid w:val="001B43F7"/>
    <w:rsid w:val="001B51C6"/>
    <w:rsid w:val="001B52BD"/>
    <w:rsid w:val="001B56E8"/>
    <w:rsid w:val="001B5AEC"/>
    <w:rsid w:val="001B6092"/>
    <w:rsid w:val="001B6996"/>
    <w:rsid w:val="001B7995"/>
    <w:rsid w:val="001C055A"/>
    <w:rsid w:val="001C0C74"/>
    <w:rsid w:val="001C2AAC"/>
    <w:rsid w:val="001C2D38"/>
    <w:rsid w:val="001D1AAA"/>
    <w:rsid w:val="001D255C"/>
    <w:rsid w:val="001D28C4"/>
    <w:rsid w:val="001D2E37"/>
    <w:rsid w:val="001D65AC"/>
    <w:rsid w:val="001D6773"/>
    <w:rsid w:val="001D7D1E"/>
    <w:rsid w:val="001E0C1E"/>
    <w:rsid w:val="001E6450"/>
    <w:rsid w:val="001E6B0F"/>
    <w:rsid w:val="001E76CD"/>
    <w:rsid w:val="001F036B"/>
    <w:rsid w:val="001F05CF"/>
    <w:rsid w:val="001F09DC"/>
    <w:rsid w:val="001F1009"/>
    <w:rsid w:val="001F2096"/>
    <w:rsid w:val="001F24AD"/>
    <w:rsid w:val="001F287B"/>
    <w:rsid w:val="001F2923"/>
    <w:rsid w:val="001F32E6"/>
    <w:rsid w:val="001F47C4"/>
    <w:rsid w:val="001F4961"/>
    <w:rsid w:val="001F4C84"/>
    <w:rsid w:val="001F63CB"/>
    <w:rsid w:val="001F63E2"/>
    <w:rsid w:val="001F6A10"/>
    <w:rsid w:val="001F7A4B"/>
    <w:rsid w:val="00201655"/>
    <w:rsid w:val="00201F24"/>
    <w:rsid w:val="0020215C"/>
    <w:rsid w:val="002026B7"/>
    <w:rsid w:val="002030ED"/>
    <w:rsid w:val="00203F48"/>
    <w:rsid w:val="0020465A"/>
    <w:rsid w:val="00205FBF"/>
    <w:rsid w:val="002115AF"/>
    <w:rsid w:val="00211AB3"/>
    <w:rsid w:val="0021245D"/>
    <w:rsid w:val="00212D05"/>
    <w:rsid w:val="00217611"/>
    <w:rsid w:val="002208FE"/>
    <w:rsid w:val="00220CAC"/>
    <w:rsid w:val="00221B27"/>
    <w:rsid w:val="002231D8"/>
    <w:rsid w:val="002244AD"/>
    <w:rsid w:val="00224C61"/>
    <w:rsid w:val="00224CB2"/>
    <w:rsid w:val="002255AE"/>
    <w:rsid w:val="00225E50"/>
    <w:rsid w:val="002272F5"/>
    <w:rsid w:val="002301DB"/>
    <w:rsid w:val="00230737"/>
    <w:rsid w:val="00230E9A"/>
    <w:rsid w:val="00232150"/>
    <w:rsid w:val="002326DB"/>
    <w:rsid w:val="002329FF"/>
    <w:rsid w:val="00233C05"/>
    <w:rsid w:val="0023459D"/>
    <w:rsid w:val="00234F15"/>
    <w:rsid w:val="00235113"/>
    <w:rsid w:val="00235832"/>
    <w:rsid w:val="00240C87"/>
    <w:rsid w:val="00240DB1"/>
    <w:rsid w:val="002435EE"/>
    <w:rsid w:val="00244E72"/>
    <w:rsid w:val="00245410"/>
    <w:rsid w:val="00246408"/>
    <w:rsid w:val="00247540"/>
    <w:rsid w:val="002606F6"/>
    <w:rsid w:val="00261755"/>
    <w:rsid w:val="00262430"/>
    <w:rsid w:val="00262E46"/>
    <w:rsid w:val="0026369E"/>
    <w:rsid w:val="002658EF"/>
    <w:rsid w:val="00266AD4"/>
    <w:rsid w:val="002671B7"/>
    <w:rsid w:val="00267E63"/>
    <w:rsid w:val="0027020A"/>
    <w:rsid w:val="0027262A"/>
    <w:rsid w:val="002736F7"/>
    <w:rsid w:val="00275EF2"/>
    <w:rsid w:val="0027690E"/>
    <w:rsid w:val="00277625"/>
    <w:rsid w:val="002801CA"/>
    <w:rsid w:val="00280DA2"/>
    <w:rsid w:val="002812B9"/>
    <w:rsid w:val="002814BB"/>
    <w:rsid w:val="00282744"/>
    <w:rsid w:val="00282F6E"/>
    <w:rsid w:val="00282F94"/>
    <w:rsid w:val="00283072"/>
    <w:rsid w:val="00285086"/>
    <w:rsid w:val="0028548A"/>
    <w:rsid w:val="0028550C"/>
    <w:rsid w:val="00287614"/>
    <w:rsid w:val="00290848"/>
    <w:rsid w:val="00290CDE"/>
    <w:rsid w:val="00293541"/>
    <w:rsid w:val="00293AE2"/>
    <w:rsid w:val="00294433"/>
    <w:rsid w:val="00294F0A"/>
    <w:rsid w:val="00295B5D"/>
    <w:rsid w:val="00295C47"/>
    <w:rsid w:val="00296463"/>
    <w:rsid w:val="0029700C"/>
    <w:rsid w:val="002976C3"/>
    <w:rsid w:val="002A05EC"/>
    <w:rsid w:val="002A0AAE"/>
    <w:rsid w:val="002A22EF"/>
    <w:rsid w:val="002A2982"/>
    <w:rsid w:val="002A2D96"/>
    <w:rsid w:val="002A2DBB"/>
    <w:rsid w:val="002A3187"/>
    <w:rsid w:val="002A3218"/>
    <w:rsid w:val="002A3BA8"/>
    <w:rsid w:val="002A45A5"/>
    <w:rsid w:val="002A6F1B"/>
    <w:rsid w:val="002B0F0F"/>
    <w:rsid w:val="002B0F16"/>
    <w:rsid w:val="002B183D"/>
    <w:rsid w:val="002B2BAC"/>
    <w:rsid w:val="002B2DD5"/>
    <w:rsid w:val="002B6706"/>
    <w:rsid w:val="002B7772"/>
    <w:rsid w:val="002C0C60"/>
    <w:rsid w:val="002C1E41"/>
    <w:rsid w:val="002C44E8"/>
    <w:rsid w:val="002C48DC"/>
    <w:rsid w:val="002C547A"/>
    <w:rsid w:val="002C7C34"/>
    <w:rsid w:val="002D1188"/>
    <w:rsid w:val="002D1882"/>
    <w:rsid w:val="002D1B59"/>
    <w:rsid w:val="002D1E84"/>
    <w:rsid w:val="002D4137"/>
    <w:rsid w:val="002D51C4"/>
    <w:rsid w:val="002D65A9"/>
    <w:rsid w:val="002D7023"/>
    <w:rsid w:val="002D71F2"/>
    <w:rsid w:val="002D7C3B"/>
    <w:rsid w:val="002E230B"/>
    <w:rsid w:val="002E353F"/>
    <w:rsid w:val="002E4096"/>
    <w:rsid w:val="002E5A1B"/>
    <w:rsid w:val="002E7319"/>
    <w:rsid w:val="002E74F1"/>
    <w:rsid w:val="002E768E"/>
    <w:rsid w:val="002E796D"/>
    <w:rsid w:val="002F018F"/>
    <w:rsid w:val="002F0699"/>
    <w:rsid w:val="002F0D22"/>
    <w:rsid w:val="002F47F9"/>
    <w:rsid w:val="002F4EA1"/>
    <w:rsid w:val="002F6039"/>
    <w:rsid w:val="00301D0F"/>
    <w:rsid w:val="00302537"/>
    <w:rsid w:val="003025C4"/>
    <w:rsid w:val="00302AE6"/>
    <w:rsid w:val="00303877"/>
    <w:rsid w:val="00304BA8"/>
    <w:rsid w:val="00304CB4"/>
    <w:rsid w:val="00305DFD"/>
    <w:rsid w:val="00306276"/>
    <w:rsid w:val="00306388"/>
    <w:rsid w:val="0031000C"/>
    <w:rsid w:val="003102E6"/>
    <w:rsid w:val="00312B79"/>
    <w:rsid w:val="0031325D"/>
    <w:rsid w:val="00314229"/>
    <w:rsid w:val="003163D4"/>
    <w:rsid w:val="003176E3"/>
    <w:rsid w:val="00317C51"/>
    <w:rsid w:val="00320A94"/>
    <w:rsid w:val="0032140D"/>
    <w:rsid w:val="0032210D"/>
    <w:rsid w:val="0032324D"/>
    <w:rsid w:val="003241F6"/>
    <w:rsid w:val="0032513D"/>
    <w:rsid w:val="00325D56"/>
    <w:rsid w:val="00325EB1"/>
    <w:rsid w:val="00326AE3"/>
    <w:rsid w:val="00327C3B"/>
    <w:rsid w:val="00327FA1"/>
    <w:rsid w:val="00330E25"/>
    <w:rsid w:val="003325B1"/>
    <w:rsid w:val="0033284A"/>
    <w:rsid w:val="00332AD1"/>
    <w:rsid w:val="00333A85"/>
    <w:rsid w:val="00334A72"/>
    <w:rsid w:val="00341F91"/>
    <w:rsid w:val="0034230C"/>
    <w:rsid w:val="003425E0"/>
    <w:rsid w:val="003427E7"/>
    <w:rsid w:val="00345C8A"/>
    <w:rsid w:val="00350C8F"/>
    <w:rsid w:val="00350CCF"/>
    <w:rsid w:val="00354579"/>
    <w:rsid w:val="00354E8C"/>
    <w:rsid w:val="00355289"/>
    <w:rsid w:val="00356071"/>
    <w:rsid w:val="00356A3A"/>
    <w:rsid w:val="00357AB4"/>
    <w:rsid w:val="00360E97"/>
    <w:rsid w:val="00361185"/>
    <w:rsid w:val="00362925"/>
    <w:rsid w:val="00363C8B"/>
    <w:rsid w:val="00363FA6"/>
    <w:rsid w:val="00364995"/>
    <w:rsid w:val="00366C67"/>
    <w:rsid w:val="003675C2"/>
    <w:rsid w:val="00370A39"/>
    <w:rsid w:val="00371749"/>
    <w:rsid w:val="00372799"/>
    <w:rsid w:val="003727EA"/>
    <w:rsid w:val="00372CF6"/>
    <w:rsid w:val="00374631"/>
    <w:rsid w:val="003772DD"/>
    <w:rsid w:val="00380A35"/>
    <w:rsid w:val="00380DC7"/>
    <w:rsid w:val="003820B9"/>
    <w:rsid w:val="0038330D"/>
    <w:rsid w:val="0038430A"/>
    <w:rsid w:val="00384B8A"/>
    <w:rsid w:val="00385DA6"/>
    <w:rsid w:val="0038753E"/>
    <w:rsid w:val="003903CD"/>
    <w:rsid w:val="00390634"/>
    <w:rsid w:val="003906E0"/>
    <w:rsid w:val="00392746"/>
    <w:rsid w:val="003934F4"/>
    <w:rsid w:val="00393E0F"/>
    <w:rsid w:val="00394C3F"/>
    <w:rsid w:val="00396FB4"/>
    <w:rsid w:val="00397024"/>
    <w:rsid w:val="003A0350"/>
    <w:rsid w:val="003A2B70"/>
    <w:rsid w:val="003A2C4F"/>
    <w:rsid w:val="003A3100"/>
    <w:rsid w:val="003A425A"/>
    <w:rsid w:val="003A55F9"/>
    <w:rsid w:val="003A62C5"/>
    <w:rsid w:val="003B1A55"/>
    <w:rsid w:val="003B4256"/>
    <w:rsid w:val="003B6A47"/>
    <w:rsid w:val="003B775A"/>
    <w:rsid w:val="003C0986"/>
    <w:rsid w:val="003C1C16"/>
    <w:rsid w:val="003C28BA"/>
    <w:rsid w:val="003C3CB4"/>
    <w:rsid w:val="003C52F4"/>
    <w:rsid w:val="003C5AE6"/>
    <w:rsid w:val="003C65F9"/>
    <w:rsid w:val="003C7048"/>
    <w:rsid w:val="003C7DC7"/>
    <w:rsid w:val="003D0543"/>
    <w:rsid w:val="003D1E15"/>
    <w:rsid w:val="003D2D21"/>
    <w:rsid w:val="003D3169"/>
    <w:rsid w:val="003D38DC"/>
    <w:rsid w:val="003D3AD6"/>
    <w:rsid w:val="003D524B"/>
    <w:rsid w:val="003D6FA4"/>
    <w:rsid w:val="003D7378"/>
    <w:rsid w:val="003E105B"/>
    <w:rsid w:val="003E3475"/>
    <w:rsid w:val="003E3622"/>
    <w:rsid w:val="003E4E56"/>
    <w:rsid w:val="003F00B6"/>
    <w:rsid w:val="003F4099"/>
    <w:rsid w:val="003F5717"/>
    <w:rsid w:val="0040195F"/>
    <w:rsid w:val="00402C2F"/>
    <w:rsid w:val="0040348B"/>
    <w:rsid w:val="0040379F"/>
    <w:rsid w:val="0040484B"/>
    <w:rsid w:val="00404CA9"/>
    <w:rsid w:val="004056BF"/>
    <w:rsid w:val="00405B24"/>
    <w:rsid w:val="004074F1"/>
    <w:rsid w:val="00410A11"/>
    <w:rsid w:val="00410E5F"/>
    <w:rsid w:val="00420389"/>
    <w:rsid w:val="0042048C"/>
    <w:rsid w:val="0042138B"/>
    <w:rsid w:val="0042313C"/>
    <w:rsid w:val="00425DE3"/>
    <w:rsid w:val="00426F2A"/>
    <w:rsid w:val="004270AC"/>
    <w:rsid w:val="00431355"/>
    <w:rsid w:val="0043165F"/>
    <w:rsid w:val="00433135"/>
    <w:rsid w:val="00433E09"/>
    <w:rsid w:val="004359B3"/>
    <w:rsid w:val="00435F56"/>
    <w:rsid w:val="004379A6"/>
    <w:rsid w:val="00441E23"/>
    <w:rsid w:val="00445F47"/>
    <w:rsid w:val="00447BC0"/>
    <w:rsid w:val="00447E50"/>
    <w:rsid w:val="004504BF"/>
    <w:rsid w:val="0045072A"/>
    <w:rsid w:val="00453BC0"/>
    <w:rsid w:val="00455F16"/>
    <w:rsid w:val="00455F98"/>
    <w:rsid w:val="00460112"/>
    <w:rsid w:val="0046452A"/>
    <w:rsid w:val="00465143"/>
    <w:rsid w:val="00466691"/>
    <w:rsid w:val="004671DD"/>
    <w:rsid w:val="00470CFD"/>
    <w:rsid w:val="004722DB"/>
    <w:rsid w:val="004732C6"/>
    <w:rsid w:val="00473A9E"/>
    <w:rsid w:val="00473FFA"/>
    <w:rsid w:val="004749F2"/>
    <w:rsid w:val="00474B9D"/>
    <w:rsid w:val="00475003"/>
    <w:rsid w:val="00475448"/>
    <w:rsid w:val="00476B01"/>
    <w:rsid w:val="00477086"/>
    <w:rsid w:val="00477088"/>
    <w:rsid w:val="00477EBA"/>
    <w:rsid w:val="00477FE4"/>
    <w:rsid w:val="00477FFC"/>
    <w:rsid w:val="00480EAF"/>
    <w:rsid w:val="00483043"/>
    <w:rsid w:val="00484459"/>
    <w:rsid w:val="00486409"/>
    <w:rsid w:val="00486A9E"/>
    <w:rsid w:val="00487184"/>
    <w:rsid w:val="004875E3"/>
    <w:rsid w:val="00490C8C"/>
    <w:rsid w:val="00491463"/>
    <w:rsid w:val="00492582"/>
    <w:rsid w:val="0049463D"/>
    <w:rsid w:val="00495413"/>
    <w:rsid w:val="0049647A"/>
    <w:rsid w:val="004969ED"/>
    <w:rsid w:val="0049759E"/>
    <w:rsid w:val="004977AA"/>
    <w:rsid w:val="00497BDF"/>
    <w:rsid w:val="004A270F"/>
    <w:rsid w:val="004A28E5"/>
    <w:rsid w:val="004A3A49"/>
    <w:rsid w:val="004A4DB2"/>
    <w:rsid w:val="004A6D45"/>
    <w:rsid w:val="004B1A1E"/>
    <w:rsid w:val="004B2ABB"/>
    <w:rsid w:val="004B31ED"/>
    <w:rsid w:val="004B5C04"/>
    <w:rsid w:val="004B6729"/>
    <w:rsid w:val="004B718C"/>
    <w:rsid w:val="004C0476"/>
    <w:rsid w:val="004C04BD"/>
    <w:rsid w:val="004C0EEC"/>
    <w:rsid w:val="004C127B"/>
    <w:rsid w:val="004C13EA"/>
    <w:rsid w:val="004C1D34"/>
    <w:rsid w:val="004C2A54"/>
    <w:rsid w:val="004C2F80"/>
    <w:rsid w:val="004C395B"/>
    <w:rsid w:val="004C79C7"/>
    <w:rsid w:val="004D06B3"/>
    <w:rsid w:val="004D17BC"/>
    <w:rsid w:val="004D1A40"/>
    <w:rsid w:val="004D1B84"/>
    <w:rsid w:val="004D25F6"/>
    <w:rsid w:val="004D29E0"/>
    <w:rsid w:val="004D3A15"/>
    <w:rsid w:val="004D43A8"/>
    <w:rsid w:val="004D5297"/>
    <w:rsid w:val="004D7E24"/>
    <w:rsid w:val="004E005D"/>
    <w:rsid w:val="004E07DB"/>
    <w:rsid w:val="004E280E"/>
    <w:rsid w:val="004E4656"/>
    <w:rsid w:val="004E4DA3"/>
    <w:rsid w:val="004E4E4A"/>
    <w:rsid w:val="004E4E51"/>
    <w:rsid w:val="004E506C"/>
    <w:rsid w:val="004F0EC9"/>
    <w:rsid w:val="004F158B"/>
    <w:rsid w:val="004F1779"/>
    <w:rsid w:val="004F2586"/>
    <w:rsid w:val="004F26DD"/>
    <w:rsid w:val="004F2D1C"/>
    <w:rsid w:val="004F2ECF"/>
    <w:rsid w:val="004F3D1B"/>
    <w:rsid w:val="004F5188"/>
    <w:rsid w:val="004F58D3"/>
    <w:rsid w:val="004F6A86"/>
    <w:rsid w:val="004F72D3"/>
    <w:rsid w:val="004F79F9"/>
    <w:rsid w:val="005007EE"/>
    <w:rsid w:val="00502003"/>
    <w:rsid w:val="0050246A"/>
    <w:rsid w:val="00502BD8"/>
    <w:rsid w:val="0050304E"/>
    <w:rsid w:val="00504845"/>
    <w:rsid w:val="00507315"/>
    <w:rsid w:val="005103CF"/>
    <w:rsid w:val="005112ED"/>
    <w:rsid w:val="00511642"/>
    <w:rsid w:val="00513421"/>
    <w:rsid w:val="005134B8"/>
    <w:rsid w:val="00513FE5"/>
    <w:rsid w:val="00514273"/>
    <w:rsid w:val="005142E4"/>
    <w:rsid w:val="0051503D"/>
    <w:rsid w:val="005152A2"/>
    <w:rsid w:val="00516740"/>
    <w:rsid w:val="005177E6"/>
    <w:rsid w:val="00520302"/>
    <w:rsid w:val="00522623"/>
    <w:rsid w:val="0052298A"/>
    <w:rsid w:val="00525F40"/>
    <w:rsid w:val="00530C77"/>
    <w:rsid w:val="005321A3"/>
    <w:rsid w:val="0053275C"/>
    <w:rsid w:val="0053278B"/>
    <w:rsid w:val="00532C38"/>
    <w:rsid w:val="00533830"/>
    <w:rsid w:val="00534C39"/>
    <w:rsid w:val="00536421"/>
    <w:rsid w:val="00536E02"/>
    <w:rsid w:val="005379D0"/>
    <w:rsid w:val="005403B6"/>
    <w:rsid w:val="00540A2B"/>
    <w:rsid w:val="005428A7"/>
    <w:rsid w:val="00545EC9"/>
    <w:rsid w:val="0054699C"/>
    <w:rsid w:val="00546DC5"/>
    <w:rsid w:val="005508A4"/>
    <w:rsid w:val="00551C47"/>
    <w:rsid w:val="005530A8"/>
    <w:rsid w:val="0055318A"/>
    <w:rsid w:val="005571EE"/>
    <w:rsid w:val="005616E6"/>
    <w:rsid w:val="00562293"/>
    <w:rsid w:val="005623C6"/>
    <w:rsid w:val="005626EB"/>
    <w:rsid w:val="00563484"/>
    <w:rsid w:val="005638AE"/>
    <w:rsid w:val="005653B4"/>
    <w:rsid w:val="00565589"/>
    <w:rsid w:val="00570BDF"/>
    <w:rsid w:val="00572C30"/>
    <w:rsid w:val="00573678"/>
    <w:rsid w:val="00573870"/>
    <w:rsid w:val="00573FA9"/>
    <w:rsid w:val="005800CF"/>
    <w:rsid w:val="005821EA"/>
    <w:rsid w:val="00582288"/>
    <w:rsid w:val="00582BD2"/>
    <w:rsid w:val="00583447"/>
    <w:rsid w:val="00583C68"/>
    <w:rsid w:val="0058477A"/>
    <w:rsid w:val="005847FA"/>
    <w:rsid w:val="005852C0"/>
    <w:rsid w:val="00585F84"/>
    <w:rsid w:val="00586259"/>
    <w:rsid w:val="00586927"/>
    <w:rsid w:val="005906DD"/>
    <w:rsid w:val="005922A2"/>
    <w:rsid w:val="00593C7F"/>
    <w:rsid w:val="00593EC4"/>
    <w:rsid w:val="00594A62"/>
    <w:rsid w:val="005973E4"/>
    <w:rsid w:val="005A2807"/>
    <w:rsid w:val="005A496A"/>
    <w:rsid w:val="005B0762"/>
    <w:rsid w:val="005B095E"/>
    <w:rsid w:val="005B10FD"/>
    <w:rsid w:val="005B2A9A"/>
    <w:rsid w:val="005B4712"/>
    <w:rsid w:val="005B493D"/>
    <w:rsid w:val="005B5C27"/>
    <w:rsid w:val="005B5F16"/>
    <w:rsid w:val="005B6007"/>
    <w:rsid w:val="005B6B99"/>
    <w:rsid w:val="005C0FAA"/>
    <w:rsid w:val="005C1AA3"/>
    <w:rsid w:val="005C3E67"/>
    <w:rsid w:val="005C5029"/>
    <w:rsid w:val="005C6121"/>
    <w:rsid w:val="005C6422"/>
    <w:rsid w:val="005C724C"/>
    <w:rsid w:val="005D12FC"/>
    <w:rsid w:val="005D1BB4"/>
    <w:rsid w:val="005D23D9"/>
    <w:rsid w:val="005D2983"/>
    <w:rsid w:val="005D3538"/>
    <w:rsid w:val="005D48DA"/>
    <w:rsid w:val="005D5A3D"/>
    <w:rsid w:val="005D6A90"/>
    <w:rsid w:val="005D7681"/>
    <w:rsid w:val="005D7E3E"/>
    <w:rsid w:val="005E05E0"/>
    <w:rsid w:val="005E09B4"/>
    <w:rsid w:val="005E2617"/>
    <w:rsid w:val="005E317B"/>
    <w:rsid w:val="005E3518"/>
    <w:rsid w:val="005E4353"/>
    <w:rsid w:val="005E58EA"/>
    <w:rsid w:val="005E6BCA"/>
    <w:rsid w:val="005E742B"/>
    <w:rsid w:val="005E7619"/>
    <w:rsid w:val="005F0240"/>
    <w:rsid w:val="005F0D31"/>
    <w:rsid w:val="005F12FB"/>
    <w:rsid w:val="005F14F9"/>
    <w:rsid w:val="005F212D"/>
    <w:rsid w:val="005F2FE3"/>
    <w:rsid w:val="005F4F8C"/>
    <w:rsid w:val="005F52DF"/>
    <w:rsid w:val="005F6D0A"/>
    <w:rsid w:val="00601AB4"/>
    <w:rsid w:val="00602546"/>
    <w:rsid w:val="00603739"/>
    <w:rsid w:val="0060457B"/>
    <w:rsid w:val="006051C1"/>
    <w:rsid w:val="00611214"/>
    <w:rsid w:val="00612A68"/>
    <w:rsid w:val="00613E2B"/>
    <w:rsid w:val="0061400F"/>
    <w:rsid w:val="0062080C"/>
    <w:rsid w:val="006227B1"/>
    <w:rsid w:val="00622A74"/>
    <w:rsid w:val="00622BB4"/>
    <w:rsid w:val="0062336F"/>
    <w:rsid w:val="006246D3"/>
    <w:rsid w:val="006247C3"/>
    <w:rsid w:val="00624B45"/>
    <w:rsid w:val="00625251"/>
    <w:rsid w:val="00625CE9"/>
    <w:rsid w:val="00626D5D"/>
    <w:rsid w:val="0062741D"/>
    <w:rsid w:val="0063140F"/>
    <w:rsid w:val="006315A4"/>
    <w:rsid w:val="00634EAB"/>
    <w:rsid w:val="006358A3"/>
    <w:rsid w:val="00640265"/>
    <w:rsid w:val="006410E5"/>
    <w:rsid w:val="00641628"/>
    <w:rsid w:val="00643450"/>
    <w:rsid w:val="00644782"/>
    <w:rsid w:val="00645F54"/>
    <w:rsid w:val="006473EA"/>
    <w:rsid w:val="00647BDF"/>
    <w:rsid w:val="00650767"/>
    <w:rsid w:val="00651E83"/>
    <w:rsid w:val="00651F28"/>
    <w:rsid w:val="00653333"/>
    <w:rsid w:val="006541F7"/>
    <w:rsid w:val="006544BA"/>
    <w:rsid w:val="00655216"/>
    <w:rsid w:val="00660533"/>
    <w:rsid w:val="006615E1"/>
    <w:rsid w:val="0066179B"/>
    <w:rsid w:val="00661A9D"/>
    <w:rsid w:val="0066238A"/>
    <w:rsid w:val="00665673"/>
    <w:rsid w:val="006666C0"/>
    <w:rsid w:val="006667C2"/>
    <w:rsid w:val="00670CCD"/>
    <w:rsid w:val="0067186E"/>
    <w:rsid w:val="00671A72"/>
    <w:rsid w:val="00672992"/>
    <w:rsid w:val="006732BB"/>
    <w:rsid w:val="00674799"/>
    <w:rsid w:val="006752F5"/>
    <w:rsid w:val="006754AD"/>
    <w:rsid w:val="006767CA"/>
    <w:rsid w:val="00676957"/>
    <w:rsid w:val="00676CA5"/>
    <w:rsid w:val="00681C09"/>
    <w:rsid w:val="00681E62"/>
    <w:rsid w:val="006821D6"/>
    <w:rsid w:val="006839B2"/>
    <w:rsid w:val="00683BF4"/>
    <w:rsid w:val="00684264"/>
    <w:rsid w:val="0068487A"/>
    <w:rsid w:val="00684E47"/>
    <w:rsid w:val="006852C0"/>
    <w:rsid w:val="00687DE2"/>
    <w:rsid w:val="00690512"/>
    <w:rsid w:val="0069278E"/>
    <w:rsid w:val="00693254"/>
    <w:rsid w:val="00694ECA"/>
    <w:rsid w:val="00696772"/>
    <w:rsid w:val="00696A02"/>
    <w:rsid w:val="00697DB0"/>
    <w:rsid w:val="006A0860"/>
    <w:rsid w:val="006A213E"/>
    <w:rsid w:val="006A3336"/>
    <w:rsid w:val="006A3F3C"/>
    <w:rsid w:val="006B28CE"/>
    <w:rsid w:val="006B3EA1"/>
    <w:rsid w:val="006B4621"/>
    <w:rsid w:val="006B4817"/>
    <w:rsid w:val="006B4BDC"/>
    <w:rsid w:val="006B54EC"/>
    <w:rsid w:val="006B56CE"/>
    <w:rsid w:val="006B5B14"/>
    <w:rsid w:val="006B74E6"/>
    <w:rsid w:val="006B7ECE"/>
    <w:rsid w:val="006C0128"/>
    <w:rsid w:val="006C0E46"/>
    <w:rsid w:val="006C19C8"/>
    <w:rsid w:val="006C29BF"/>
    <w:rsid w:val="006C418E"/>
    <w:rsid w:val="006C7E3D"/>
    <w:rsid w:val="006D0847"/>
    <w:rsid w:val="006D13E8"/>
    <w:rsid w:val="006D2A14"/>
    <w:rsid w:val="006D57A0"/>
    <w:rsid w:val="006D6D08"/>
    <w:rsid w:val="006E69AC"/>
    <w:rsid w:val="006E76E8"/>
    <w:rsid w:val="006E79F5"/>
    <w:rsid w:val="006E7D27"/>
    <w:rsid w:val="006F0181"/>
    <w:rsid w:val="006F19C4"/>
    <w:rsid w:val="006F2506"/>
    <w:rsid w:val="006F6EA7"/>
    <w:rsid w:val="006F74EE"/>
    <w:rsid w:val="006F78E8"/>
    <w:rsid w:val="007012E1"/>
    <w:rsid w:val="00702189"/>
    <w:rsid w:val="0070310A"/>
    <w:rsid w:val="00703E85"/>
    <w:rsid w:val="00706719"/>
    <w:rsid w:val="0070676F"/>
    <w:rsid w:val="007069EF"/>
    <w:rsid w:val="0070713B"/>
    <w:rsid w:val="00707459"/>
    <w:rsid w:val="00707857"/>
    <w:rsid w:val="00707DE6"/>
    <w:rsid w:val="0071045E"/>
    <w:rsid w:val="0071079D"/>
    <w:rsid w:val="00710CE3"/>
    <w:rsid w:val="00712218"/>
    <w:rsid w:val="00712382"/>
    <w:rsid w:val="00714809"/>
    <w:rsid w:val="007164F2"/>
    <w:rsid w:val="00717293"/>
    <w:rsid w:val="00717DAE"/>
    <w:rsid w:val="00720BF2"/>
    <w:rsid w:val="00722636"/>
    <w:rsid w:val="007239B5"/>
    <w:rsid w:val="00723C25"/>
    <w:rsid w:val="00724BB8"/>
    <w:rsid w:val="00725A1E"/>
    <w:rsid w:val="0073112E"/>
    <w:rsid w:val="00731383"/>
    <w:rsid w:val="007317D3"/>
    <w:rsid w:val="00731FEE"/>
    <w:rsid w:val="00732FF4"/>
    <w:rsid w:val="007336D1"/>
    <w:rsid w:val="00733E18"/>
    <w:rsid w:val="00733EC6"/>
    <w:rsid w:val="0073479A"/>
    <w:rsid w:val="00734DE5"/>
    <w:rsid w:val="00735B2C"/>
    <w:rsid w:val="00735BA5"/>
    <w:rsid w:val="00737C85"/>
    <w:rsid w:val="00737CD2"/>
    <w:rsid w:val="007406A8"/>
    <w:rsid w:val="007412C2"/>
    <w:rsid w:val="007425D9"/>
    <w:rsid w:val="0074293D"/>
    <w:rsid w:val="00743A72"/>
    <w:rsid w:val="007442C2"/>
    <w:rsid w:val="0074460D"/>
    <w:rsid w:val="00744E4C"/>
    <w:rsid w:val="00746041"/>
    <w:rsid w:val="00747CB3"/>
    <w:rsid w:val="00747DE9"/>
    <w:rsid w:val="00751D2B"/>
    <w:rsid w:val="007537A0"/>
    <w:rsid w:val="00757556"/>
    <w:rsid w:val="00757E79"/>
    <w:rsid w:val="00757F70"/>
    <w:rsid w:val="007602B1"/>
    <w:rsid w:val="007607C4"/>
    <w:rsid w:val="00761E1D"/>
    <w:rsid w:val="00762202"/>
    <w:rsid w:val="00763569"/>
    <w:rsid w:val="00763C46"/>
    <w:rsid w:val="0076437E"/>
    <w:rsid w:val="00765B3C"/>
    <w:rsid w:val="00766330"/>
    <w:rsid w:val="007709B8"/>
    <w:rsid w:val="00775A82"/>
    <w:rsid w:val="00777A72"/>
    <w:rsid w:val="00777EEA"/>
    <w:rsid w:val="00781816"/>
    <w:rsid w:val="00781855"/>
    <w:rsid w:val="0078309A"/>
    <w:rsid w:val="00783998"/>
    <w:rsid w:val="007846BA"/>
    <w:rsid w:val="00784CE5"/>
    <w:rsid w:val="007866D6"/>
    <w:rsid w:val="00787BA3"/>
    <w:rsid w:val="00787E9E"/>
    <w:rsid w:val="0079003D"/>
    <w:rsid w:val="007909AB"/>
    <w:rsid w:val="00792405"/>
    <w:rsid w:val="00792F89"/>
    <w:rsid w:val="00793572"/>
    <w:rsid w:val="00794121"/>
    <w:rsid w:val="00795445"/>
    <w:rsid w:val="00796E91"/>
    <w:rsid w:val="007A012F"/>
    <w:rsid w:val="007A119B"/>
    <w:rsid w:val="007A1621"/>
    <w:rsid w:val="007A1B79"/>
    <w:rsid w:val="007A2100"/>
    <w:rsid w:val="007A2527"/>
    <w:rsid w:val="007A450E"/>
    <w:rsid w:val="007A5662"/>
    <w:rsid w:val="007B0D19"/>
    <w:rsid w:val="007B2C02"/>
    <w:rsid w:val="007B53E1"/>
    <w:rsid w:val="007B5707"/>
    <w:rsid w:val="007B5817"/>
    <w:rsid w:val="007B6020"/>
    <w:rsid w:val="007B70D1"/>
    <w:rsid w:val="007B7771"/>
    <w:rsid w:val="007B7D32"/>
    <w:rsid w:val="007C1B0C"/>
    <w:rsid w:val="007C1BB2"/>
    <w:rsid w:val="007C2818"/>
    <w:rsid w:val="007C4026"/>
    <w:rsid w:val="007C4F2E"/>
    <w:rsid w:val="007C5CB9"/>
    <w:rsid w:val="007C69A2"/>
    <w:rsid w:val="007C7C1D"/>
    <w:rsid w:val="007D35E8"/>
    <w:rsid w:val="007D3D41"/>
    <w:rsid w:val="007D4133"/>
    <w:rsid w:val="007D5568"/>
    <w:rsid w:val="007D629C"/>
    <w:rsid w:val="007D71E6"/>
    <w:rsid w:val="007D7264"/>
    <w:rsid w:val="007D74E9"/>
    <w:rsid w:val="007D77A7"/>
    <w:rsid w:val="007E02C1"/>
    <w:rsid w:val="007E0A99"/>
    <w:rsid w:val="007E1B77"/>
    <w:rsid w:val="007E2C6F"/>
    <w:rsid w:val="007E44E1"/>
    <w:rsid w:val="007E4CD3"/>
    <w:rsid w:val="007E4FB9"/>
    <w:rsid w:val="007E53B0"/>
    <w:rsid w:val="007E7E35"/>
    <w:rsid w:val="007F022C"/>
    <w:rsid w:val="007F1044"/>
    <w:rsid w:val="007F3F29"/>
    <w:rsid w:val="007F42BB"/>
    <w:rsid w:val="007F477E"/>
    <w:rsid w:val="007F47DA"/>
    <w:rsid w:val="007F4FDB"/>
    <w:rsid w:val="007F5C29"/>
    <w:rsid w:val="007F6550"/>
    <w:rsid w:val="007F72E9"/>
    <w:rsid w:val="007F7FBB"/>
    <w:rsid w:val="00801FBC"/>
    <w:rsid w:val="00802296"/>
    <w:rsid w:val="00802431"/>
    <w:rsid w:val="0080459B"/>
    <w:rsid w:val="008067F9"/>
    <w:rsid w:val="00807370"/>
    <w:rsid w:val="00813EDE"/>
    <w:rsid w:val="008147AE"/>
    <w:rsid w:val="00814FD5"/>
    <w:rsid w:val="00815D1B"/>
    <w:rsid w:val="00817288"/>
    <w:rsid w:val="008200D3"/>
    <w:rsid w:val="00820642"/>
    <w:rsid w:val="00820945"/>
    <w:rsid w:val="00821501"/>
    <w:rsid w:val="00821A58"/>
    <w:rsid w:val="00821A59"/>
    <w:rsid w:val="008229E2"/>
    <w:rsid w:val="00823912"/>
    <w:rsid w:val="008246D4"/>
    <w:rsid w:val="008248B4"/>
    <w:rsid w:val="008258F2"/>
    <w:rsid w:val="00825FED"/>
    <w:rsid w:val="0083080E"/>
    <w:rsid w:val="00832FE9"/>
    <w:rsid w:val="0083645A"/>
    <w:rsid w:val="00836D54"/>
    <w:rsid w:val="008372B0"/>
    <w:rsid w:val="008428BA"/>
    <w:rsid w:val="00845071"/>
    <w:rsid w:val="008459B8"/>
    <w:rsid w:val="00846D39"/>
    <w:rsid w:val="00847367"/>
    <w:rsid w:val="008473A1"/>
    <w:rsid w:val="00850113"/>
    <w:rsid w:val="00851E36"/>
    <w:rsid w:val="00853959"/>
    <w:rsid w:val="0085472A"/>
    <w:rsid w:val="00855808"/>
    <w:rsid w:val="00856470"/>
    <w:rsid w:val="0086097F"/>
    <w:rsid w:val="00863764"/>
    <w:rsid w:val="00864AFF"/>
    <w:rsid w:val="00866E2D"/>
    <w:rsid w:val="00867035"/>
    <w:rsid w:val="00867F10"/>
    <w:rsid w:val="00871C87"/>
    <w:rsid w:val="00872E16"/>
    <w:rsid w:val="00874062"/>
    <w:rsid w:val="008756FE"/>
    <w:rsid w:val="00875708"/>
    <w:rsid w:val="00876C7F"/>
    <w:rsid w:val="00877273"/>
    <w:rsid w:val="00877715"/>
    <w:rsid w:val="0088009B"/>
    <w:rsid w:val="00880B0F"/>
    <w:rsid w:val="00881468"/>
    <w:rsid w:val="008818F9"/>
    <w:rsid w:val="00881AEB"/>
    <w:rsid w:val="00882913"/>
    <w:rsid w:val="0088354A"/>
    <w:rsid w:val="00883A9D"/>
    <w:rsid w:val="00885B0E"/>
    <w:rsid w:val="0088631E"/>
    <w:rsid w:val="0088658E"/>
    <w:rsid w:val="00886E97"/>
    <w:rsid w:val="008878D7"/>
    <w:rsid w:val="008905C0"/>
    <w:rsid w:val="00890858"/>
    <w:rsid w:val="00890DD3"/>
    <w:rsid w:val="00890E0C"/>
    <w:rsid w:val="00890EB9"/>
    <w:rsid w:val="00890F01"/>
    <w:rsid w:val="008913CF"/>
    <w:rsid w:val="00891CBB"/>
    <w:rsid w:val="008925C6"/>
    <w:rsid w:val="00892E32"/>
    <w:rsid w:val="00893411"/>
    <w:rsid w:val="008935A1"/>
    <w:rsid w:val="00893BE6"/>
    <w:rsid w:val="00893C9D"/>
    <w:rsid w:val="00894A0D"/>
    <w:rsid w:val="00895930"/>
    <w:rsid w:val="00895BB1"/>
    <w:rsid w:val="00895DE7"/>
    <w:rsid w:val="00896BA0"/>
    <w:rsid w:val="00897FEB"/>
    <w:rsid w:val="008A053C"/>
    <w:rsid w:val="008A29FC"/>
    <w:rsid w:val="008A2B5A"/>
    <w:rsid w:val="008A2D04"/>
    <w:rsid w:val="008A3B94"/>
    <w:rsid w:val="008A3E7E"/>
    <w:rsid w:val="008A4928"/>
    <w:rsid w:val="008A4B4D"/>
    <w:rsid w:val="008A55A9"/>
    <w:rsid w:val="008A61B1"/>
    <w:rsid w:val="008B1119"/>
    <w:rsid w:val="008B1E08"/>
    <w:rsid w:val="008B23CE"/>
    <w:rsid w:val="008B3B86"/>
    <w:rsid w:val="008B3CC0"/>
    <w:rsid w:val="008B3EAF"/>
    <w:rsid w:val="008B4F03"/>
    <w:rsid w:val="008B5482"/>
    <w:rsid w:val="008B5BE1"/>
    <w:rsid w:val="008B5D9F"/>
    <w:rsid w:val="008B68D0"/>
    <w:rsid w:val="008B6CE2"/>
    <w:rsid w:val="008C02F9"/>
    <w:rsid w:val="008C05EE"/>
    <w:rsid w:val="008C1229"/>
    <w:rsid w:val="008C1A9F"/>
    <w:rsid w:val="008C246B"/>
    <w:rsid w:val="008C355B"/>
    <w:rsid w:val="008C373D"/>
    <w:rsid w:val="008C3BA1"/>
    <w:rsid w:val="008C3C03"/>
    <w:rsid w:val="008C60A7"/>
    <w:rsid w:val="008C789B"/>
    <w:rsid w:val="008D3891"/>
    <w:rsid w:val="008D38DB"/>
    <w:rsid w:val="008D47BC"/>
    <w:rsid w:val="008D5EEF"/>
    <w:rsid w:val="008D694F"/>
    <w:rsid w:val="008D739C"/>
    <w:rsid w:val="008D7894"/>
    <w:rsid w:val="008E04FC"/>
    <w:rsid w:val="008E29A7"/>
    <w:rsid w:val="008E2C63"/>
    <w:rsid w:val="008E2CB2"/>
    <w:rsid w:val="008E2DED"/>
    <w:rsid w:val="008E3926"/>
    <w:rsid w:val="008E6C8C"/>
    <w:rsid w:val="008F0535"/>
    <w:rsid w:val="008F19FD"/>
    <w:rsid w:val="008F206D"/>
    <w:rsid w:val="008F22E7"/>
    <w:rsid w:val="008F2639"/>
    <w:rsid w:val="008F3C9B"/>
    <w:rsid w:val="008F64A4"/>
    <w:rsid w:val="008F67FF"/>
    <w:rsid w:val="008F6981"/>
    <w:rsid w:val="00900DAE"/>
    <w:rsid w:val="00902D31"/>
    <w:rsid w:val="00905097"/>
    <w:rsid w:val="00905C7E"/>
    <w:rsid w:val="00906302"/>
    <w:rsid w:val="00911E42"/>
    <w:rsid w:val="00914845"/>
    <w:rsid w:val="0092141F"/>
    <w:rsid w:val="00921D53"/>
    <w:rsid w:val="0092283C"/>
    <w:rsid w:val="009241EF"/>
    <w:rsid w:val="009256F3"/>
    <w:rsid w:val="00925B1F"/>
    <w:rsid w:val="00926543"/>
    <w:rsid w:val="0093135B"/>
    <w:rsid w:val="00931525"/>
    <w:rsid w:val="00931B99"/>
    <w:rsid w:val="00932521"/>
    <w:rsid w:val="009335E2"/>
    <w:rsid w:val="00934C73"/>
    <w:rsid w:val="00934EBE"/>
    <w:rsid w:val="00936AA9"/>
    <w:rsid w:val="00937A6B"/>
    <w:rsid w:val="009410E0"/>
    <w:rsid w:val="009430B2"/>
    <w:rsid w:val="0094343D"/>
    <w:rsid w:val="009437A9"/>
    <w:rsid w:val="009439E1"/>
    <w:rsid w:val="009450A1"/>
    <w:rsid w:val="00945E55"/>
    <w:rsid w:val="00946518"/>
    <w:rsid w:val="00946598"/>
    <w:rsid w:val="009468C3"/>
    <w:rsid w:val="00947250"/>
    <w:rsid w:val="00950A6F"/>
    <w:rsid w:val="0095398E"/>
    <w:rsid w:val="00954BF5"/>
    <w:rsid w:val="00955096"/>
    <w:rsid w:val="009561A3"/>
    <w:rsid w:val="00960761"/>
    <w:rsid w:val="00962315"/>
    <w:rsid w:val="00962554"/>
    <w:rsid w:val="00962689"/>
    <w:rsid w:val="00963443"/>
    <w:rsid w:val="00963CF4"/>
    <w:rsid w:val="00964EF6"/>
    <w:rsid w:val="00965583"/>
    <w:rsid w:val="009657D0"/>
    <w:rsid w:val="0096580F"/>
    <w:rsid w:val="00965C90"/>
    <w:rsid w:val="00966852"/>
    <w:rsid w:val="00972C54"/>
    <w:rsid w:val="00973800"/>
    <w:rsid w:val="00975968"/>
    <w:rsid w:val="00976B45"/>
    <w:rsid w:val="00980030"/>
    <w:rsid w:val="00981C10"/>
    <w:rsid w:val="00982C95"/>
    <w:rsid w:val="00982E10"/>
    <w:rsid w:val="009846B7"/>
    <w:rsid w:val="00987D0B"/>
    <w:rsid w:val="00992DB4"/>
    <w:rsid w:val="00993617"/>
    <w:rsid w:val="00993B9A"/>
    <w:rsid w:val="00995E9F"/>
    <w:rsid w:val="00995F82"/>
    <w:rsid w:val="00996212"/>
    <w:rsid w:val="009A0128"/>
    <w:rsid w:val="009A0456"/>
    <w:rsid w:val="009A32E8"/>
    <w:rsid w:val="009A7CE3"/>
    <w:rsid w:val="009B2B23"/>
    <w:rsid w:val="009B353E"/>
    <w:rsid w:val="009B60B8"/>
    <w:rsid w:val="009B634E"/>
    <w:rsid w:val="009B76F9"/>
    <w:rsid w:val="009C02CB"/>
    <w:rsid w:val="009C1A63"/>
    <w:rsid w:val="009C3B09"/>
    <w:rsid w:val="009C41CB"/>
    <w:rsid w:val="009C4A25"/>
    <w:rsid w:val="009C7936"/>
    <w:rsid w:val="009C7A85"/>
    <w:rsid w:val="009D00BC"/>
    <w:rsid w:val="009D034D"/>
    <w:rsid w:val="009D54FD"/>
    <w:rsid w:val="009D61C6"/>
    <w:rsid w:val="009D7038"/>
    <w:rsid w:val="009D7329"/>
    <w:rsid w:val="009D76B9"/>
    <w:rsid w:val="009E0882"/>
    <w:rsid w:val="009E0948"/>
    <w:rsid w:val="009E0B6A"/>
    <w:rsid w:val="009E150D"/>
    <w:rsid w:val="009E1609"/>
    <w:rsid w:val="009E178B"/>
    <w:rsid w:val="009E1C49"/>
    <w:rsid w:val="009E2893"/>
    <w:rsid w:val="009E6409"/>
    <w:rsid w:val="009E6559"/>
    <w:rsid w:val="009E686D"/>
    <w:rsid w:val="009E6BFD"/>
    <w:rsid w:val="009F43B6"/>
    <w:rsid w:val="009F4C2A"/>
    <w:rsid w:val="009F5417"/>
    <w:rsid w:val="009F5DA4"/>
    <w:rsid w:val="00A00E61"/>
    <w:rsid w:val="00A0374B"/>
    <w:rsid w:val="00A03A6C"/>
    <w:rsid w:val="00A04950"/>
    <w:rsid w:val="00A04C28"/>
    <w:rsid w:val="00A04D53"/>
    <w:rsid w:val="00A05172"/>
    <w:rsid w:val="00A05BE7"/>
    <w:rsid w:val="00A062ED"/>
    <w:rsid w:val="00A07531"/>
    <w:rsid w:val="00A10357"/>
    <w:rsid w:val="00A10D83"/>
    <w:rsid w:val="00A111C0"/>
    <w:rsid w:val="00A1199C"/>
    <w:rsid w:val="00A1327B"/>
    <w:rsid w:val="00A13414"/>
    <w:rsid w:val="00A1350A"/>
    <w:rsid w:val="00A201D3"/>
    <w:rsid w:val="00A204B9"/>
    <w:rsid w:val="00A22641"/>
    <w:rsid w:val="00A2533C"/>
    <w:rsid w:val="00A254E3"/>
    <w:rsid w:val="00A27D57"/>
    <w:rsid w:val="00A27FE2"/>
    <w:rsid w:val="00A30457"/>
    <w:rsid w:val="00A307AE"/>
    <w:rsid w:val="00A30AB0"/>
    <w:rsid w:val="00A32E24"/>
    <w:rsid w:val="00A3313C"/>
    <w:rsid w:val="00A3314C"/>
    <w:rsid w:val="00A33D47"/>
    <w:rsid w:val="00A33E0D"/>
    <w:rsid w:val="00A35AFF"/>
    <w:rsid w:val="00A35D34"/>
    <w:rsid w:val="00A36296"/>
    <w:rsid w:val="00A3679B"/>
    <w:rsid w:val="00A367A0"/>
    <w:rsid w:val="00A37758"/>
    <w:rsid w:val="00A37B79"/>
    <w:rsid w:val="00A41EA7"/>
    <w:rsid w:val="00A42A5A"/>
    <w:rsid w:val="00A42A94"/>
    <w:rsid w:val="00A42FA8"/>
    <w:rsid w:val="00A43A3D"/>
    <w:rsid w:val="00A43FA6"/>
    <w:rsid w:val="00A44194"/>
    <w:rsid w:val="00A4427D"/>
    <w:rsid w:val="00A44BBF"/>
    <w:rsid w:val="00A44CB5"/>
    <w:rsid w:val="00A456F2"/>
    <w:rsid w:val="00A4651A"/>
    <w:rsid w:val="00A46735"/>
    <w:rsid w:val="00A468C6"/>
    <w:rsid w:val="00A47320"/>
    <w:rsid w:val="00A524C7"/>
    <w:rsid w:val="00A5297E"/>
    <w:rsid w:val="00A53EA0"/>
    <w:rsid w:val="00A55A1A"/>
    <w:rsid w:val="00A5678D"/>
    <w:rsid w:val="00A56B03"/>
    <w:rsid w:val="00A609D4"/>
    <w:rsid w:val="00A61C67"/>
    <w:rsid w:val="00A62C95"/>
    <w:rsid w:val="00A638E6"/>
    <w:rsid w:val="00A6443A"/>
    <w:rsid w:val="00A67B9E"/>
    <w:rsid w:val="00A720C3"/>
    <w:rsid w:val="00A737A0"/>
    <w:rsid w:val="00A75031"/>
    <w:rsid w:val="00A7725D"/>
    <w:rsid w:val="00A802D2"/>
    <w:rsid w:val="00A81090"/>
    <w:rsid w:val="00A832E5"/>
    <w:rsid w:val="00A834FE"/>
    <w:rsid w:val="00A86758"/>
    <w:rsid w:val="00A8726E"/>
    <w:rsid w:val="00A9087B"/>
    <w:rsid w:val="00A91140"/>
    <w:rsid w:val="00A911C2"/>
    <w:rsid w:val="00A91261"/>
    <w:rsid w:val="00A931FA"/>
    <w:rsid w:val="00A934B4"/>
    <w:rsid w:val="00AA1577"/>
    <w:rsid w:val="00AA45CE"/>
    <w:rsid w:val="00AA48E7"/>
    <w:rsid w:val="00AA4CEC"/>
    <w:rsid w:val="00AA5964"/>
    <w:rsid w:val="00AA5D7B"/>
    <w:rsid w:val="00AA70AE"/>
    <w:rsid w:val="00AA75BA"/>
    <w:rsid w:val="00AB1302"/>
    <w:rsid w:val="00AB1869"/>
    <w:rsid w:val="00AB190F"/>
    <w:rsid w:val="00AB19EC"/>
    <w:rsid w:val="00AC1782"/>
    <w:rsid w:val="00AC29D4"/>
    <w:rsid w:val="00AC2FE2"/>
    <w:rsid w:val="00AC307F"/>
    <w:rsid w:val="00AC380F"/>
    <w:rsid w:val="00AC3FCB"/>
    <w:rsid w:val="00AC4AF6"/>
    <w:rsid w:val="00AC5A67"/>
    <w:rsid w:val="00AC5FAB"/>
    <w:rsid w:val="00AC6016"/>
    <w:rsid w:val="00AC6678"/>
    <w:rsid w:val="00AC7A42"/>
    <w:rsid w:val="00AD0226"/>
    <w:rsid w:val="00AD1339"/>
    <w:rsid w:val="00AD1998"/>
    <w:rsid w:val="00AD1CB0"/>
    <w:rsid w:val="00AD3483"/>
    <w:rsid w:val="00AD3573"/>
    <w:rsid w:val="00AD36F8"/>
    <w:rsid w:val="00AD53F5"/>
    <w:rsid w:val="00AD5406"/>
    <w:rsid w:val="00AD5628"/>
    <w:rsid w:val="00AD5DF5"/>
    <w:rsid w:val="00AD622B"/>
    <w:rsid w:val="00AD7080"/>
    <w:rsid w:val="00AD7679"/>
    <w:rsid w:val="00AE4843"/>
    <w:rsid w:val="00AE5168"/>
    <w:rsid w:val="00AE5578"/>
    <w:rsid w:val="00AE66A6"/>
    <w:rsid w:val="00AE6FE8"/>
    <w:rsid w:val="00AE7AB2"/>
    <w:rsid w:val="00AE7E22"/>
    <w:rsid w:val="00AF0BFD"/>
    <w:rsid w:val="00AF46AC"/>
    <w:rsid w:val="00AF4ADC"/>
    <w:rsid w:val="00AF575F"/>
    <w:rsid w:val="00AF5B92"/>
    <w:rsid w:val="00AF5F32"/>
    <w:rsid w:val="00AF7181"/>
    <w:rsid w:val="00AF7E2B"/>
    <w:rsid w:val="00B06002"/>
    <w:rsid w:val="00B06B5A"/>
    <w:rsid w:val="00B07286"/>
    <w:rsid w:val="00B106BF"/>
    <w:rsid w:val="00B116D0"/>
    <w:rsid w:val="00B116E5"/>
    <w:rsid w:val="00B1175E"/>
    <w:rsid w:val="00B13DF9"/>
    <w:rsid w:val="00B14009"/>
    <w:rsid w:val="00B173D1"/>
    <w:rsid w:val="00B20441"/>
    <w:rsid w:val="00B20945"/>
    <w:rsid w:val="00B21284"/>
    <w:rsid w:val="00B2267A"/>
    <w:rsid w:val="00B228AF"/>
    <w:rsid w:val="00B2387D"/>
    <w:rsid w:val="00B23916"/>
    <w:rsid w:val="00B24521"/>
    <w:rsid w:val="00B2642E"/>
    <w:rsid w:val="00B26929"/>
    <w:rsid w:val="00B26D63"/>
    <w:rsid w:val="00B270CC"/>
    <w:rsid w:val="00B313CF"/>
    <w:rsid w:val="00B31517"/>
    <w:rsid w:val="00B33EAA"/>
    <w:rsid w:val="00B33FA6"/>
    <w:rsid w:val="00B3558E"/>
    <w:rsid w:val="00B3657D"/>
    <w:rsid w:val="00B36967"/>
    <w:rsid w:val="00B369F3"/>
    <w:rsid w:val="00B37F32"/>
    <w:rsid w:val="00B41B5C"/>
    <w:rsid w:val="00B41E50"/>
    <w:rsid w:val="00B42685"/>
    <w:rsid w:val="00B42CED"/>
    <w:rsid w:val="00B43083"/>
    <w:rsid w:val="00B436E0"/>
    <w:rsid w:val="00B44AC8"/>
    <w:rsid w:val="00B44E6E"/>
    <w:rsid w:val="00B4763B"/>
    <w:rsid w:val="00B50C38"/>
    <w:rsid w:val="00B50FE5"/>
    <w:rsid w:val="00B52879"/>
    <w:rsid w:val="00B53A2C"/>
    <w:rsid w:val="00B54109"/>
    <w:rsid w:val="00B55DA8"/>
    <w:rsid w:val="00B563B1"/>
    <w:rsid w:val="00B57A0C"/>
    <w:rsid w:val="00B60238"/>
    <w:rsid w:val="00B60661"/>
    <w:rsid w:val="00B60738"/>
    <w:rsid w:val="00B60929"/>
    <w:rsid w:val="00B60B37"/>
    <w:rsid w:val="00B60D22"/>
    <w:rsid w:val="00B61F3B"/>
    <w:rsid w:val="00B620CB"/>
    <w:rsid w:val="00B62CD9"/>
    <w:rsid w:val="00B630E1"/>
    <w:rsid w:val="00B6541D"/>
    <w:rsid w:val="00B66248"/>
    <w:rsid w:val="00B70452"/>
    <w:rsid w:val="00B705F4"/>
    <w:rsid w:val="00B72566"/>
    <w:rsid w:val="00B72A52"/>
    <w:rsid w:val="00B73FE8"/>
    <w:rsid w:val="00B7480B"/>
    <w:rsid w:val="00B77939"/>
    <w:rsid w:val="00B80A76"/>
    <w:rsid w:val="00B81582"/>
    <w:rsid w:val="00B85F58"/>
    <w:rsid w:val="00B90EA3"/>
    <w:rsid w:val="00B92FF7"/>
    <w:rsid w:val="00B940CF"/>
    <w:rsid w:val="00B94591"/>
    <w:rsid w:val="00B94783"/>
    <w:rsid w:val="00BA06EE"/>
    <w:rsid w:val="00BA07EA"/>
    <w:rsid w:val="00BA0F17"/>
    <w:rsid w:val="00BA1E5D"/>
    <w:rsid w:val="00BA2AD5"/>
    <w:rsid w:val="00BA37CB"/>
    <w:rsid w:val="00BA3955"/>
    <w:rsid w:val="00BA6F93"/>
    <w:rsid w:val="00BA6FEC"/>
    <w:rsid w:val="00BA7676"/>
    <w:rsid w:val="00BB0144"/>
    <w:rsid w:val="00BB2462"/>
    <w:rsid w:val="00BB266E"/>
    <w:rsid w:val="00BB4B55"/>
    <w:rsid w:val="00BB5285"/>
    <w:rsid w:val="00BB5F58"/>
    <w:rsid w:val="00BB600D"/>
    <w:rsid w:val="00BB651B"/>
    <w:rsid w:val="00BB7336"/>
    <w:rsid w:val="00BC031E"/>
    <w:rsid w:val="00BC17D1"/>
    <w:rsid w:val="00BC271C"/>
    <w:rsid w:val="00BC2E6C"/>
    <w:rsid w:val="00BC31F7"/>
    <w:rsid w:val="00BC5866"/>
    <w:rsid w:val="00BC68C7"/>
    <w:rsid w:val="00BD0802"/>
    <w:rsid w:val="00BD085D"/>
    <w:rsid w:val="00BD114E"/>
    <w:rsid w:val="00BD18C1"/>
    <w:rsid w:val="00BD20C9"/>
    <w:rsid w:val="00BD2E64"/>
    <w:rsid w:val="00BD3D26"/>
    <w:rsid w:val="00BD424A"/>
    <w:rsid w:val="00BD5E2A"/>
    <w:rsid w:val="00BD6E7B"/>
    <w:rsid w:val="00BD6FBA"/>
    <w:rsid w:val="00BD783F"/>
    <w:rsid w:val="00BD7E56"/>
    <w:rsid w:val="00BE2B22"/>
    <w:rsid w:val="00BE3427"/>
    <w:rsid w:val="00BE3D52"/>
    <w:rsid w:val="00BE473B"/>
    <w:rsid w:val="00BE4826"/>
    <w:rsid w:val="00BE4C17"/>
    <w:rsid w:val="00BE7C06"/>
    <w:rsid w:val="00BE7FBC"/>
    <w:rsid w:val="00BF197F"/>
    <w:rsid w:val="00BF33A0"/>
    <w:rsid w:val="00BF34D8"/>
    <w:rsid w:val="00BF4908"/>
    <w:rsid w:val="00BF502B"/>
    <w:rsid w:val="00BF539B"/>
    <w:rsid w:val="00BF5714"/>
    <w:rsid w:val="00BF5A0B"/>
    <w:rsid w:val="00BF5B35"/>
    <w:rsid w:val="00BF6051"/>
    <w:rsid w:val="00BF627D"/>
    <w:rsid w:val="00BF7796"/>
    <w:rsid w:val="00C00D76"/>
    <w:rsid w:val="00C019E3"/>
    <w:rsid w:val="00C02ECF"/>
    <w:rsid w:val="00C03D21"/>
    <w:rsid w:val="00C05964"/>
    <w:rsid w:val="00C06840"/>
    <w:rsid w:val="00C069A4"/>
    <w:rsid w:val="00C06ED1"/>
    <w:rsid w:val="00C073B8"/>
    <w:rsid w:val="00C07D2D"/>
    <w:rsid w:val="00C102AC"/>
    <w:rsid w:val="00C10CF8"/>
    <w:rsid w:val="00C12AE3"/>
    <w:rsid w:val="00C131B8"/>
    <w:rsid w:val="00C13AC7"/>
    <w:rsid w:val="00C13E6B"/>
    <w:rsid w:val="00C15000"/>
    <w:rsid w:val="00C15DB5"/>
    <w:rsid w:val="00C16111"/>
    <w:rsid w:val="00C1743E"/>
    <w:rsid w:val="00C207AB"/>
    <w:rsid w:val="00C231BB"/>
    <w:rsid w:val="00C23513"/>
    <w:rsid w:val="00C264B8"/>
    <w:rsid w:val="00C26EA9"/>
    <w:rsid w:val="00C306BA"/>
    <w:rsid w:val="00C30E9C"/>
    <w:rsid w:val="00C310D3"/>
    <w:rsid w:val="00C31C76"/>
    <w:rsid w:val="00C31F00"/>
    <w:rsid w:val="00C32D13"/>
    <w:rsid w:val="00C375FF"/>
    <w:rsid w:val="00C429FD"/>
    <w:rsid w:val="00C42A43"/>
    <w:rsid w:val="00C45F4C"/>
    <w:rsid w:val="00C4615B"/>
    <w:rsid w:val="00C46427"/>
    <w:rsid w:val="00C469AE"/>
    <w:rsid w:val="00C47DD3"/>
    <w:rsid w:val="00C5216C"/>
    <w:rsid w:val="00C556C8"/>
    <w:rsid w:val="00C55EB7"/>
    <w:rsid w:val="00C56A40"/>
    <w:rsid w:val="00C56A57"/>
    <w:rsid w:val="00C61C9B"/>
    <w:rsid w:val="00C654A0"/>
    <w:rsid w:val="00C666A7"/>
    <w:rsid w:val="00C66B9C"/>
    <w:rsid w:val="00C711A9"/>
    <w:rsid w:val="00C72B4C"/>
    <w:rsid w:val="00C7324E"/>
    <w:rsid w:val="00C7367A"/>
    <w:rsid w:val="00C74615"/>
    <w:rsid w:val="00C7623B"/>
    <w:rsid w:val="00C76637"/>
    <w:rsid w:val="00C7753A"/>
    <w:rsid w:val="00C77859"/>
    <w:rsid w:val="00C82987"/>
    <w:rsid w:val="00C82FB7"/>
    <w:rsid w:val="00C84203"/>
    <w:rsid w:val="00C847BA"/>
    <w:rsid w:val="00C85980"/>
    <w:rsid w:val="00C869A3"/>
    <w:rsid w:val="00C87B1C"/>
    <w:rsid w:val="00C90AF5"/>
    <w:rsid w:val="00C9122F"/>
    <w:rsid w:val="00C9166C"/>
    <w:rsid w:val="00C94F20"/>
    <w:rsid w:val="00C95212"/>
    <w:rsid w:val="00C97068"/>
    <w:rsid w:val="00C97725"/>
    <w:rsid w:val="00C9798A"/>
    <w:rsid w:val="00CA1E8B"/>
    <w:rsid w:val="00CA2A68"/>
    <w:rsid w:val="00CA4D74"/>
    <w:rsid w:val="00CA655A"/>
    <w:rsid w:val="00CB1706"/>
    <w:rsid w:val="00CB1C70"/>
    <w:rsid w:val="00CB21BF"/>
    <w:rsid w:val="00CB3589"/>
    <w:rsid w:val="00CB436B"/>
    <w:rsid w:val="00CB4E23"/>
    <w:rsid w:val="00CB5BD9"/>
    <w:rsid w:val="00CB6046"/>
    <w:rsid w:val="00CB7E03"/>
    <w:rsid w:val="00CC03A5"/>
    <w:rsid w:val="00CC13F9"/>
    <w:rsid w:val="00CC160E"/>
    <w:rsid w:val="00CC3E04"/>
    <w:rsid w:val="00CC441A"/>
    <w:rsid w:val="00CC5B8D"/>
    <w:rsid w:val="00CC62D4"/>
    <w:rsid w:val="00CC6AB8"/>
    <w:rsid w:val="00CC7BF8"/>
    <w:rsid w:val="00CD1CF5"/>
    <w:rsid w:val="00CD205F"/>
    <w:rsid w:val="00CD2079"/>
    <w:rsid w:val="00CD23CD"/>
    <w:rsid w:val="00CD38D5"/>
    <w:rsid w:val="00CD6509"/>
    <w:rsid w:val="00CD67BC"/>
    <w:rsid w:val="00CE4535"/>
    <w:rsid w:val="00CE5A90"/>
    <w:rsid w:val="00CF0565"/>
    <w:rsid w:val="00CF15F4"/>
    <w:rsid w:val="00CF1FD7"/>
    <w:rsid w:val="00CF2C56"/>
    <w:rsid w:val="00CF3A13"/>
    <w:rsid w:val="00CF7F6B"/>
    <w:rsid w:val="00D00A7E"/>
    <w:rsid w:val="00D00BA5"/>
    <w:rsid w:val="00D04B0E"/>
    <w:rsid w:val="00D05702"/>
    <w:rsid w:val="00D07CAD"/>
    <w:rsid w:val="00D1004D"/>
    <w:rsid w:val="00D101A5"/>
    <w:rsid w:val="00D1108A"/>
    <w:rsid w:val="00D12966"/>
    <w:rsid w:val="00D12BAC"/>
    <w:rsid w:val="00D13D2D"/>
    <w:rsid w:val="00D142A5"/>
    <w:rsid w:val="00D156AB"/>
    <w:rsid w:val="00D158CC"/>
    <w:rsid w:val="00D16923"/>
    <w:rsid w:val="00D16CF6"/>
    <w:rsid w:val="00D17E38"/>
    <w:rsid w:val="00D2113F"/>
    <w:rsid w:val="00D21CAB"/>
    <w:rsid w:val="00D23BB4"/>
    <w:rsid w:val="00D24C1B"/>
    <w:rsid w:val="00D24DD5"/>
    <w:rsid w:val="00D26B51"/>
    <w:rsid w:val="00D27CC7"/>
    <w:rsid w:val="00D31F19"/>
    <w:rsid w:val="00D34737"/>
    <w:rsid w:val="00D36E27"/>
    <w:rsid w:val="00D377CA"/>
    <w:rsid w:val="00D43800"/>
    <w:rsid w:val="00D45B6F"/>
    <w:rsid w:val="00D4741E"/>
    <w:rsid w:val="00D477E7"/>
    <w:rsid w:val="00D479CB"/>
    <w:rsid w:val="00D524A2"/>
    <w:rsid w:val="00D52BBD"/>
    <w:rsid w:val="00D5483E"/>
    <w:rsid w:val="00D55158"/>
    <w:rsid w:val="00D566D3"/>
    <w:rsid w:val="00D5764B"/>
    <w:rsid w:val="00D57A59"/>
    <w:rsid w:val="00D60F8B"/>
    <w:rsid w:val="00D610ED"/>
    <w:rsid w:val="00D61F48"/>
    <w:rsid w:val="00D62276"/>
    <w:rsid w:val="00D63FEE"/>
    <w:rsid w:val="00D6440B"/>
    <w:rsid w:val="00D65CF7"/>
    <w:rsid w:val="00D70B5D"/>
    <w:rsid w:val="00D70B72"/>
    <w:rsid w:val="00D720A1"/>
    <w:rsid w:val="00D72882"/>
    <w:rsid w:val="00D75106"/>
    <w:rsid w:val="00D753B1"/>
    <w:rsid w:val="00D772E5"/>
    <w:rsid w:val="00D777DC"/>
    <w:rsid w:val="00D77B35"/>
    <w:rsid w:val="00D77F5B"/>
    <w:rsid w:val="00D80605"/>
    <w:rsid w:val="00D814F7"/>
    <w:rsid w:val="00D85F22"/>
    <w:rsid w:val="00D863FD"/>
    <w:rsid w:val="00D878B5"/>
    <w:rsid w:val="00D90037"/>
    <w:rsid w:val="00D90670"/>
    <w:rsid w:val="00D91049"/>
    <w:rsid w:val="00D91277"/>
    <w:rsid w:val="00D92E57"/>
    <w:rsid w:val="00D94E0B"/>
    <w:rsid w:val="00D95107"/>
    <w:rsid w:val="00D95550"/>
    <w:rsid w:val="00D959D2"/>
    <w:rsid w:val="00D962C3"/>
    <w:rsid w:val="00D97149"/>
    <w:rsid w:val="00D971C7"/>
    <w:rsid w:val="00D97447"/>
    <w:rsid w:val="00D97AF9"/>
    <w:rsid w:val="00DA09D2"/>
    <w:rsid w:val="00DA0EA7"/>
    <w:rsid w:val="00DA4579"/>
    <w:rsid w:val="00DA671B"/>
    <w:rsid w:val="00DA7294"/>
    <w:rsid w:val="00DA7581"/>
    <w:rsid w:val="00DA795B"/>
    <w:rsid w:val="00DB0629"/>
    <w:rsid w:val="00DB1CB7"/>
    <w:rsid w:val="00DB3637"/>
    <w:rsid w:val="00DB3A9F"/>
    <w:rsid w:val="00DB60D9"/>
    <w:rsid w:val="00DB707F"/>
    <w:rsid w:val="00DC004C"/>
    <w:rsid w:val="00DC0625"/>
    <w:rsid w:val="00DC1DE5"/>
    <w:rsid w:val="00DC1F08"/>
    <w:rsid w:val="00DC307D"/>
    <w:rsid w:val="00DC57DE"/>
    <w:rsid w:val="00DC5E1E"/>
    <w:rsid w:val="00DC73AB"/>
    <w:rsid w:val="00DD16E2"/>
    <w:rsid w:val="00DD1B94"/>
    <w:rsid w:val="00DD2119"/>
    <w:rsid w:val="00DD3F9A"/>
    <w:rsid w:val="00DD54DD"/>
    <w:rsid w:val="00DE0191"/>
    <w:rsid w:val="00DE1D48"/>
    <w:rsid w:val="00DE1E7B"/>
    <w:rsid w:val="00DE3073"/>
    <w:rsid w:val="00DE61EF"/>
    <w:rsid w:val="00DF0841"/>
    <w:rsid w:val="00DF14E5"/>
    <w:rsid w:val="00DF309F"/>
    <w:rsid w:val="00DF4C12"/>
    <w:rsid w:val="00DF5297"/>
    <w:rsid w:val="00DF5BB7"/>
    <w:rsid w:val="00DF71FA"/>
    <w:rsid w:val="00DF749B"/>
    <w:rsid w:val="00E0040F"/>
    <w:rsid w:val="00E005E6"/>
    <w:rsid w:val="00E0282A"/>
    <w:rsid w:val="00E034AA"/>
    <w:rsid w:val="00E04B82"/>
    <w:rsid w:val="00E04DD9"/>
    <w:rsid w:val="00E069E7"/>
    <w:rsid w:val="00E13947"/>
    <w:rsid w:val="00E13ECA"/>
    <w:rsid w:val="00E15590"/>
    <w:rsid w:val="00E16BA7"/>
    <w:rsid w:val="00E16FE4"/>
    <w:rsid w:val="00E17C20"/>
    <w:rsid w:val="00E17E89"/>
    <w:rsid w:val="00E208E8"/>
    <w:rsid w:val="00E209BD"/>
    <w:rsid w:val="00E22CAD"/>
    <w:rsid w:val="00E2317D"/>
    <w:rsid w:val="00E24055"/>
    <w:rsid w:val="00E24E18"/>
    <w:rsid w:val="00E26641"/>
    <w:rsid w:val="00E27346"/>
    <w:rsid w:val="00E27455"/>
    <w:rsid w:val="00E3002F"/>
    <w:rsid w:val="00E306DB"/>
    <w:rsid w:val="00E30773"/>
    <w:rsid w:val="00E30D35"/>
    <w:rsid w:val="00E30E52"/>
    <w:rsid w:val="00E331AB"/>
    <w:rsid w:val="00E351F4"/>
    <w:rsid w:val="00E359C2"/>
    <w:rsid w:val="00E360CF"/>
    <w:rsid w:val="00E36A0A"/>
    <w:rsid w:val="00E37049"/>
    <w:rsid w:val="00E37569"/>
    <w:rsid w:val="00E4061D"/>
    <w:rsid w:val="00E40F0E"/>
    <w:rsid w:val="00E425CC"/>
    <w:rsid w:val="00E42BFD"/>
    <w:rsid w:val="00E432E3"/>
    <w:rsid w:val="00E4398D"/>
    <w:rsid w:val="00E46638"/>
    <w:rsid w:val="00E46E5A"/>
    <w:rsid w:val="00E533E5"/>
    <w:rsid w:val="00E53A3C"/>
    <w:rsid w:val="00E53AFA"/>
    <w:rsid w:val="00E55DB9"/>
    <w:rsid w:val="00E566C9"/>
    <w:rsid w:val="00E56762"/>
    <w:rsid w:val="00E5689B"/>
    <w:rsid w:val="00E5746E"/>
    <w:rsid w:val="00E57D14"/>
    <w:rsid w:val="00E60339"/>
    <w:rsid w:val="00E606FB"/>
    <w:rsid w:val="00E6399F"/>
    <w:rsid w:val="00E63D05"/>
    <w:rsid w:val="00E64ED1"/>
    <w:rsid w:val="00E65121"/>
    <w:rsid w:val="00E65590"/>
    <w:rsid w:val="00E659DB"/>
    <w:rsid w:val="00E66CC1"/>
    <w:rsid w:val="00E675EE"/>
    <w:rsid w:val="00E67821"/>
    <w:rsid w:val="00E703CB"/>
    <w:rsid w:val="00E716DF"/>
    <w:rsid w:val="00E74F4E"/>
    <w:rsid w:val="00E752F0"/>
    <w:rsid w:val="00E80003"/>
    <w:rsid w:val="00E80461"/>
    <w:rsid w:val="00E82BA6"/>
    <w:rsid w:val="00E82E63"/>
    <w:rsid w:val="00E83925"/>
    <w:rsid w:val="00E843FE"/>
    <w:rsid w:val="00E85661"/>
    <w:rsid w:val="00E86A37"/>
    <w:rsid w:val="00E911EF"/>
    <w:rsid w:val="00E92041"/>
    <w:rsid w:val="00E925AA"/>
    <w:rsid w:val="00E92813"/>
    <w:rsid w:val="00E92934"/>
    <w:rsid w:val="00E93F30"/>
    <w:rsid w:val="00E940E6"/>
    <w:rsid w:val="00E95F0C"/>
    <w:rsid w:val="00E95F2F"/>
    <w:rsid w:val="00E9612F"/>
    <w:rsid w:val="00E97715"/>
    <w:rsid w:val="00EA0C1E"/>
    <w:rsid w:val="00EA103B"/>
    <w:rsid w:val="00EA18D3"/>
    <w:rsid w:val="00EA4B45"/>
    <w:rsid w:val="00EA5BAB"/>
    <w:rsid w:val="00EA7261"/>
    <w:rsid w:val="00EA7421"/>
    <w:rsid w:val="00EA7A08"/>
    <w:rsid w:val="00EB0310"/>
    <w:rsid w:val="00EB14A9"/>
    <w:rsid w:val="00EB2153"/>
    <w:rsid w:val="00EB2BC4"/>
    <w:rsid w:val="00EB2C34"/>
    <w:rsid w:val="00EB7117"/>
    <w:rsid w:val="00EC1A8D"/>
    <w:rsid w:val="00EC27E6"/>
    <w:rsid w:val="00ED0EB4"/>
    <w:rsid w:val="00ED17E6"/>
    <w:rsid w:val="00ED2154"/>
    <w:rsid w:val="00ED33CD"/>
    <w:rsid w:val="00ED372A"/>
    <w:rsid w:val="00ED441D"/>
    <w:rsid w:val="00ED4FA6"/>
    <w:rsid w:val="00ED7257"/>
    <w:rsid w:val="00ED7327"/>
    <w:rsid w:val="00EE06C0"/>
    <w:rsid w:val="00EE0BE0"/>
    <w:rsid w:val="00EE2377"/>
    <w:rsid w:val="00EE254F"/>
    <w:rsid w:val="00EE2FB1"/>
    <w:rsid w:val="00EE32C6"/>
    <w:rsid w:val="00EE4437"/>
    <w:rsid w:val="00EE4DC6"/>
    <w:rsid w:val="00EE53D2"/>
    <w:rsid w:val="00EF00E2"/>
    <w:rsid w:val="00EF2E72"/>
    <w:rsid w:val="00EF359B"/>
    <w:rsid w:val="00EF3DE2"/>
    <w:rsid w:val="00EF5B7E"/>
    <w:rsid w:val="00EF68D1"/>
    <w:rsid w:val="00EF6A37"/>
    <w:rsid w:val="00EF6B67"/>
    <w:rsid w:val="00EF6FDA"/>
    <w:rsid w:val="00EF79C1"/>
    <w:rsid w:val="00F001AE"/>
    <w:rsid w:val="00F00535"/>
    <w:rsid w:val="00F0120A"/>
    <w:rsid w:val="00F05F84"/>
    <w:rsid w:val="00F06865"/>
    <w:rsid w:val="00F068F6"/>
    <w:rsid w:val="00F1161A"/>
    <w:rsid w:val="00F11EF8"/>
    <w:rsid w:val="00F13A6A"/>
    <w:rsid w:val="00F147C9"/>
    <w:rsid w:val="00F15C25"/>
    <w:rsid w:val="00F22256"/>
    <w:rsid w:val="00F228B0"/>
    <w:rsid w:val="00F22C30"/>
    <w:rsid w:val="00F23D87"/>
    <w:rsid w:val="00F2536C"/>
    <w:rsid w:val="00F25B6C"/>
    <w:rsid w:val="00F25F48"/>
    <w:rsid w:val="00F275EF"/>
    <w:rsid w:val="00F27A65"/>
    <w:rsid w:val="00F320DB"/>
    <w:rsid w:val="00F330B9"/>
    <w:rsid w:val="00F33191"/>
    <w:rsid w:val="00F3454A"/>
    <w:rsid w:val="00F3497E"/>
    <w:rsid w:val="00F36512"/>
    <w:rsid w:val="00F41466"/>
    <w:rsid w:val="00F4289A"/>
    <w:rsid w:val="00F45021"/>
    <w:rsid w:val="00F45083"/>
    <w:rsid w:val="00F45864"/>
    <w:rsid w:val="00F50170"/>
    <w:rsid w:val="00F5380D"/>
    <w:rsid w:val="00F56A36"/>
    <w:rsid w:val="00F56E2F"/>
    <w:rsid w:val="00F56E49"/>
    <w:rsid w:val="00F571CB"/>
    <w:rsid w:val="00F57F1A"/>
    <w:rsid w:val="00F60AAF"/>
    <w:rsid w:val="00F634D1"/>
    <w:rsid w:val="00F64B22"/>
    <w:rsid w:val="00F65186"/>
    <w:rsid w:val="00F65A2C"/>
    <w:rsid w:val="00F66A41"/>
    <w:rsid w:val="00F671C4"/>
    <w:rsid w:val="00F70F92"/>
    <w:rsid w:val="00F72C85"/>
    <w:rsid w:val="00F7457C"/>
    <w:rsid w:val="00F75F42"/>
    <w:rsid w:val="00F75F76"/>
    <w:rsid w:val="00F76FCB"/>
    <w:rsid w:val="00F810A0"/>
    <w:rsid w:val="00F8323F"/>
    <w:rsid w:val="00F841D7"/>
    <w:rsid w:val="00F8498D"/>
    <w:rsid w:val="00F86AAB"/>
    <w:rsid w:val="00F87E45"/>
    <w:rsid w:val="00F94222"/>
    <w:rsid w:val="00F951B2"/>
    <w:rsid w:val="00F95E7D"/>
    <w:rsid w:val="00F96867"/>
    <w:rsid w:val="00F972A1"/>
    <w:rsid w:val="00F97693"/>
    <w:rsid w:val="00FA0D30"/>
    <w:rsid w:val="00FA3453"/>
    <w:rsid w:val="00FA3798"/>
    <w:rsid w:val="00FA3CE1"/>
    <w:rsid w:val="00FA5F7E"/>
    <w:rsid w:val="00FA654F"/>
    <w:rsid w:val="00FA6572"/>
    <w:rsid w:val="00FB2D14"/>
    <w:rsid w:val="00FB5DFF"/>
    <w:rsid w:val="00FB6955"/>
    <w:rsid w:val="00FB69BC"/>
    <w:rsid w:val="00FB7BCC"/>
    <w:rsid w:val="00FC076D"/>
    <w:rsid w:val="00FC0F17"/>
    <w:rsid w:val="00FC144A"/>
    <w:rsid w:val="00FC165B"/>
    <w:rsid w:val="00FC2772"/>
    <w:rsid w:val="00FC2D41"/>
    <w:rsid w:val="00FC46C4"/>
    <w:rsid w:val="00FC47D6"/>
    <w:rsid w:val="00FC4BEF"/>
    <w:rsid w:val="00FC5335"/>
    <w:rsid w:val="00FC661D"/>
    <w:rsid w:val="00FC6F0F"/>
    <w:rsid w:val="00FC76C3"/>
    <w:rsid w:val="00FD0706"/>
    <w:rsid w:val="00FD0796"/>
    <w:rsid w:val="00FD324A"/>
    <w:rsid w:val="00FD3AE6"/>
    <w:rsid w:val="00FD5333"/>
    <w:rsid w:val="00FD5547"/>
    <w:rsid w:val="00FD6354"/>
    <w:rsid w:val="00FD7AA0"/>
    <w:rsid w:val="00FE62D3"/>
    <w:rsid w:val="00FE647A"/>
    <w:rsid w:val="00FE7803"/>
    <w:rsid w:val="00FF1FEC"/>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37"/>
  </w:style>
  <w:style w:type="paragraph" w:styleId="Heading1">
    <w:name w:val="heading 1"/>
    <w:basedOn w:val="Normal"/>
    <w:next w:val="Normal"/>
    <w:link w:val="Heading1Char"/>
    <w:uiPriority w:val="9"/>
    <w:qFormat/>
    <w:rsid w:val="0067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2537"/>
    <w:pPr>
      <w:ind w:left="720"/>
      <w:contextualSpacing/>
    </w:pPr>
  </w:style>
  <w:style w:type="paragraph" w:styleId="BalloonText">
    <w:name w:val="Balloon Text"/>
    <w:basedOn w:val="Normal"/>
    <w:link w:val="BalloonTextChar"/>
    <w:uiPriority w:val="99"/>
    <w:semiHidden/>
    <w:unhideWhenUsed/>
    <w:rsid w:val="0030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37"/>
    <w:rPr>
      <w:rFonts w:ascii="Tahoma" w:hAnsi="Tahoma" w:cs="Tahoma"/>
      <w:sz w:val="16"/>
      <w:szCs w:val="16"/>
    </w:rPr>
  </w:style>
  <w:style w:type="paragraph" w:styleId="Bibliography">
    <w:name w:val="Bibliography"/>
    <w:basedOn w:val="Normal"/>
    <w:next w:val="Normal"/>
    <w:uiPriority w:val="37"/>
    <w:unhideWhenUsed/>
    <w:rsid w:val="0067186E"/>
  </w:style>
  <w:style w:type="character" w:customStyle="1" w:styleId="Heading1Char">
    <w:name w:val="Heading 1 Char"/>
    <w:basedOn w:val="DefaultParagraphFont"/>
    <w:link w:val="Heading1"/>
    <w:uiPriority w:val="9"/>
    <w:rsid w:val="006718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186E"/>
    <w:rPr>
      <w:color w:val="0000FF" w:themeColor="hyperlink"/>
      <w:u w:val="single"/>
    </w:rPr>
  </w:style>
  <w:style w:type="table" w:styleId="TableGrid">
    <w:name w:val="Table Grid"/>
    <w:basedOn w:val="TableNormal"/>
    <w:uiPriority w:val="59"/>
    <w:rsid w:val="0067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17"/>
  </w:style>
  <w:style w:type="paragraph" w:styleId="Footer">
    <w:name w:val="footer"/>
    <w:basedOn w:val="Normal"/>
    <w:link w:val="FooterChar"/>
    <w:uiPriority w:val="99"/>
    <w:unhideWhenUsed/>
    <w:rsid w:val="005E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17"/>
  </w:style>
  <w:style w:type="paragraph" w:styleId="NormalWeb">
    <w:name w:val="Normal (Web)"/>
    <w:basedOn w:val="Normal"/>
    <w:uiPriority w:val="99"/>
    <w:unhideWhenUsed/>
    <w:rsid w:val="00AA48E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026B7"/>
    <w:rPr>
      <w:color w:val="808080"/>
    </w:rPr>
  </w:style>
  <w:style w:type="character" w:styleId="FollowedHyperlink">
    <w:name w:val="FollowedHyperlink"/>
    <w:basedOn w:val="DefaultParagraphFont"/>
    <w:uiPriority w:val="99"/>
    <w:semiHidden/>
    <w:unhideWhenUsed/>
    <w:rsid w:val="00110090"/>
    <w:rPr>
      <w:color w:val="800080" w:themeColor="followedHyperlink"/>
      <w:u w:val="single"/>
    </w:rPr>
  </w:style>
  <w:style w:type="character" w:customStyle="1" w:styleId="meta-citation">
    <w:name w:val="meta-citation"/>
    <w:basedOn w:val="DefaultParagraphFont"/>
    <w:rsid w:val="00D566D3"/>
  </w:style>
  <w:style w:type="character" w:customStyle="1" w:styleId="highwire-cite-metadata-doi">
    <w:name w:val="highwire-cite-metadata-doi"/>
    <w:basedOn w:val="DefaultParagraphFont"/>
    <w:rsid w:val="00D57A59"/>
  </w:style>
  <w:style w:type="character" w:customStyle="1" w:styleId="websearch-marked">
    <w:name w:val="web_search-marked"/>
    <w:basedOn w:val="DefaultParagraphFont"/>
    <w:rsid w:val="0005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37"/>
  </w:style>
  <w:style w:type="paragraph" w:styleId="Heading1">
    <w:name w:val="heading 1"/>
    <w:basedOn w:val="Normal"/>
    <w:next w:val="Normal"/>
    <w:link w:val="Heading1Char"/>
    <w:uiPriority w:val="9"/>
    <w:qFormat/>
    <w:rsid w:val="0067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2537"/>
    <w:pPr>
      <w:ind w:left="720"/>
      <w:contextualSpacing/>
    </w:pPr>
  </w:style>
  <w:style w:type="paragraph" w:styleId="BalloonText">
    <w:name w:val="Balloon Text"/>
    <w:basedOn w:val="Normal"/>
    <w:link w:val="BalloonTextChar"/>
    <w:uiPriority w:val="99"/>
    <w:semiHidden/>
    <w:unhideWhenUsed/>
    <w:rsid w:val="0030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37"/>
    <w:rPr>
      <w:rFonts w:ascii="Tahoma" w:hAnsi="Tahoma" w:cs="Tahoma"/>
      <w:sz w:val="16"/>
      <w:szCs w:val="16"/>
    </w:rPr>
  </w:style>
  <w:style w:type="paragraph" w:styleId="Bibliography">
    <w:name w:val="Bibliography"/>
    <w:basedOn w:val="Normal"/>
    <w:next w:val="Normal"/>
    <w:uiPriority w:val="37"/>
    <w:unhideWhenUsed/>
    <w:rsid w:val="0067186E"/>
  </w:style>
  <w:style w:type="character" w:customStyle="1" w:styleId="Heading1Char">
    <w:name w:val="Heading 1 Char"/>
    <w:basedOn w:val="DefaultParagraphFont"/>
    <w:link w:val="Heading1"/>
    <w:uiPriority w:val="9"/>
    <w:rsid w:val="006718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186E"/>
    <w:rPr>
      <w:color w:val="0000FF" w:themeColor="hyperlink"/>
      <w:u w:val="single"/>
    </w:rPr>
  </w:style>
  <w:style w:type="table" w:styleId="TableGrid">
    <w:name w:val="Table Grid"/>
    <w:basedOn w:val="TableNormal"/>
    <w:uiPriority w:val="59"/>
    <w:rsid w:val="0067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17"/>
  </w:style>
  <w:style w:type="paragraph" w:styleId="Footer">
    <w:name w:val="footer"/>
    <w:basedOn w:val="Normal"/>
    <w:link w:val="FooterChar"/>
    <w:uiPriority w:val="99"/>
    <w:unhideWhenUsed/>
    <w:rsid w:val="005E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17"/>
  </w:style>
  <w:style w:type="paragraph" w:styleId="NormalWeb">
    <w:name w:val="Normal (Web)"/>
    <w:basedOn w:val="Normal"/>
    <w:uiPriority w:val="99"/>
    <w:unhideWhenUsed/>
    <w:rsid w:val="00AA48E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026B7"/>
    <w:rPr>
      <w:color w:val="808080"/>
    </w:rPr>
  </w:style>
  <w:style w:type="character" w:styleId="FollowedHyperlink">
    <w:name w:val="FollowedHyperlink"/>
    <w:basedOn w:val="DefaultParagraphFont"/>
    <w:uiPriority w:val="99"/>
    <w:semiHidden/>
    <w:unhideWhenUsed/>
    <w:rsid w:val="00110090"/>
    <w:rPr>
      <w:color w:val="800080" w:themeColor="followedHyperlink"/>
      <w:u w:val="single"/>
    </w:rPr>
  </w:style>
  <w:style w:type="character" w:customStyle="1" w:styleId="meta-citation">
    <w:name w:val="meta-citation"/>
    <w:basedOn w:val="DefaultParagraphFont"/>
    <w:rsid w:val="00D566D3"/>
  </w:style>
  <w:style w:type="character" w:customStyle="1" w:styleId="highwire-cite-metadata-doi">
    <w:name w:val="highwire-cite-metadata-doi"/>
    <w:basedOn w:val="DefaultParagraphFont"/>
    <w:rsid w:val="00D57A59"/>
  </w:style>
  <w:style w:type="character" w:customStyle="1" w:styleId="websearch-marked">
    <w:name w:val="web_search-marked"/>
    <w:basedOn w:val="DefaultParagraphFont"/>
    <w:rsid w:val="0005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5502">
      <w:bodyDiv w:val="1"/>
      <w:marLeft w:val="0"/>
      <w:marRight w:val="0"/>
      <w:marTop w:val="0"/>
      <w:marBottom w:val="0"/>
      <w:divBdr>
        <w:top w:val="none" w:sz="0" w:space="0" w:color="auto"/>
        <w:left w:val="none" w:sz="0" w:space="0" w:color="auto"/>
        <w:bottom w:val="none" w:sz="0" w:space="0" w:color="auto"/>
        <w:right w:val="none" w:sz="0" w:space="0" w:color="auto"/>
      </w:divBdr>
    </w:div>
    <w:div w:id="713190618">
      <w:bodyDiv w:val="1"/>
      <w:marLeft w:val="0"/>
      <w:marRight w:val="0"/>
      <w:marTop w:val="0"/>
      <w:marBottom w:val="0"/>
      <w:divBdr>
        <w:top w:val="none" w:sz="0" w:space="0" w:color="auto"/>
        <w:left w:val="none" w:sz="0" w:space="0" w:color="auto"/>
        <w:bottom w:val="none" w:sz="0" w:space="0" w:color="auto"/>
        <w:right w:val="none" w:sz="0" w:space="0" w:color="auto"/>
      </w:divBdr>
    </w:div>
    <w:div w:id="877475333">
      <w:bodyDiv w:val="1"/>
      <w:marLeft w:val="0"/>
      <w:marRight w:val="0"/>
      <w:marTop w:val="0"/>
      <w:marBottom w:val="0"/>
      <w:divBdr>
        <w:top w:val="none" w:sz="0" w:space="0" w:color="auto"/>
        <w:left w:val="none" w:sz="0" w:space="0" w:color="auto"/>
        <w:bottom w:val="none" w:sz="0" w:space="0" w:color="auto"/>
        <w:right w:val="none" w:sz="0" w:space="0" w:color="auto"/>
      </w:divBdr>
    </w:div>
    <w:div w:id="1137802844">
      <w:bodyDiv w:val="1"/>
      <w:marLeft w:val="0"/>
      <w:marRight w:val="0"/>
      <w:marTop w:val="0"/>
      <w:marBottom w:val="0"/>
      <w:divBdr>
        <w:top w:val="none" w:sz="0" w:space="0" w:color="auto"/>
        <w:left w:val="none" w:sz="0" w:space="0" w:color="auto"/>
        <w:bottom w:val="none" w:sz="0" w:space="0" w:color="auto"/>
        <w:right w:val="none" w:sz="0" w:space="0" w:color="auto"/>
      </w:divBdr>
    </w:div>
    <w:div w:id="18583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08/JPBAFM-07-2020-01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fpri.org/news-release/coronavirus-and-implications-food-systems-and-policy-agrilink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ho.int/emergencies/diseases/novel-coronavirus-2019/technic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www.iea.org/reports/oil-market-report-august-2020"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wenmilimu@gmail.com" TargetMode="External"/><Relationship Id="rId14" Type="http://schemas.openxmlformats.org/officeDocument/2006/relationships/hyperlink" Target="https://www.unicef.org/ethiopia/reports/socio-economic-impact-analysi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Confirmed</a:t>
            </a:r>
            <a:r>
              <a:rPr lang="en-US" sz="1600" baseline="0"/>
              <a:t> COVID-19 Cases in the EAC Region</a:t>
            </a:r>
            <a:endParaRPr lang="en-US" sz="1600"/>
          </a:p>
        </c:rich>
      </c:tx>
      <c:overlay val="0"/>
    </c:title>
    <c:autoTitleDeleted val="0"/>
    <c:plotArea>
      <c:layout/>
      <c:lineChart>
        <c:grouping val="standard"/>
        <c:varyColors val="0"/>
        <c:ser>
          <c:idx val="0"/>
          <c:order val="0"/>
          <c:tx>
            <c:strRef>
              <c:f>Sheet1!$B$2</c:f>
              <c:strCache>
                <c:ptCount val="1"/>
                <c:pt idx="0">
                  <c:v>Kenya</c:v>
                </c:pt>
              </c:strCache>
            </c:strRef>
          </c:tx>
          <c:cat>
            <c:numRef>
              <c:f>Sheet1!$C$1:$S$1</c:f>
              <c:numCache>
                <c:formatCode>mmm\-yy</c:formatCode>
                <c:ptCount val="17"/>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pt idx="14">
                  <c:v>44317</c:v>
                </c:pt>
                <c:pt idx="15">
                  <c:v>44348</c:v>
                </c:pt>
                <c:pt idx="16">
                  <c:v>44378</c:v>
                </c:pt>
              </c:numCache>
            </c:numRef>
          </c:cat>
          <c:val>
            <c:numRef>
              <c:f>Sheet1!$C$2:$S$2</c:f>
              <c:numCache>
                <c:formatCode>General</c:formatCode>
                <c:ptCount val="17"/>
                <c:pt idx="0">
                  <c:v>59</c:v>
                </c:pt>
                <c:pt idx="1">
                  <c:v>337</c:v>
                </c:pt>
                <c:pt idx="2">
                  <c:v>1566</c:v>
                </c:pt>
                <c:pt idx="3">
                  <c:v>4404</c:v>
                </c:pt>
                <c:pt idx="4">
                  <c:v>14270</c:v>
                </c:pt>
                <c:pt idx="5">
                  <c:v>13565</c:v>
                </c:pt>
                <c:pt idx="6">
                  <c:v>4177</c:v>
                </c:pt>
                <c:pt idx="7">
                  <c:v>16814</c:v>
                </c:pt>
                <c:pt idx="8">
                  <c:v>28426</c:v>
                </c:pt>
                <c:pt idx="9">
                  <c:v>12840</c:v>
                </c:pt>
                <c:pt idx="10">
                  <c:v>4315</c:v>
                </c:pt>
                <c:pt idx="11">
                  <c:v>5200</c:v>
                </c:pt>
                <c:pt idx="12">
                  <c:v>28085</c:v>
                </c:pt>
                <c:pt idx="13">
                  <c:v>25995</c:v>
                </c:pt>
                <c:pt idx="14">
                  <c:v>10682</c:v>
                </c:pt>
                <c:pt idx="15">
                  <c:v>13426</c:v>
                </c:pt>
                <c:pt idx="16">
                  <c:v>19052</c:v>
                </c:pt>
              </c:numCache>
            </c:numRef>
          </c:val>
          <c:smooth val="0"/>
          <c:extLst xmlns:c16r2="http://schemas.microsoft.com/office/drawing/2015/06/chart">
            <c:ext xmlns:c16="http://schemas.microsoft.com/office/drawing/2014/chart" uri="{C3380CC4-5D6E-409C-BE32-E72D297353CC}">
              <c16:uniqueId val="{00000000-9E60-4424-AA04-EBD071BD43AE}"/>
            </c:ext>
          </c:extLst>
        </c:ser>
        <c:ser>
          <c:idx val="1"/>
          <c:order val="1"/>
          <c:tx>
            <c:strRef>
              <c:f>Sheet1!$B$3</c:f>
              <c:strCache>
                <c:ptCount val="1"/>
                <c:pt idx="0">
                  <c:v>Uganda</c:v>
                </c:pt>
              </c:strCache>
            </c:strRef>
          </c:tx>
          <c:cat>
            <c:numRef>
              <c:f>Sheet1!$C$1:$S$1</c:f>
              <c:numCache>
                <c:formatCode>mmm\-yy</c:formatCode>
                <c:ptCount val="17"/>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pt idx="14">
                  <c:v>44317</c:v>
                </c:pt>
                <c:pt idx="15">
                  <c:v>44348</c:v>
                </c:pt>
                <c:pt idx="16">
                  <c:v>44378</c:v>
                </c:pt>
              </c:numCache>
            </c:numRef>
          </c:cat>
          <c:val>
            <c:numRef>
              <c:f>Sheet1!$C$3:$S$3</c:f>
              <c:numCache>
                <c:formatCode>General</c:formatCode>
                <c:ptCount val="17"/>
                <c:pt idx="0">
                  <c:v>44</c:v>
                </c:pt>
                <c:pt idx="1">
                  <c:v>39</c:v>
                </c:pt>
                <c:pt idx="2">
                  <c:v>375</c:v>
                </c:pt>
                <c:pt idx="3">
                  <c:v>431</c:v>
                </c:pt>
                <c:pt idx="4">
                  <c:v>265</c:v>
                </c:pt>
                <c:pt idx="5">
                  <c:v>1818</c:v>
                </c:pt>
                <c:pt idx="6">
                  <c:v>5045</c:v>
                </c:pt>
                <c:pt idx="7">
                  <c:v>4478</c:v>
                </c:pt>
                <c:pt idx="8">
                  <c:v>7964</c:v>
                </c:pt>
                <c:pt idx="9">
                  <c:v>14757</c:v>
                </c:pt>
                <c:pt idx="10">
                  <c:v>4390</c:v>
                </c:pt>
                <c:pt idx="11">
                  <c:v>761</c:v>
                </c:pt>
                <c:pt idx="12">
                  <c:v>500</c:v>
                </c:pt>
                <c:pt idx="13">
                  <c:v>999</c:v>
                </c:pt>
                <c:pt idx="14">
                  <c:v>5281</c:v>
                </c:pt>
                <c:pt idx="15">
                  <c:v>32830</c:v>
                </c:pt>
                <c:pt idx="16">
                  <c:v>14448</c:v>
                </c:pt>
              </c:numCache>
            </c:numRef>
          </c:val>
          <c:smooth val="0"/>
          <c:extLst xmlns:c16r2="http://schemas.microsoft.com/office/drawing/2015/06/chart">
            <c:ext xmlns:c16="http://schemas.microsoft.com/office/drawing/2014/chart" uri="{C3380CC4-5D6E-409C-BE32-E72D297353CC}">
              <c16:uniqueId val="{00000001-9E60-4424-AA04-EBD071BD43AE}"/>
            </c:ext>
          </c:extLst>
        </c:ser>
        <c:ser>
          <c:idx val="2"/>
          <c:order val="2"/>
          <c:tx>
            <c:strRef>
              <c:f>Sheet1!$B$4</c:f>
              <c:strCache>
                <c:ptCount val="1"/>
                <c:pt idx="0">
                  <c:v>Rwanda</c:v>
                </c:pt>
              </c:strCache>
            </c:strRef>
          </c:tx>
          <c:cat>
            <c:numRef>
              <c:f>Sheet1!$C$1:$S$1</c:f>
              <c:numCache>
                <c:formatCode>mmm\-yy</c:formatCode>
                <c:ptCount val="17"/>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pt idx="14">
                  <c:v>44317</c:v>
                </c:pt>
                <c:pt idx="15">
                  <c:v>44348</c:v>
                </c:pt>
                <c:pt idx="16">
                  <c:v>44378</c:v>
                </c:pt>
              </c:numCache>
            </c:numRef>
          </c:cat>
          <c:val>
            <c:numRef>
              <c:f>Sheet1!$C$4:$S$4</c:f>
              <c:numCache>
                <c:formatCode>General</c:formatCode>
                <c:ptCount val="17"/>
                <c:pt idx="0">
                  <c:v>75</c:v>
                </c:pt>
                <c:pt idx="1">
                  <c:v>168</c:v>
                </c:pt>
                <c:pt idx="2">
                  <c:v>370</c:v>
                </c:pt>
                <c:pt idx="3">
                  <c:v>655</c:v>
                </c:pt>
                <c:pt idx="4">
                  <c:v>997</c:v>
                </c:pt>
                <c:pt idx="5">
                  <c:v>1941</c:v>
                </c:pt>
                <c:pt idx="6">
                  <c:v>773</c:v>
                </c:pt>
                <c:pt idx="7">
                  <c:v>301</c:v>
                </c:pt>
                <c:pt idx="8">
                  <c:v>797</c:v>
                </c:pt>
                <c:pt idx="9">
                  <c:v>2449</c:v>
                </c:pt>
                <c:pt idx="10">
                  <c:v>6921</c:v>
                </c:pt>
                <c:pt idx="11">
                  <c:v>3546</c:v>
                </c:pt>
                <c:pt idx="12">
                  <c:v>2933</c:v>
                </c:pt>
                <c:pt idx="13">
                  <c:v>3333</c:v>
                </c:pt>
                <c:pt idx="14">
                  <c:v>1907</c:v>
                </c:pt>
                <c:pt idx="15">
                  <c:v>12024</c:v>
                </c:pt>
                <c:pt idx="16">
                  <c:v>31651</c:v>
                </c:pt>
              </c:numCache>
            </c:numRef>
          </c:val>
          <c:smooth val="0"/>
          <c:extLst xmlns:c16r2="http://schemas.microsoft.com/office/drawing/2015/06/chart">
            <c:ext xmlns:c16="http://schemas.microsoft.com/office/drawing/2014/chart" uri="{C3380CC4-5D6E-409C-BE32-E72D297353CC}">
              <c16:uniqueId val="{00000002-9E60-4424-AA04-EBD071BD43AE}"/>
            </c:ext>
          </c:extLst>
        </c:ser>
        <c:ser>
          <c:idx val="3"/>
          <c:order val="3"/>
          <c:tx>
            <c:strRef>
              <c:f>Sheet1!$B$5</c:f>
              <c:strCache>
                <c:ptCount val="1"/>
                <c:pt idx="0">
                  <c:v>South Sudan</c:v>
                </c:pt>
              </c:strCache>
            </c:strRef>
          </c:tx>
          <c:cat>
            <c:numRef>
              <c:f>Sheet1!$C$1:$S$1</c:f>
              <c:numCache>
                <c:formatCode>mmm\-yy</c:formatCode>
                <c:ptCount val="17"/>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pt idx="14">
                  <c:v>44317</c:v>
                </c:pt>
                <c:pt idx="15">
                  <c:v>44348</c:v>
                </c:pt>
                <c:pt idx="16">
                  <c:v>44378</c:v>
                </c:pt>
              </c:numCache>
            </c:numRef>
          </c:cat>
          <c:val>
            <c:numRef>
              <c:f>Sheet1!$C$5:$S$5</c:f>
              <c:numCache>
                <c:formatCode>General</c:formatCode>
                <c:ptCount val="17"/>
                <c:pt idx="0">
                  <c:v>0</c:v>
                </c:pt>
                <c:pt idx="1">
                  <c:v>35</c:v>
                </c:pt>
                <c:pt idx="2">
                  <c:v>959</c:v>
                </c:pt>
                <c:pt idx="3">
                  <c:v>1013</c:v>
                </c:pt>
                <c:pt idx="4">
                  <c:v>345</c:v>
                </c:pt>
                <c:pt idx="5">
                  <c:v>167</c:v>
                </c:pt>
                <c:pt idx="6">
                  <c:v>185</c:v>
                </c:pt>
                <c:pt idx="7">
                  <c:v>222</c:v>
                </c:pt>
                <c:pt idx="8">
                  <c:v>183</c:v>
                </c:pt>
                <c:pt idx="9">
                  <c:v>449</c:v>
                </c:pt>
                <c:pt idx="10">
                  <c:v>403</c:v>
                </c:pt>
                <c:pt idx="11">
                  <c:v>4049</c:v>
                </c:pt>
                <c:pt idx="12">
                  <c:v>2187</c:v>
                </c:pt>
                <c:pt idx="13">
                  <c:v>386</c:v>
                </c:pt>
                <c:pt idx="14">
                  <c:v>105</c:v>
                </c:pt>
                <c:pt idx="15">
                  <c:v>158</c:v>
                </c:pt>
                <c:pt idx="16">
                  <c:v>217</c:v>
                </c:pt>
              </c:numCache>
            </c:numRef>
          </c:val>
          <c:smooth val="0"/>
          <c:extLst xmlns:c16r2="http://schemas.microsoft.com/office/drawing/2015/06/chart">
            <c:ext xmlns:c16="http://schemas.microsoft.com/office/drawing/2014/chart" uri="{C3380CC4-5D6E-409C-BE32-E72D297353CC}">
              <c16:uniqueId val="{00000003-9E60-4424-AA04-EBD071BD43AE}"/>
            </c:ext>
          </c:extLst>
        </c:ser>
        <c:dLbls>
          <c:showLegendKey val="0"/>
          <c:showVal val="0"/>
          <c:showCatName val="0"/>
          <c:showSerName val="0"/>
          <c:showPercent val="0"/>
          <c:showBubbleSize val="0"/>
        </c:dLbls>
        <c:marker val="1"/>
        <c:smooth val="0"/>
        <c:axId val="320895616"/>
        <c:axId val="320901888"/>
      </c:lineChart>
      <c:dateAx>
        <c:axId val="320895616"/>
        <c:scaling>
          <c:orientation val="minMax"/>
        </c:scaling>
        <c:delete val="0"/>
        <c:axPos val="b"/>
        <c:title>
          <c:tx>
            <c:rich>
              <a:bodyPr/>
              <a:lstStyle/>
              <a:p>
                <a:pPr>
                  <a:defRPr sz="1200"/>
                </a:pPr>
                <a:r>
                  <a:rPr lang="en-US" sz="1200"/>
                  <a:t>Month</a:t>
                </a:r>
              </a:p>
            </c:rich>
          </c:tx>
          <c:overlay val="0"/>
        </c:title>
        <c:numFmt formatCode="mmm\-yy" sourceLinked="1"/>
        <c:majorTickMark val="out"/>
        <c:minorTickMark val="none"/>
        <c:tickLblPos val="nextTo"/>
        <c:txPr>
          <a:bodyPr/>
          <a:lstStyle/>
          <a:p>
            <a:pPr>
              <a:defRPr b="1"/>
            </a:pPr>
            <a:endParaRPr lang="en-US"/>
          </a:p>
        </c:txPr>
        <c:crossAx val="320901888"/>
        <c:crosses val="autoZero"/>
        <c:auto val="1"/>
        <c:lblOffset val="100"/>
        <c:baseTimeUnit val="months"/>
      </c:dateAx>
      <c:valAx>
        <c:axId val="320901888"/>
        <c:scaling>
          <c:orientation val="minMax"/>
        </c:scaling>
        <c:delete val="0"/>
        <c:axPos val="l"/>
        <c:majorGridlines/>
        <c:title>
          <c:tx>
            <c:rich>
              <a:bodyPr/>
              <a:lstStyle/>
              <a:p>
                <a:pPr>
                  <a:defRPr/>
                </a:pPr>
                <a:r>
                  <a:rPr lang="en-US" sz="1200"/>
                  <a:t>Confirmed</a:t>
                </a:r>
                <a:r>
                  <a:rPr lang="en-US" sz="1200" baseline="0"/>
                  <a:t> Covid-19 cases</a:t>
                </a:r>
                <a:endParaRPr lang="en-US" sz="1200"/>
              </a:p>
            </c:rich>
          </c:tx>
          <c:overlay val="0"/>
        </c:title>
        <c:numFmt formatCode="General" sourceLinked="1"/>
        <c:majorTickMark val="out"/>
        <c:minorTickMark val="none"/>
        <c:tickLblPos val="nextTo"/>
        <c:crossAx val="320895616"/>
        <c:crosses val="autoZero"/>
        <c:crossBetween val="between"/>
      </c:valAx>
    </c:plotArea>
    <c:legend>
      <c:legendPos val="r"/>
      <c:overlay val="0"/>
      <c:txPr>
        <a:bodyPr/>
        <a:lstStyle/>
        <a:p>
          <a:pPr>
            <a:defRPr b="1"/>
          </a:pPr>
          <a:endParaRPr lang="en-US"/>
        </a:p>
      </c:txPr>
    </c:legend>
    <c:plotVisOnly val="1"/>
    <c:dispBlanksAs val="gap"/>
    <c:showDLblsOverMax val="0"/>
  </c:chart>
  <c:spPr>
    <a:pattFill prst="pct5">
      <a:fgClr>
        <a:srgbClr val="4F81BD"/>
      </a:fgClr>
      <a:bgClr>
        <a:sysClr val="window" lastClr="FFFFFF"/>
      </a:bgClr>
    </a:patt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600" b="1"/>
              <a:t>OPEC basket oil price (US $ per barrel)</a:t>
            </a:r>
          </a:p>
        </c:rich>
      </c:tx>
      <c:overlay val="0"/>
    </c:title>
    <c:autoTitleDeleted val="0"/>
    <c:plotArea>
      <c:layout/>
      <c:lineChart>
        <c:grouping val="standard"/>
        <c:varyColors val="0"/>
        <c:ser>
          <c:idx val="0"/>
          <c:order val="0"/>
          <c:tx>
            <c:strRef>
              <c:f>Sheet1!$B$3</c:f>
              <c:strCache>
                <c:ptCount val="1"/>
                <c:pt idx="0">
                  <c:v>OPEC crude oil price (US $ per barrel)</c:v>
                </c:pt>
              </c:strCache>
            </c:strRef>
          </c:tx>
          <c:cat>
            <c:numRef>
              <c:f>Sheet1!$C$2:$S$2</c:f>
              <c:numCache>
                <c:formatCode>mmm\-yy</c:formatCode>
                <c:ptCount val="17"/>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pt idx="14">
                  <c:v>44317</c:v>
                </c:pt>
                <c:pt idx="15">
                  <c:v>44348</c:v>
                </c:pt>
                <c:pt idx="16">
                  <c:v>44378</c:v>
                </c:pt>
              </c:numCache>
            </c:numRef>
          </c:cat>
          <c:val>
            <c:numRef>
              <c:f>Sheet1!$C$3:$S$3</c:f>
              <c:numCache>
                <c:formatCode>General</c:formatCode>
                <c:ptCount val="17"/>
                <c:pt idx="0">
                  <c:v>33.92</c:v>
                </c:pt>
                <c:pt idx="1">
                  <c:v>17.66</c:v>
                </c:pt>
                <c:pt idx="2">
                  <c:v>25.17</c:v>
                </c:pt>
                <c:pt idx="3">
                  <c:v>37.049999999999997</c:v>
                </c:pt>
                <c:pt idx="4">
                  <c:v>43.42</c:v>
                </c:pt>
                <c:pt idx="5">
                  <c:v>45.19</c:v>
                </c:pt>
                <c:pt idx="6">
                  <c:v>41.54</c:v>
                </c:pt>
                <c:pt idx="7">
                  <c:v>40.08</c:v>
                </c:pt>
                <c:pt idx="8">
                  <c:v>42.61</c:v>
                </c:pt>
                <c:pt idx="9">
                  <c:v>49.17</c:v>
                </c:pt>
                <c:pt idx="10">
                  <c:v>54.38</c:v>
                </c:pt>
                <c:pt idx="11">
                  <c:v>61.05</c:v>
                </c:pt>
                <c:pt idx="12">
                  <c:v>64.56</c:v>
                </c:pt>
                <c:pt idx="13">
                  <c:v>63.24</c:v>
                </c:pt>
                <c:pt idx="14">
                  <c:v>66.91</c:v>
                </c:pt>
                <c:pt idx="15">
                  <c:v>71.89</c:v>
                </c:pt>
                <c:pt idx="16">
                  <c:v>73.53</c:v>
                </c:pt>
              </c:numCache>
            </c:numRef>
          </c:val>
          <c:smooth val="0"/>
          <c:extLst xmlns:c16r2="http://schemas.microsoft.com/office/drawing/2015/06/chart">
            <c:ext xmlns:c16="http://schemas.microsoft.com/office/drawing/2014/chart" uri="{C3380CC4-5D6E-409C-BE32-E72D297353CC}">
              <c16:uniqueId val="{00000000-7391-47F5-8BDF-377EF118ACC6}"/>
            </c:ext>
          </c:extLst>
        </c:ser>
        <c:dLbls>
          <c:showLegendKey val="0"/>
          <c:showVal val="0"/>
          <c:showCatName val="0"/>
          <c:showSerName val="0"/>
          <c:showPercent val="0"/>
          <c:showBubbleSize val="0"/>
        </c:dLbls>
        <c:marker val="1"/>
        <c:smooth val="0"/>
        <c:axId val="329479680"/>
        <c:axId val="329481600"/>
      </c:lineChart>
      <c:dateAx>
        <c:axId val="329479680"/>
        <c:scaling>
          <c:orientation val="minMax"/>
        </c:scaling>
        <c:delete val="0"/>
        <c:axPos val="b"/>
        <c:title>
          <c:tx>
            <c:rich>
              <a:bodyPr/>
              <a:lstStyle/>
              <a:p>
                <a:pPr>
                  <a:defRPr/>
                </a:pPr>
                <a:r>
                  <a:rPr lang="en-US" sz="1200"/>
                  <a:t>Month</a:t>
                </a:r>
              </a:p>
            </c:rich>
          </c:tx>
          <c:overlay val="0"/>
        </c:title>
        <c:numFmt formatCode="mmm\-yy" sourceLinked="1"/>
        <c:majorTickMark val="out"/>
        <c:minorTickMark val="none"/>
        <c:tickLblPos val="nextTo"/>
        <c:txPr>
          <a:bodyPr/>
          <a:lstStyle/>
          <a:p>
            <a:pPr>
              <a:defRPr b="1"/>
            </a:pPr>
            <a:endParaRPr lang="en-US"/>
          </a:p>
        </c:txPr>
        <c:crossAx val="329481600"/>
        <c:crosses val="autoZero"/>
        <c:auto val="1"/>
        <c:lblOffset val="100"/>
        <c:baseTimeUnit val="months"/>
      </c:dateAx>
      <c:valAx>
        <c:axId val="329481600"/>
        <c:scaling>
          <c:orientation val="minMax"/>
        </c:scaling>
        <c:delete val="0"/>
        <c:axPos val="l"/>
        <c:majorGridlines/>
        <c:title>
          <c:tx>
            <c:rich>
              <a:bodyPr/>
              <a:lstStyle/>
              <a:p>
                <a:pPr>
                  <a:defRPr sz="1200" b="1"/>
                </a:pPr>
                <a:r>
                  <a:rPr lang="en-US" sz="1200" b="1"/>
                  <a:t>Oil</a:t>
                </a:r>
                <a:r>
                  <a:rPr lang="en-US" sz="1200" b="1" baseline="0"/>
                  <a:t> price in USD per barrel</a:t>
                </a:r>
                <a:endParaRPr lang="en-US" sz="1200" b="1"/>
              </a:p>
            </c:rich>
          </c:tx>
          <c:overlay val="0"/>
        </c:title>
        <c:numFmt formatCode="General" sourceLinked="1"/>
        <c:majorTickMark val="out"/>
        <c:minorTickMark val="none"/>
        <c:tickLblPos val="nextTo"/>
        <c:crossAx val="329479680"/>
        <c:crosses val="autoZero"/>
        <c:crossBetween val="between"/>
      </c:valAx>
    </c:plotArea>
    <c:legend>
      <c:legendPos val="r"/>
      <c:legendEntry>
        <c:idx val="0"/>
        <c:txPr>
          <a:bodyPr/>
          <a:lstStyle/>
          <a:p>
            <a:pPr>
              <a:defRPr b="1"/>
            </a:pPr>
            <a:endParaRPr lang="en-US"/>
          </a:p>
        </c:txPr>
      </c:legendEntry>
      <c:overlay val="0"/>
    </c:legend>
    <c:plotVisOnly val="1"/>
    <c:dispBlanksAs val="gap"/>
    <c:showDLblsOverMax val="0"/>
  </c:chart>
  <c:spPr>
    <a:pattFill prst="pct5">
      <a:fgClr>
        <a:schemeClr val="accent1"/>
      </a:fgClr>
      <a:bgClr>
        <a:schemeClr val="bg1"/>
      </a:bgClr>
    </a:patt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Fri20</b:Tag>
    <b:SourceType>JournalArticle</b:SourceType>
    <b:Guid>{E31440CD-B578-4162-8015-8D71F1F71ED0}</b:Guid>
    <b:Title>Ghana in the Face of COVID-19: Economic Impact of Coronavirus (2019-NCOV) Outbreak on Ghana</b:Title>
    <b:JournalName>Open Journal of Business and Managemen</b:JournalName>
    <b:Year>2020</b:Year>
    <b:Pages>1404-1411</b:Pages>
    <b:Author>
      <b:Author>
        <b:NameList>
          <b:Person>
            <b:Last>Frimpong</b:Last>
            <b:Middle>Atta</b:Middle>
            <b:First> Isaac  </b:First>
          </b:Person>
          <b:Person>
            <b:Last>Amponsah</b:Last>
            <b:First>Randy</b:First>
          </b:Person>
        </b:NameList>
      </b:Author>
    </b:Author>
    <b:Volume>8</b:Volume>
    <b:URL>https://doi.org/10.4236/ojbm.2020.84089</b:URL>
    <b:RefOrder>1</b:RefOrder>
  </b:Source>
  <b:Source>
    <b:Tag>Dzi20</b:Tag>
    <b:SourceType>JournalArticle</b:SourceType>
    <b:Guid>{999D2BA7-9F47-4E16-BCF1-262145C8C645}</b:Guid>
    <b:Title>COVID-19 economic shocks and fiscal policy options for Ghana</b:Title>
    <b:JournalName>Journal of Public Budgeting, Accounting &amp; Financial Management</b:JournalName>
    <b:Year>2020</b:Year>
    <b:Pages>903-917</b:Pages>
    <b:Author>
      <b:Author>
        <b:NameList>
          <b:Person>
            <b:Last>Dzigbede</b:Last>
            <b:Middle>D</b:Middle>
            <b:First>Komla </b:First>
          </b:Person>
          <b:Person>
            <b:Last>Pathak</b:Last>
            <b:First>Rahul</b:First>
          </b:Person>
        </b:NameList>
      </b:Author>
    </b:Author>
    <b:Volume>32</b:Volume>
    <b:Issue>5</b:Issue>
    <b:URL>https://doi.org/10.1108/JPBAFM-07-2020-0127</b:URL>
    <b:RefOrder>2</b:RefOrder>
  </b:Source>
  <b:Source>
    <b:Tag>Ozi20</b:Tag>
    <b:SourceType>JournalArticle</b:SourceType>
    <b:Guid>{F96E48DF-38B4-43CB-BC77-72E6D1C2F577}</b:Guid>
    <b:Title>COVID-19 pandemic and economic crisis: the Nigerian experience and structural causes</b:Title>
    <b:JournalName>Journal of Economic and Administrative Science</b:JournalName>
    <b:Year>2020</b:Year>
    <b:Pages>1026-4116</b:Pages>
    <b:Author>
      <b:Author>
        <b:NameList>
          <b:Person>
            <b:Last> Ozili</b:Last>
            <b:Middle>K</b:Middle>
            <b:First>Peterson</b:First>
          </b:Person>
        </b:NameList>
      </b:Author>
    </b:Author>
    <b:URL>https://doi.org/10.1108/JEAS-05-2020-0074</b:URL>
    <b:RefOrder>3</b:RefOrder>
  </b:Source>
  <b:Source>
    <b:Tag>Ata20</b:Tag>
    <b:SourceType>JournalArticle</b:SourceType>
    <b:Guid>{981DE91B-B3F6-4E81-BEA8-BCFC1829CECA}</b:Guid>
    <b:Title>COVID‑19 Pandemic, a War to be Won: Understanding its Economic Implications for Africa</b:Title>
    <b:JournalName>Applied Health Economics and Health Policy</b:JournalName>
    <b:Year>2020</b:Year>
    <b:Pages>325–328</b:Pages>
    <b:Author>
      <b:Author>
        <b:NameList>
          <b:Person>
            <b:Last>Ataguba</b:Last>
            <b:Middle>E</b:Middle>
            <b:First>John</b:First>
          </b:Person>
        </b:NameList>
      </b:Author>
    </b:Author>
    <b:Volume>18</b:Volume>
    <b:URL>https://doi.org/10.1007/s40258-020-00580-x</b:URL>
    <b:RefOrder>4</b:RefOrder>
  </b:Source>
  <b:Source>
    <b:Tag>McK21</b:Tag>
    <b:SourceType>JournalArticle</b:SourceType>
    <b:Guid>{1D0D9B8A-0B7C-460D-99E3-9CE2EAE7799F}</b:Guid>
    <b:Title>The Global Macroeconomic Impacts of COVID-19: Seven Scenarios</b:Title>
    <b:JournalName> Asian Economic Papers</b:JournalName>
    <b:Year>2021</b:Year>
    <b:Author>
      <b:Author>
        <b:NameList>
          <b:Person>
            <b:Last>McKibbin</b:Last>
            <b:First>Warwick</b:First>
          </b:Person>
          <b:Person>
            <b:Last>Fernando</b:Last>
            <b:First>Roshen </b:First>
          </b:Person>
        </b:NameList>
      </b:Author>
    </b:Author>
    <b:Volume>20</b:Volume>
    <b:Issue>2</b:Issue>
    <b:URL>https://doi.org/10.1162/asep_a_00796</b:URL>
    <b:RefOrder>5</b:RefOrder>
  </b:Source>
  <b:Source>
    <b:Tag>Gao20</b:Tag>
    <b:SourceType>JournalArticle</b:SourceType>
    <b:Guid>{00CF6EB0-EFA2-416E-909B-BF3C4F747096}</b:Guid>
    <b:Author>
      <b:Author>
        <b:NameList>
          <b:Person>
            <b:Last> Erokhin</b:Last>
            <b:First>Vasilii</b:First>
          </b:Person>
          <b:Person>
            <b:Last> Gao</b:Last>
            <b:First>Tianming</b:First>
          </b:Person>
        </b:NameList>
      </b:Author>
    </b:Author>
    <b:Title>Impacts of COVID-19 on Trade and Economic Aspects of Food Security: Evidence from 45 Developing Countries</b:Title>
    <b:JournalName>International Journal of Environmental Research and Public Health</b:JournalName>
    <b:Year>2020</b:Year>
    <b:Pages>5775-5803</b:Pages>
    <b:Volume>17</b:Volume>
    <b:URL>http://dx.doi.org/10.3390/ijerph17165775</b:URL>
    <b:RefOrder>6</b:RefOrder>
  </b:Source>
  <b:Source>
    <b:Tag>Adj18</b:Tag>
    <b:SourceType>JournalArticle</b:SourceType>
    <b:Guid>{71B53F04-9C68-44BB-8A1F-B671B281FE53}</b:Guid>
    <b:Title>Inflation Determinants - Milton Friedman’s Theory and the Evidence from Ghana, 1965-2012 (Using ARDL Framework)</b:Title>
    <b:JournalName>International Journal of Applied Economics, Finance and Accounting</b:JournalName>
    <b:Year>2018</b:Year>
    <b:Pages>21-36</b:Pages>
    <b:Author>
      <b:Author>
        <b:NameList>
          <b:Person>
            <b:Last>Adjei</b:Last>
            <b:Middle>Kwaku</b:Middle>
            <b:First>Samuel </b:First>
          </b:Person>
        </b:NameList>
      </b:Author>
    </b:Author>
    <b:Volume>3</b:Volume>
    <b:Issue>1</b:Issue>
    <b:StandardNumber>ISSN 2577-767X</b:StandardNumber>
    <b:DOI>10.33094/8.2017.2018.31.21.36</b:DOI>
    <b:RefOrder>7</b:RefOrder>
  </b:Source>
  <b:Source>
    <b:Tag>Hau78</b:Tag>
    <b:SourceType>JournalArticle</b:SourceType>
    <b:Guid>{DB15E232-90ED-4427-8038-835E97E49596}</b:Guid>
    <b:Title>Specification Test in Econometrics</b:Title>
    <b:JournalName>Econometrica</b:JournalName>
    <b:Year>1978</b:Year>
    <b:Pages>1251-1271</b:Pages>
    <b:Author>
      <b:Author>
        <b:NameList>
          <b:Person>
            <b:Last>Hausman</b:Last>
            <b:Middle>A</b:Middle>
            <b:First>J</b:First>
          </b:Person>
        </b:NameList>
      </b:Author>
    </b:Author>
    <b:Volume>46</b:Volume>
    <b:Issue>6</b:Issue>
    <b:URL>http//links.jstor/sici?sici=0012-9683%28197811%2946%3A6%3C1251%3ASTIE%3E2.0.CO%3B2-X</b:URL>
    <b:RefOrder>8</b:RefOrder>
  </b:Source>
  <b:Source>
    <b:Tag>Dic79</b:Tag>
    <b:SourceType>JournalArticle</b:SourceType>
    <b:Guid>{00E2815D-E88C-4092-ABF0-B34C4D534F1E}</b:Guid>
    <b:Title>Distribution of the estimators for autoregressive time series with a unit root</b:Title>
    <b:JournalName>Journal of the American Statistical Association</b:JournalName>
    <b:Year>1979</b:Year>
    <b:Pages>427-431</b:Pages>
    <b:Author>
      <b:Author>
        <b:NameList>
          <b:Person>
            <b:Last>Dickey</b:Last>
            <b:Middle>A</b:Middle>
            <b:First>D</b:First>
          </b:Person>
          <b:Person>
            <b:Last>Fuller</b:Last>
            <b:Middle>A</b:Middle>
            <b:First>W</b:First>
          </b:Person>
        </b:NameList>
      </b:Author>
    </b:Author>
    <b:Volume>74</b:Volume>
    <b:Issue>366</b:Issue>
    <b:RefOrder>9</b:RefOrder>
  </b:Source>
  <b:Source>
    <b:Tag>Phi88</b:Tag>
    <b:SourceType>JournalArticle</b:SourceType>
    <b:Guid>{5FE3449E-B677-4936-B10F-796565E99637}</b:Guid>
    <b:Title>Testing for unit root in time series regression</b:Title>
    <b:JournalName>Biometrica</b:JournalName>
    <b:Year>1988</b:Year>
    <b:Pages>335-346</b:Pages>
    <b:Author>
      <b:Author>
        <b:NameList>
          <b:Person>
            <b:Last>Philips</b:Last>
            <b:Middle>C</b:Middle>
            <b:First>P</b:First>
          </b:Person>
          <b:Person>
            <b:Last>Perron</b:Last>
            <b:First>P</b:First>
          </b:Person>
        </b:NameList>
      </b:Author>
    </b:Author>
    <b:Volume>75</b:Volume>
    <b:Issue>2</b:Issue>
    <b:RefOrder>10</b:RefOrder>
  </b:Source>
  <b:Source>
    <b:Tag>Moh20</b:Tag>
    <b:SourceType>JournalArticle</b:SourceType>
    <b:Guid>{E304014F-4BCE-44B9-BCF4-5A7411554B7B}</b:Guid>
    <b:Title>The Extent of COVID-19 Pandemic Socio-Economic Impact on Global Poverty. A Global Integrative Multidisciplinary Review</b:Title>
    <b:Year>2020</b:Year>
    <b:JournalName>American Journal of Economics</b:JournalName>
    <b:Pages>213-224</b:Pages>
    <b:Author>
      <b:Author>
        <b:NameList>
          <b:Person>
            <b:Last>Buheji</b:Last>
            <b:First>Mohamed</b:First>
          </b:Person>
          <b:Person>
            <b:Last>Katiane</b:Last>
            <b:First>Cunha</b:First>
            <b:Middle>da Costa</b:Middle>
          </b:Person>
          <b:Person>
            <b:Last>Beka</b:Last>
            <b:First>Godfred</b:First>
          </b:Person>
          <b:Person>
            <b:Last>Mavrić</b:Last>
            <b:First>Bartola</b:First>
          </b:Person>
          <b:Person>
            <b:Last>Carmo de Souza</b:Last>
            <b:First>Yuri</b:First>
            <b:Middle>Leandro do</b:Middle>
          </b:Person>
          <b:Person>
            <b:Last>Silva</b:Last>
            <b:First>Simone</b:First>
            <b:Middle>Souza da Costa</b:Middle>
          </b:Person>
          <b:Person>
            <b:Last>Hanafi</b:Last>
            <b:First>Mohammed</b:First>
          </b:Person>
          <b:Person>
            <b:Last>Yein</b:Last>
            <b:First>Tulika</b:First>
            <b:Middle>Chetia</b:Middle>
          </b:Person>
        </b:NameList>
      </b:Author>
    </b:Author>
    <b:Volume>10</b:Volume>
    <b:Issue>4</b:Issue>
    <b:URL>https://doi.org/10.5923/j.economics.20201004.02</b:URL>
    <b:RefOrder>11</b:RefOrder>
  </b:Source>
  <b:Source>
    <b:Tag>Jel20</b:Tag>
    <b:SourceType>JournalArticle</b:SourceType>
    <b:Guid>{5975EFCF-CF5E-4F92-AC66-880670882564}</b:Guid>
    <b:Title>Testing the nexus between stock market returns and inflation in Nigeria: Does the effect of COVID-19 pandemic matter?</b:Title>
    <b:JournalName>Journal of Public Affairs</b:JournalName>
    <b:Year>2020</b:Year>
    <b:Pages>e2289</b:Pages>
    <b:Author>
      <b:Author>
        <b:NameList>
          <b:Person>
            <b:Last>Jelilov</b:Last>
            <b:First>Gylych</b:First>
          </b:Person>
          <b:Person>
            <b:Last> Iorember</b:Last>
            <b:Middle>Terhemba</b:Middle>
            <b:First>Paul </b:First>
          </b:Person>
          <b:Person>
            <b:Last>Usman</b:Last>
            <b:First> Ojonugwa</b:First>
          </b:Person>
          <b:Person>
            <b:Last>Yua</b:Last>
            <b:Middle>M</b:Middle>
            <b:First>Paul  </b:First>
          </b:Person>
        </b:NameList>
      </b:Author>
    </b:Author>
    <b:URL>https://doi.org/10.1002/pa.2289</b:URL>
    <b:RefOrder>12</b:RefOrder>
  </b:Source>
  <b:Source>
    <b:Tag>Vic20</b:Tag>
    <b:SourceType>Report</b:SourceType>
    <b:Guid>{DBBF36C0-CBC0-4D40-AA60-3F53DEECC804}</b:Guid>
    <b:Title>Vickers, B., Ali, S., Zhuawu, C., Zimmermann, A., Attaallah, H., and DervishollInternational Trade Working Paper 2020/15</b:Title>
    <b:Year>2020</b:Year>
    <b:Author>
      <b:Author>
        <b:NameList>
          <b:Person>
            <b:Last>Vickers</b:Last>
            <b:First>B.</b:First>
          </b:Person>
          <b:Person>
            <b:Last>Ali</b:Last>
            <b:First>S.</b:First>
          </b:Person>
          <b:Person>
            <b:Last>Zhuawu</b:Last>
            <b:First>C.</b:First>
          </b:Person>
          <b:Person>
            <b:Last>Zimmermann</b:Last>
            <b:First>A.</b:First>
          </b:Person>
          <b:Person>
            <b:Last>Attaallah</b:Last>
            <b:First>H.</b:First>
          </b:Person>
          <b:Person>
            <b:Last>Dervisholli</b:Last>
            <b:First>E.</b:First>
          </b:Person>
        </b:NameList>
      </b:Author>
    </b:Author>
    <b:Publisher>Commonwealth Secretariat and FAO</b:Publisher>
    <b:City>London</b:City>
    <b:RefOrder>13</b:RefOrder>
  </b:Source>
  <b:Source>
    <b:Tag>Hur20</b:Tag>
    <b:SourceType>Report</b:SourceType>
    <b:Guid>{7DCE0C32-2B8B-412F-B783-D68C1B137D56}</b:Guid>
    <b:Author>
      <b:Author>
        <b:NameList>
          <b:Person>
            <b:Last>Hurnik</b:Last>
            <b:First>J.</b:First>
          </b:Person>
          <b:Person>
            <b:Last>Kober</b:Last>
            <b:First>C.</b:First>
          </b:Person>
          <b:Person>
            <b:Last>Plotikov</b:Last>
            <b:First>S.</b:First>
          </b:Person>
          <b:Person>
            <b:Last>Vavra</b:Last>
            <b:First>D.</b:First>
          </b:Person>
        </b:NameList>
      </b:Author>
    </b:Author>
    <b:Title>Socio- economic Impact Analysis of COVID-19, August 2020.</b:Title>
    <b:Year>2020</b:Year>
    <b:RefOrder>14</b:RefOrder>
  </b:Source>
  <b:Source>
    <b:Tag>Ebr20</b:Tag>
    <b:SourceType>Report</b:SourceType>
    <b:Guid>{7C80E9F3-FC61-414A-8B59-099FCEB8D87D}</b:Guid>
    <b:Author>
      <b:Author>
        <b:NameList>
          <b:Person>
            <b:Last>Ebrahimy</b:Last>
            <b:First>E.</b:First>
          </b:Person>
          <b:Person>
            <b:Last>Igan</b:Last>
            <b:First>D.</b:First>
          </b:Person>
          <b:Person>
            <b:Last>Peria</b:Last>
            <b:First>S.</b:First>
            <b:Middle>M.</b:Middle>
          </b:Person>
        </b:NameList>
      </b:Author>
    </b:Author>
    <b:Title>The Impact of Covid-19 on Inflation: Potential Drivers and Dynamics. Research Special Notes Series on Covid-19.</b:Title>
    <b:Year>2020</b:Year>
    <b:Publisher>International Monetary Fund ( IMF) </b:Publisher>
    <b:City> Washington, D.C.</b:City>
    <b:RefOrder>15</b:RefOrder>
  </b:Source>
  <b:Source>
    <b:Tag>Pes99</b:Tag>
    <b:SourceType>JournalArticle</b:SourceType>
    <b:Guid>{222A4A37-8606-4EF4-BC34-061636FA07BC}</b:Guid>
    <b:Title>Pooled Mean Group Estimation of Dynamic Heterogenous Panels</b:Title>
    <b:JournalName>Journal of the American Statistical Association</b:JournalName>
    <b:Year>1999</b:Year>
    <b:Pages>621-634</b:Pages>
    <b:Author>
      <b:Author>
        <b:NameList>
          <b:Person>
            <b:Last>Pesaran</b:Last>
            <b:Middle>Hashem</b:Middle>
            <b:First>M</b:First>
          </b:Person>
          <b:Person>
            <b:Last>Shin</b:Last>
            <b:Middle>Yongcheol</b:Middle>
          </b:Person>
          <b:Person>
            <b:Last>Smith</b:Last>
            <b:Middle>Ron</b:Middle>
            <b:First>P</b:First>
          </b:Person>
        </b:NameList>
      </b:Author>
    </b:Author>
    <b:Volume>94</b:Volume>
    <b:Issue>446</b:Issue>
    <b:RefOrder>16</b:RefOrder>
  </b:Source>
  <b:Source>
    <b:Tag>Ogu20</b:Tag>
    <b:SourceType>JournalArticle</b:SourceType>
    <b:Guid>{AB6D9B15-AAAD-43DB-823D-C1ED80230495}</b:Guid>
    <b:Author>
      <b:Author>
        <b:NameList>
          <b:Person>
            <b:Last>Ogundokun</b:Last>
            <b:Middle>O</b:Middle>
            <b:First>Roseline</b:First>
          </b:Person>
          <b:Person>
            <b:Last>Lukman</b:Last>
            <b:Middle>F</b:Middle>
            <b:First>Adewale </b:First>
          </b:Person>
          <b:Person>
            <b:Last> Kibria</b:Last>
            <b:Middle>B.M</b:Middle>
            <b:First>Golam </b:First>
          </b:Person>
          <b:Person>
            <b:Last>Awotunde</b:Last>
            <b:Middle>B</b:Middle>
            <b:First>Joseph </b:First>
          </b:Person>
          <b:Person>
            <b:Last>Aladeitan</b:Last>
            <b:Middle>B</b:Middle>
            <b:First>Benedita</b:First>
          </b:Person>
        </b:NameList>
      </b:Author>
    </b:Author>
    <b:Title>Predictive modelling of COVID-19 confirmed cases in Nigeria</b:Title>
    <b:JournalName>Infectious Disease Modelling</b:JournalName>
    <b:Year>2020</b:Year>
    <b:Pages>543-548</b:Pages>
    <b:Volume>5</b:Volume>
    <b:Comments>
		</b:Comments>
    <b:URL>https://doi.org/10.1016/j.idm.2020.08.003</b:URL>
    <b:RefOrder>17</b:RefOrder>
  </b:Source>
  <b:Source>
    <b:Tag>Den16</b:Tag>
    <b:SourceType>JournalArticle</b:SourceType>
    <b:Guid>{6A27393C-F717-45DC-9E5E-E52E7E57A29B}</b:Guid>
    <b:Title>Investigating the Determinants of Inflation: A Panel Data Analysis</b:Title>
    <b:JournalName>International Journal of Financial Research</b:JournalName>
    <b:Year>2016</b:Year>
    <b:URL>http://dx.doi.org/10.5430/ijfr.v7n2p233</b:URL>
    <b:Author>
      <b:Author>
        <b:NameList>
          <b:Person>
            <b:Last>Deniz</b:Last>
            <b:First>Pınar</b:First>
          </b:Person>
          <b:Person>
            <b:Last>Yilmaz</b:Last>
            <b:First>Ahmet</b:First>
          </b:Person>
          <b:Person>
            <b:Last>Tekce</b:Last>
            <b:First>Mahmut</b:First>
          </b:Person>
        </b:NameList>
      </b:Author>
    </b:Author>
    <b:RefOrder>18</b:RefOrder>
  </b:Source>
  <b:Source>
    <b:Tag>Cot98</b:Tag>
    <b:SourceType>JournalArticle</b:SourceType>
    <b:Guid>{52B0999D-DE82-4A24-833B-D08FD28A79A8}</b:Guid>
    <b:Title>The Nonmonetary Determinants of Inflation: A Panel Data Study</b:Title>
    <b:JournalName>IMF Working Paper</b:JournalName>
    <b:Year>1998</b:Year>
    <b:Author>
      <b:Author>
        <b:NameList>
          <b:Person>
            <b:Last>Cottarelli</b:Last>
            <b:First>Carlo</b:First>
          </b:Person>
          <b:Person>
            <b:Last>Griffiths</b:Last>
            <b:First>Mark</b:First>
          </b:Person>
          <b:Person>
            <b:Last>Moghada</b:Last>
            <b:First>Reza</b:First>
          </b:Person>
        </b:NameList>
      </b:Author>
    </b:Author>
    <b:RefOrder>19</b:RefOrder>
  </b:Source>
  <b:Source>
    <b:Tag>Kas21</b:Tag>
    <b:SourceType>JournalArticle</b:SourceType>
    <b:Guid>{90321B7B-92EB-40BB-9A07-4FE429E561AA}</b:Guid>
    <b:Title> Review on socio-economic impacts of ‘Triple Threats’ of COVID-19, desert locusts, and floods in East Africa: Evidence from Ethiopia. .</b:Title>
    <b:JournalName>Cogent Social Sciences</b:JournalName>
    <b:Year>2021</b:Year>
    <b:Volume>7</b:Volume>
    <b:Issue>1</b:Issue>
    <b:DOI>DOI: 10.1080/23311886.2021.1885122</b:DOI>
    <b:Author>
      <b:Author>
        <b:NameList>
          <b:Person>
            <b:Last>Kassegn </b:Last>
            <b:First>A</b:First>
          </b:Person>
          <b:Person>
            <b:Last>Endris</b:Last>
            <b:First>E</b:First>
          </b:Person>
        </b:NameList>
      </b:Author>
    </b:Author>
    <b:RefOrder>20</b:RefOrder>
  </b:Source>
  <b:Source>
    <b:Tag>FEW20</b:Tag>
    <b:SourceType>Report</b:SourceType>
    <b:Guid>{89CAFD95-76E7-47D3-BA57-8A6B2E1A4C02}</b:Guid>
    <b:Title>Impacts of COVID-19 on crop and livestock production</b:Title>
    <b:Year>2020</b:Year>
    <b:Publisher>Global Special Report</b:Publisher>
    <b:Author>
      <b:Author>
        <b:NameList>
          <b:Person>
            <b:Last>NET</b:Last>
            <b:First>FEWS</b:First>
          </b:Person>
        </b:NameList>
      </b:Author>
    </b:Author>
    <b:RefOrder>21</b:RefOrder>
  </b:Source>
  <b:Source>
    <b:Tag>Bey20</b:Tag>
    <b:SourceType>JournalArticle</b:SourceType>
    <b:Guid>{E8BEB848-2E91-414C-8552-D52C8BFA848E}</b:Guid>
    <b:Title>The economy wide impact of the COVID-19 in Ethiopia: Ethiopian economic association: Policy and recovery options</b:Title>
    <b:Year>2020</b:Year>
    <b:Author>
      <b:Author>
        <b:NameList>
          <b:Person>
            <b:Last>Beyene</b:Last>
            <b:Middle>L</b:Middle>
            <b:First>M</b:First>
          </b:Person>
          <b:Person>
            <b:Last>Ferede</b:Last>
            <b:First>T</b:First>
          </b:Person>
          <b:Person>
            <b:Last>Diriba</b:Last>
            <b:First>G</b:First>
          </b:Person>
        </b:NameList>
      </b:Author>
    </b:Author>
    <b:PeriodicalTitle>policy working paper 03/2020.</b:PeriodicalTitle>
    <b:Month>July</b:Month>
    <b:JournalName>Ethiopian Economics Association, Policy Working Paper 03/2020</b:JournalName>
    <b:RefOrder>22</b:RefOrder>
  </b:Source>
  <b:Source>
    <b:Tag>FAO20</b:Tag>
    <b:SourceType>Report</b:SourceType>
    <b:Guid>{40C170BD-8990-488B-A20F-B38A41F8E7FF}</b:Guid>
    <b:Title>Burundi Revised humanitarian response(May–December 2020): Coronavirus disease 2019 (COVID-19)</b:Title>
    <b:Year>2020</b:Year>
    <b:Publisher>Food and Agricultural Organization</b:Publisher>
    <b:City>Rome</b:City>
    <b:Author>
      <b:Author>
        <b:NameList>
          <b:Person>
            <b:Last>FAO</b:Last>
          </b:Person>
        </b:NameList>
      </b:Author>
    </b:Author>
    <b:URL> https://doi.org/10.4060/cb0201en</b:URL>
    <b:RefOrder>23</b:RefOrder>
  </b:Source>
  <b:Source>
    <b:Tag>GAT20</b:Tag>
    <b:SourceType>Report</b:SourceType>
    <b:Guid>{60671CEB-7296-4B5F-AAAB-E46851D5A950}</b:Guid>
    <b:Title>Covid-19- The Situation in East Africa &amp; Our Response to Date.</b:Title>
    <b:Year>2020</b:Year>
    <b:Publisher>GATSBY AFRICA FOUNDATION</b:Publisher>
    <b:Author>
      <b:Author>
        <b:NameList>
          <b:Person>
            <b:Last>GATSBY Africa</b:Last>
          </b:Person>
        </b:NameList>
      </b:Author>
    </b:Author>
    <b:URL>Retrieved from: https://www.gatsby.org.uk/uploads/africa/reports/pdf/2020-covid-19-impact-and-response-gatsby-africa-kmt-msingi.pdf.</b:URL>
    <b:RefOrder>24</b:RefOrder>
  </b:Source>
  <b:Source>
    <b:Tag>Rah20</b:Tag>
    <b:SourceType>JournalArticle</b:SourceType>
    <b:Guid>{9D0087A5-0B58-487D-A239-78C590BA8B67}</b:Guid>
    <b:Title>Food security and the Coronavirus Disease 2019 (COVID-19): A systemic review.</b:Title>
    <b:Year>2020</b:Year>
    <b:JournalName>Journal Medical Science and Clinical Research </b:JournalName>
    <b:Pages>180–184</b:Pages>
    <b:Author>
      <b:Author>
        <b:NameList>
          <b:Person>
            <b:Last>Rahman</b:Last>
            <b:First>S.M.D</b:First>
          </b:Person>
          <b:Person>
            <b:Last>Mullick</b:Last>
            <b:Middle>A.</b:Middle>
            <b:First>R.</b:First>
          </b:Person>
          <b:Person>
            <b:Last>Hossain</b:Last>
            <b:First>I.</b:First>
          </b:Person>
        </b:NameList>
      </b:Author>
    </b:Author>
    <b:Volume>8</b:Volume>
    <b:Issue>5</b:Issue>
    <b:RefOrder>25</b:RefOrder>
  </b:Source>
  <b:Source>
    <b:Tag>AGR20</b:Tag>
    <b:SourceType>Report</b:SourceType>
    <b:Guid>{7D2994B2-4602-4FAC-B493-094470954CA0}</b:Guid>
    <b:Author>
      <b:Author>
        <b:NameList>
          <b:Person>
            <b:Last>AGRILINKS</b:Last>
          </b:Person>
        </b:NameList>
      </b:Author>
    </b:Author>
    <b:Title>Coronavirus and the Implications for Food Systems and Policy.</b:Title>
    <b:Year>2020</b:Year>
    <b:Publisher>AGRILINKS</b:Publisher>
    <b:RefOrder>26</b:RefOrder>
  </b:Source>
  <b:Source>
    <b:Tag>Wor20</b:Tag>
    <b:SourceType>Report</b:SourceType>
    <b:Guid>{05BDE673-2B3E-4FFE-ACB5-338FDCBF047C}</b:Guid>
    <b:Author>
      <b:Author>
        <b:NameList>
          <b:Person>
            <b:Last>World Bank</b:Last>
          </b:Person>
        </b:NameList>
      </b:Author>
    </b:Author>
    <b:Title>Global economic prospects, June 2020</b:Title>
    <b:Year>2020</b:Year>
    <b:Publisher>World Bank</b:Publisher>
    <b:City>Washington D.C.</b:City>
    <b:URL> https://doi.org/10.1596/978- 1-4648-1553-9</b:URL>
    <b:RefOrder>27</b:RefOrder>
  </b:Source>
  <b:Source>
    <b:Tag>Wor201</b:Tag>
    <b:SourceType>Report</b:SourceType>
    <b:Guid>{D33BBCA3-C953-466D-99DE-9D48114249EC}</b:Guid>
    <b:Author>
      <b:Author>
        <b:NameList>
          <b:Person>
            <b:Last>World Food Programme (WFP)</b:Last>
          </b:Person>
        </b:NameList>
      </b:Author>
    </b:Author>
    <b:Title>COVID-19 economic and food security implications in East Africa</b:Title>
    <b:Year>2020</b:Year>
    <b:Publisher>United Nation</b:Publisher>
    <b:URL>Retrieved from: https:// reliefweb.int/report/south-sudan/covid-19WFP</b:URL>
    <b:RefOrder>28</b:RefOrder>
  </b:Source>
</b:Sources>
</file>

<file path=customXml/itemProps1.xml><?xml version="1.0" encoding="utf-8"?>
<ds:datastoreItem xmlns:ds="http://schemas.openxmlformats.org/officeDocument/2006/customXml" ds:itemID="{84208F69-AEBA-4AF5-B84A-64237C74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30</Pages>
  <Words>8701</Words>
  <Characters>49601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492</cp:revision>
  <dcterms:created xsi:type="dcterms:W3CDTF">2021-08-31T09:03:00Z</dcterms:created>
  <dcterms:modified xsi:type="dcterms:W3CDTF">2022-07-11T10:59:00Z</dcterms:modified>
</cp:coreProperties>
</file>