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D7" w:rsidRDefault="00CC56D7" w:rsidP="00420A1E">
      <w:pPr>
        <w:keepNext/>
        <w:keepLines/>
        <w:suppressAutoHyphens/>
        <w:jc w:val="both"/>
        <w:rPr>
          <w:rFonts w:ascii="Times New Roman" w:hAnsi="Times New Roman" w:cs="Times New Roman"/>
          <w:b/>
        </w:rPr>
      </w:pPr>
    </w:p>
    <w:p w:rsidR="00833484" w:rsidRDefault="00833484" w:rsidP="00420A1E">
      <w:pPr>
        <w:keepNext/>
        <w:keepLines/>
        <w:suppressAutoHyphens/>
        <w:jc w:val="both"/>
        <w:rPr>
          <w:rFonts w:ascii="Times New Roman" w:hAnsi="Times New Roman" w:cs="Times New Roman"/>
          <w:b/>
        </w:rPr>
      </w:pPr>
    </w:p>
    <w:p w:rsidR="00833484" w:rsidRDefault="00833484" w:rsidP="00420A1E">
      <w:pPr>
        <w:keepNext/>
        <w:keepLines/>
        <w:suppressAutoHyphens/>
        <w:jc w:val="both"/>
        <w:rPr>
          <w:rFonts w:ascii="Times New Roman" w:hAnsi="Times New Roman" w:cs="Times New Roman"/>
          <w:b/>
        </w:rPr>
      </w:pPr>
    </w:p>
    <w:p w:rsidR="00833484" w:rsidRDefault="00833484" w:rsidP="00420A1E">
      <w:pPr>
        <w:keepNext/>
        <w:keepLines/>
        <w:suppressAutoHyphens/>
        <w:jc w:val="both"/>
        <w:rPr>
          <w:rFonts w:ascii="Times New Roman" w:hAnsi="Times New Roman" w:cs="Times New Roman"/>
          <w:b/>
        </w:rPr>
      </w:pPr>
    </w:p>
    <w:p w:rsidR="00833484" w:rsidRDefault="00833484" w:rsidP="00420A1E">
      <w:pPr>
        <w:keepNext/>
        <w:keepLines/>
        <w:suppressAutoHyphens/>
        <w:jc w:val="both"/>
        <w:rPr>
          <w:rFonts w:ascii="Times New Roman" w:hAnsi="Times New Roman" w:cs="Times New Roman"/>
          <w:b/>
        </w:rPr>
      </w:pPr>
    </w:p>
    <w:p w:rsidR="00833484" w:rsidRDefault="00833484" w:rsidP="00420A1E">
      <w:pPr>
        <w:keepNext/>
        <w:keepLines/>
        <w:suppressAutoHyphens/>
        <w:jc w:val="both"/>
        <w:rPr>
          <w:rFonts w:ascii="Times New Roman" w:hAnsi="Times New Roman" w:cs="Times New Roman"/>
          <w:b/>
        </w:rPr>
      </w:pPr>
    </w:p>
    <w:p w:rsidR="00833484" w:rsidRDefault="00833484" w:rsidP="00420A1E">
      <w:pPr>
        <w:keepNext/>
        <w:keepLines/>
        <w:suppressAutoHyphens/>
        <w:jc w:val="both"/>
        <w:rPr>
          <w:rFonts w:ascii="Times New Roman" w:hAnsi="Times New Roman" w:cs="Times New Roman"/>
          <w:b/>
        </w:rPr>
      </w:pPr>
    </w:p>
    <w:p w:rsidR="00833484" w:rsidRDefault="00833484" w:rsidP="00420A1E">
      <w:pPr>
        <w:keepNext/>
        <w:keepLines/>
        <w:suppressAutoHyphens/>
        <w:jc w:val="both"/>
        <w:rPr>
          <w:rFonts w:ascii="Times New Roman" w:hAnsi="Times New Roman" w:cs="Times New Roman"/>
          <w:b/>
        </w:rPr>
      </w:pPr>
    </w:p>
    <w:p w:rsidR="00833484" w:rsidRDefault="00833484" w:rsidP="00420A1E">
      <w:pPr>
        <w:keepNext/>
        <w:keepLines/>
        <w:suppressAutoHyphens/>
        <w:jc w:val="both"/>
        <w:rPr>
          <w:rFonts w:ascii="Times New Roman" w:hAnsi="Times New Roman" w:cs="Times New Roman"/>
          <w:b/>
        </w:rPr>
      </w:pPr>
    </w:p>
    <w:p w:rsidR="00833484" w:rsidRDefault="00833484" w:rsidP="00420A1E">
      <w:pPr>
        <w:keepNext/>
        <w:keepLines/>
        <w:suppressAutoHyphens/>
        <w:jc w:val="both"/>
        <w:rPr>
          <w:rFonts w:ascii="Times New Roman" w:hAnsi="Times New Roman" w:cs="Times New Roman"/>
          <w:b/>
        </w:rPr>
      </w:pPr>
    </w:p>
    <w:p w:rsidR="00833484" w:rsidRDefault="00833484" w:rsidP="00420A1E">
      <w:pPr>
        <w:keepNext/>
        <w:keepLines/>
        <w:suppressAutoHyphens/>
        <w:jc w:val="both"/>
        <w:rPr>
          <w:rFonts w:ascii="Times New Roman" w:hAnsi="Times New Roman" w:cs="Times New Roman"/>
          <w:b/>
        </w:rPr>
      </w:pPr>
    </w:p>
    <w:p w:rsidR="00833484" w:rsidRDefault="00833484" w:rsidP="00420A1E">
      <w:pPr>
        <w:keepNext/>
        <w:keepLines/>
        <w:suppressAutoHyphens/>
        <w:jc w:val="both"/>
        <w:rPr>
          <w:rFonts w:ascii="Times New Roman" w:hAnsi="Times New Roman" w:cs="Times New Roman"/>
          <w:b/>
        </w:rPr>
      </w:pPr>
    </w:p>
    <w:p w:rsidR="00833484" w:rsidRDefault="00833484" w:rsidP="00420A1E">
      <w:pPr>
        <w:keepNext/>
        <w:keepLines/>
        <w:suppressAutoHyphens/>
        <w:jc w:val="both"/>
        <w:rPr>
          <w:rFonts w:ascii="Times New Roman" w:hAnsi="Times New Roman" w:cs="Times New Roman"/>
          <w:b/>
        </w:rPr>
      </w:pPr>
    </w:p>
    <w:p w:rsidR="00833484" w:rsidRPr="00833484" w:rsidRDefault="00833484" w:rsidP="00420A1E">
      <w:pPr>
        <w:keepNext/>
        <w:keepLines/>
        <w:pBdr>
          <w:top w:val="single" w:sz="4" w:space="1" w:color="auto"/>
          <w:left w:val="single" w:sz="4" w:space="4" w:color="auto"/>
          <w:bottom w:val="single" w:sz="4" w:space="1" w:color="auto"/>
          <w:right w:val="single" w:sz="4" w:space="4" w:color="auto"/>
        </w:pBdr>
        <w:suppressAutoHyphens/>
        <w:jc w:val="center"/>
        <w:rPr>
          <w:rFonts w:ascii="Times New Roman" w:hAnsi="Times New Roman" w:cs="Times New Roman"/>
          <w:b/>
          <w:sz w:val="36"/>
        </w:rPr>
      </w:pPr>
      <w:r w:rsidRPr="00833484">
        <w:rPr>
          <w:rFonts w:ascii="Times New Roman" w:hAnsi="Times New Roman" w:cs="Times New Roman"/>
          <w:b/>
          <w:sz w:val="36"/>
        </w:rPr>
        <w:t>Le Mali doit-il rester dans la Zone franc ?</w:t>
      </w:r>
    </w:p>
    <w:p w:rsidR="00DD5CA1" w:rsidRPr="00833484" w:rsidRDefault="00DD5CA1" w:rsidP="00420A1E">
      <w:pPr>
        <w:keepNext/>
        <w:keepLines/>
        <w:suppressAutoHyphens/>
        <w:spacing w:after="0"/>
        <w:jc w:val="center"/>
        <w:rPr>
          <w:rFonts w:ascii="Times New Roman" w:hAnsi="Times New Roman" w:cs="Times New Roman"/>
          <w:b/>
          <w:sz w:val="26"/>
          <w:szCs w:val="26"/>
        </w:rPr>
      </w:pPr>
      <w:r>
        <w:rPr>
          <w:rFonts w:ascii="Times New Roman" w:hAnsi="Times New Roman" w:cs="Times New Roman"/>
          <w:b/>
          <w:sz w:val="26"/>
          <w:szCs w:val="26"/>
        </w:rPr>
        <w:t xml:space="preserve">Par : M. </w:t>
      </w:r>
      <w:r w:rsidRPr="00833484">
        <w:rPr>
          <w:rFonts w:ascii="Times New Roman" w:hAnsi="Times New Roman" w:cs="Times New Roman"/>
          <w:b/>
          <w:sz w:val="26"/>
          <w:szCs w:val="26"/>
        </w:rPr>
        <w:t>Tidiani SIDIBE</w:t>
      </w:r>
    </w:p>
    <w:p w:rsidR="00DD5CA1" w:rsidRPr="00833484" w:rsidRDefault="00DD5CA1" w:rsidP="00420A1E">
      <w:pPr>
        <w:keepNext/>
        <w:keepLines/>
        <w:tabs>
          <w:tab w:val="left" w:pos="5978"/>
        </w:tabs>
        <w:suppressAutoHyphens/>
        <w:spacing w:after="0" w:line="240" w:lineRule="auto"/>
        <w:jc w:val="center"/>
        <w:rPr>
          <w:rFonts w:ascii="Times New Roman" w:hAnsi="Times New Roman" w:cs="Times New Roman"/>
          <w:sz w:val="26"/>
          <w:szCs w:val="26"/>
        </w:rPr>
      </w:pPr>
      <w:r w:rsidRPr="00833484">
        <w:rPr>
          <w:rFonts w:ascii="Times New Roman" w:hAnsi="Times New Roman" w:cs="Times New Roman"/>
          <w:sz w:val="26"/>
          <w:szCs w:val="26"/>
        </w:rPr>
        <w:t>Diplômé de Paris-DAUPHINE &amp; Panthéon-SORBONNE PARIS 1</w:t>
      </w:r>
    </w:p>
    <w:p w:rsidR="00DD5CA1" w:rsidRPr="00833484" w:rsidRDefault="00DD5CA1" w:rsidP="00420A1E">
      <w:pPr>
        <w:keepNext/>
        <w:keepLines/>
        <w:tabs>
          <w:tab w:val="left" w:pos="5978"/>
        </w:tabs>
        <w:suppressAutoHyphens/>
        <w:spacing w:after="0" w:line="240" w:lineRule="auto"/>
        <w:jc w:val="center"/>
        <w:rPr>
          <w:rFonts w:ascii="Times New Roman" w:hAnsi="Times New Roman" w:cs="Times New Roman"/>
          <w:sz w:val="26"/>
          <w:szCs w:val="26"/>
        </w:rPr>
      </w:pPr>
      <w:r w:rsidRPr="00833484">
        <w:rPr>
          <w:rFonts w:ascii="Times New Roman" w:hAnsi="Times New Roman" w:cs="Times New Roman"/>
          <w:sz w:val="26"/>
          <w:szCs w:val="26"/>
        </w:rPr>
        <w:t>(Monnaie, Finance, Banque)</w:t>
      </w:r>
    </w:p>
    <w:p w:rsidR="00DD5CA1" w:rsidRPr="00833484" w:rsidRDefault="00DD5CA1" w:rsidP="00420A1E">
      <w:pPr>
        <w:keepNext/>
        <w:keepLines/>
        <w:tabs>
          <w:tab w:val="left" w:pos="5978"/>
        </w:tabs>
        <w:suppressAutoHyphens/>
        <w:spacing w:after="0" w:line="240" w:lineRule="auto"/>
        <w:jc w:val="center"/>
        <w:rPr>
          <w:rFonts w:ascii="Times New Roman" w:hAnsi="Times New Roman" w:cs="Times New Roman"/>
          <w:sz w:val="26"/>
          <w:szCs w:val="26"/>
        </w:rPr>
      </w:pPr>
      <w:r w:rsidRPr="00833484">
        <w:rPr>
          <w:rFonts w:ascii="Times New Roman" w:hAnsi="Times New Roman" w:cs="Times New Roman"/>
          <w:sz w:val="26"/>
          <w:szCs w:val="26"/>
        </w:rPr>
        <w:t>Cadre-dirigeant de banque</w:t>
      </w:r>
    </w:p>
    <w:p w:rsidR="00DD5CA1" w:rsidRPr="00833484" w:rsidRDefault="00DD5CA1" w:rsidP="00420A1E">
      <w:pPr>
        <w:keepNext/>
        <w:keepLines/>
        <w:tabs>
          <w:tab w:val="left" w:pos="5978"/>
        </w:tabs>
        <w:suppressAutoHyphens/>
        <w:spacing w:after="0" w:line="240" w:lineRule="auto"/>
        <w:jc w:val="center"/>
        <w:rPr>
          <w:rFonts w:ascii="Times New Roman" w:hAnsi="Times New Roman" w:cs="Times New Roman"/>
          <w:sz w:val="26"/>
          <w:szCs w:val="26"/>
        </w:rPr>
      </w:pPr>
      <w:r w:rsidRPr="00833484">
        <w:rPr>
          <w:rFonts w:ascii="Times New Roman" w:hAnsi="Times New Roman" w:cs="Times New Roman"/>
          <w:sz w:val="26"/>
          <w:szCs w:val="26"/>
        </w:rPr>
        <w:t>tidianisidibe@yahoo.fr</w:t>
      </w:r>
    </w:p>
    <w:p w:rsidR="00833484" w:rsidRDefault="00833484" w:rsidP="00420A1E">
      <w:pPr>
        <w:keepNext/>
        <w:keepLines/>
        <w:suppressAutoHyphens/>
        <w:jc w:val="both"/>
        <w:rPr>
          <w:rFonts w:ascii="Times New Roman" w:hAnsi="Times New Roman" w:cs="Times New Roman"/>
          <w:b/>
        </w:rPr>
      </w:pPr>
    </w:p>
    <w:p w:rsidR="00833484" w:rsidRDefault="00833484" w:rsidP="00420A1E">
      <w:pPr>
        <w:keepNext/>
        <w:keepLines/>
        <w:suppressAutoHyphens/>
        <w:jc w:val="both"/>
        <w:rPr>
          <w:rFonts w:ascii="Times New Roman" w:hAnsi="Times New Roman" w:cs="Times New Roman"/>
          <w:b/>
        </w:rPr>
      </w:pPr>
    </w:p>
    <w:p w:rsidR="00833484" w:rsidRDefault="00833484" w:rsidP="00420A1E">
      <w:pPr>
        <w:keepNext/>
        <w:keepLines/>
        <w:suppressAutoHyphens/>
        <w:jc w:val="both"/>
        <w:rPr>
          <w:rFonts w:ascii="Times New Roman" w:hAnsi="Times New Roman" w:cs="Times New Roman"/>
          <w:b/>
        </w:rPr>
      </w:pPr>
    </w:p>
    <w:p w:rsidR="00833484" w:rsidRDefault="00833484" w:rsidP="00420A1E">
      <w:pPr>
        <w:keepNext/>
        <w:keepLines/>
        <w:suppressAutoHyphens/>
        <w:jc w:val="both"/>
        <w:rPr>
          <w:rFonts w:ascii="Times New Roman" w:hAnsi="Times New Roman" w:cs="Times New Roman"/>
          <w:b/>
        </w:rPr>
      </w:pPr>
    </w:p>
    <w:p w:rsidR="00833484" w:rsidRDefault="00833484" w:rsidP="00420A1E">
      <w:pPr>
        <w:keepNext/>
        <w:keepLines/>
        <w:suppressAutoHyphens/>
        <w:jc w:val="both"/>
        <w:rPr>
          <w:rFonts w:ascii="Times New Roman" w:hAnsi="Times New Roman" w:cs="Times New Roman"/>
          <w:b/>
        </w:rPr>
      </w:pPr>
    </w:p>
    <w:p w:rsidR="00833484" w:rsidRDefault="00833484" w:rsidP="00420A1E">
      <w:pPr>
        <w:keepNext/>
        <w:keepLines/>
        <w:suppressAutoHyphens/>
        <w:jc w:val="both"/>
        <w:rPr>
          <w:rFonts w:ascii="Times New Roman" w:hAnsi="Times New Roman" w:cs="Times New Roman"/>
          <w:b/>
        </w:rPr>
      </w:pPr>
    </w:p>
    <w:p w:rsidR="00833484" w:rsidRDefault="00833484" w:rsidP="00420A1E">
      <w:pPr>
        <w:keepNext/>
        <w:keepLines/>
        <w:suppressAutoHyphens/>
        <w:jc w:val="both"/>
        <w:rPr>
          <w:rFonts w:ascii="Times New Roman" w:hAnsi="Times New Roman" w:cs="Times New Roman"/>
          <w:b/>
        </w:rPr>
      </w:pPr>
    </w:p>
    <w:p w:rsidR="00833484" w:rsidRDefault="00833484" w:rsidP="00420A1E">
      <w:pPr>
        <w:keepNext/>
        <w:keepLines/>
        <w:suppressAutoHyphens/>
        <w:jc w:val="both"/>
        <w:rPr>
          <w:rFonts w:ascii="Times New Roman" w:hAnsi="Times New Roman" w:cs="Times New Roman"/>
          <w:b/>
        </w:rPr>
      </w:pPr>
    </w:p>
    <w:p w:rsidR="00833484" w:rsidRDefault="00833484" w:rsidP="00420A1E">
      <w:pPr>
        <w:keepNext/>
        <w:keepLines/>
        <w:suppressAutoHyphens/>
        <w:jc w:val="both"/>
        <w:rPr>
          <w:rFonts w:ascii="Times New Roman" w:hAnsi="Times New Roman" w:cs="Times New Roman"/>
          <w:b/>
        </w:rPr>
      </w:pPr>
    </w:p>
    <w:p w:rsidR="00833484" w:rsidRDefault="00833484" w:rsidP="00420A1E">
      <w:pPr>
        <w:keepNext/>
        <w:keepLines/>
        <w:suppressAutoHyphens/>
        <w:jc w:val="both"/>
        <w:rPr>
          <w:rFonts w:ascii="Times New Roman" w:hAnsi="Times New Roman" w:cs="Times New Roman"/>
          <w:b/>
        </w:rPr>
      </w:pPr>
    </w:p>
    <w:p w:rsidR="00833484" w:rsidRDefault="00833484" w:rsidP="00420A1E">
      <w:pPr>
        <w:keepNext/>
        <w:keepLines/>
        <w:suppressAutoHyphens/>
        <w:jc w:val="both"/>
        <w:rPr>
          <w:rFonts w:ascii="Times New Roman" w:hAnsi="Times New Roman" w:cs="Times New Roman"/>
          <w:b/>
        </w:rPr>
      </w:pPr>
    </w:p>
    <w:p w:rsidR="00CC56D7" w:rsidRPr="00833484" w:rsidRDefault="00CC56D7" w:rsidP="00420A1E">
      <w:pPr>
        <w:keepNext/>
        <w:keepLines/>
        <w:suppressAutoHyphens/>
        <w:jc w:val="both"/>
        <w:rPr>
          <w:rFonts w:ascii="Times New Roman" w:hAnsi="Times New Roman" w:cs="Times New Roman"/>
          <w:b/>
          <w:sz w:val="26"/>
          <w:szCs w:val="26"/>
        </w:rPr>
      </w:pPr>
      <w:r w:rsidRPr="00833484">
        <w:rPr>
          <w:rFonts w:ascii="Times New Roman" w:hAnsi="Times New Roman" w:cs="Times New Roman"/>
          <w:b/>
          <w:sz w:val="26"/>
          <w:szCs w:val="26"/>
        </w:rPr>
        <w:lastRenderedPageBreak/>
        <w:t>Abstract (Résumé) :</w:t>
      </w:r>
    </w:p>
    <w:p w:rsidR="00CC56D7" w:rsidRPr="00833484" w:rsidRDefault="00CC56D7"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sz w:val="26"/>
          <w:szCs w:val="26"/>
        </w:rPr>
        <w:t xml:space="preserve">Le débat sur la pertinence des accords de coopération monétaire avec la France a été remis en selle par l’ancien Premier Ministre malien Moussa MARA le 23 juillet 2015 lors d’une émission radio ; et par le Président tchadien Idriss </w:t>
      </w:r>
      <w:proofErr w:type="spellStart"/>
      <w:r w:rsidRPr="00833484">
        <w:rPr>
          <w:rFonts w:ascii="Times New Roman" w:hAnsi="Times New Roman" w:cs="Times New Roman"/>
          <w:sz w:val="26"/>
          <w:szCs w:val="26"/>
        </w:rPr>
        <w:t>Déby</w:t>
      </w:r>
      <w:proofErr w:type="spellEnd"/>
      <w:r w:rsidRPr="00833484">
        <w:rPr>
          <w:rFonts w:ascii="Times New Roman" w:hAnsi="Times New Roman" w:cs="Times New Roman"/>
          <w:sz w:val="26"/>
          <w:szCs w:val="26"/>
        </w:rPr>
        <w:t xml:space="preserve"> ITNO lors du 55</w:t>
      </w:r>
      <w:r w:rsidRPr="00833484">
        <w:rPr>
          <w:rFonts w:ascii="Times New Roman" w:hAnsi="Times New Roman" w:cs="Times New Roman"/>
          <w:sz w:val="26"/>
          <w:szCs w:val="26"/>
          <w:vertAlign w:val="superscript"/>
        </w:rPr>
        <w:t>ème</w:t>
      </w:r>
      <w:r w:rsidRPr="00833484">
        <w:rPr>
          <w:rFonts w:ascii="Times New Roman" w:hAnsi="Times New Roman" w:cs="Times New Roman"/>
          <w:sz w:val="26"/>
          <w:szCs w:val="26"/>
        </w:rPr>
        <w:t xml:space="preserve"> anniversaire de son pays le mardi 11 Août 2015. Ce dernier jeta un gros pavé dans la mare de la Zone franc en arguant que cette monnaie ne nous permet de se développer. Aussi, certaines critiques acerbes, considèrent que le franc CFA, arrimé à un euro fort, freine la compétitivité de nos exportations de matières premières, cotées en dollars ou livres sterling sur les principales places financières New York, Londres.</w:t>
      </w:r>
    </w:p>
    <w:p w:rsidR="00CC56D7" w:rsidRPr="00833484" w:rsidRDefault="00CC56D7"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sz w:val="26"/>
          <w:szCs w:val="26"/>
        </w:rPr>
        <w:t>Le présent article démontre le contraire en mettant en relief les arguments de stabilité et de crédibilité dont bénéficie le franc CFA.</w:t>
      </w:r>
      <w:r w:rsidR="00211B8B" w:rsidRPr="00833484">
        <w:rPr>
          <w:rFonts w:ascii="Times New Roman" w:hAnsi="Times New Roman" w:cs="Times New Roman"/>
          <w:sz w:val="26"/>
          <w:szCs w:val="26"/>
        </w:rPr>
        <w:t xml:space="preserve"> En effet,</w:t>
      </w:r>
      <w:r w:rsidRPr="00833484">
        <w:rPr>
          <w:rFonts w:ascii="Times New Roman" w:hAnsi="Times New Roman" w:cs="Times New Roman"/>
          <w:sz w:val="26"/>
          <w:szCs w:val="26"/>
        </w:rPr>
        <w:t xml:space="preserve"> Le </w:t>
      </w:r>
      <w:r w:rsidR="00814342" w:rsidRPr="00833484">
        <w:rPr>
          <w:rFonts w:ascii="Times New Roman" w:hAnsi="Times New Roman" w:cs="Times New Roman"/>
          <w:sz w:val="26"/>
          <w:szCs w:val="26"/>
        </w:rPr>
        <w:t xml:space="preserve">taux de change effectif réel (TCER) du </w:t>
      </w:r>
      <w:r w:rsidRPr="00833484">
        <w:rPr>
          <w:rFonts w:ascii="Times New Roman" w:hAnsi="Times New Roman" w:cs="Times New Roman"/>
          <w:sz w:val="26"/>
          <w:szCs w:val="26"/>
        </w:rPr>
        <w:t>franc CFA</w:t>
      </w:r>
      <w:r w:rsidR="00814342" w:rsidRPr="00833484">
        <w:rPr>
          <w:rFonts w:ascii="Times New Roman" w:hAnsi="Times New Roman" w:cs="Times New Roman"/>
          <w:sz w:val="26"/>
          <w:szCs w:val="26"/>
        </w:rPr>
        <w:t xml:space="preserve"> jouie d’un bon niveau de parité par rapport aux partenaires commerciaux, ce qui veut dire que le franc CFA n’est ni sous-évalué, ni surévalue. </w:t>
      </w:r>
      <w:r w:rsidR="00211B8B" w:rsidRPr="00833484">
        <w:rPr>
          <w:rFonts w:ascii="Times New Roman" w:hAnsi="Times New Roman" w:cs="Times New Roman"/>
          <w:sz w:val="26"/>
          <w:szCs w:val="26"/>
        </w:rPr>
        <w:t xml:space="preserve">Les pays membres gagnent en compétitivité. </w:t>
      </w:r>
      <w:r w:rsidR="00814342" w:rsidRPr="00833484">
        <w:rPr>
          <w:rFonts w:ascii="Times New Roman" w:hAnsi="Times New Roman" w:cs="Times New Roman"/>
          <w:sz w:val="26"/>
          <w:szCs w:val="26"/>
        </w:rPr>
        <w:t>Les réserves de change des banques centrales (BCEAO et BEAC) représentaient, à fin décembre 2014, seulement 4,9 mois d’importation. La coopération monétaire avec la France n’est pas un jeu à somme nulle, c’est un partenariat gagnant-gagnant.</w:t>
      </w:r>
      <w:r w:rsidR="00211B8B" w:rsidRPr="00833484">
        <w:rPr>
          <w:rFonts w:ascii="Times New Roman" w:hAnsi="Times New Roman" w:cs="Times New Roman"/>
          <w:sz w:val="26"/>
          <w:szCs w:val="26"/>
        </w:rPr>
        <w:t xml:space="preserve"> La priorité doit être donnée à la convergence macroéconomique.</w:t>
      </w:r>
    </w:p>
    <w:p w:rsidR="00CC56D7" w:rsidRPr="00833484" w:rsidRDefault="00CC56D7" w:rsidP="00420A1E">
      <w:pPr>
        <w:keepNext/>
        <w:keepLines/>
        <w:suppressAutoHyphens/>
        <w:jc w:val="both"/>
        <w:rPr>
          <w:rFonts w:ascii="Times New Roman" w:hAnsi="Times New Roman" w:cs="Times New Roman"/>
          <w:b/>
          <w:sz w:val="26"/>
          <w:szCs w:val="26"/>
        </w:rPr>
      </w:pPr>
    </w:p>
    <w:p w:rsidR="00CC56D7" w:rsidRPr="00833484" w:rsidRDefault="00CC56D7" w:rsidP="00420A1E">
      <w:pPr>
        <w:keepNext/>
        <w:keepLines/>
        <w:suppressAutoHyphens/>
        <w:jc w:val="both"/>
        <w:rPr>
          <w:rFonts w:ascii="Times New Roman" w:hAnsi="Times New Roman" w:cs="Times New Roman"/>
          <w:b/>
          <w:sz w:val="26"/>
          <w:szCs w:val="26"/>
        </w:rPr>
      </w:pPr>
      <w:proofErr w:type="spellStart"/>
      <w:r w:rsidRPr="00833484">
        <w:rPr>
          <w:rFonts w:ascii="Times New Roman" w:hAnsi="Times New Roman" w:cs="Times New Roman"/>
          <w:b/>
          <w:sz w:val="26"/>
          <w:szCs w:val="26"/>
        </w:rPr>
        <w:t>Keys</w:t>
      </w:r>
      <w:proofErr w:type="spellEnd"/>
      <w:r w:rsidRPr="00833484">
        <w:rPr>
          <w:rFonts w:ascii="Times New Roman" w:hAnsi="Times New Roman" w:cs="Times New Roman"/>
          <w:b/>
          <w:sz w:val="26"/>
          <w:szCs w:val="26"/>
        </w:rPr>
        <w:t xml:space="preserve"> </w:t>
      </w:r>
      <w:proofErr w:type="spellStart"/>
      <w:r w:rsidRPr="00833484">
        <w:rPr>
          <w:rFonts w:ascii="Times New Roman" w:hAnsi="Times New Roman" w:cs="Times New Roman"/>
          <w:b/>
          <w:sz w:val="26"/>
          <w:szCs w:val="26"/>
        </w:rPr>
        <w:t>words</w:t>
      </w:r>
      <w:proofErr w:type="spellEnd"/>
      <w:r w:rsidRPr="00833484">
        <w:rPr>
          <w:rFonts w:ascii="Times New Roman" w:hAnsi="Times New Roman" w:cs="Times New Roman"/>
          <w:b/>
          <w:sz w:val="26"/>
          <w:szCs w:val="26"/>
        </w:rPr>
        <w:t xml:space="preserve"> (Mots clé) : </w:t>
      </w:r>
    </w:p>
    <w:p w:rsidR="00CC56D7" w:rsidRPr="00833484" w:rsidRDefault="00CC56D7" w:rsidP="00420A1E">
      <w:pPr>
        <w:keepNext/>
        <w:keepLines/>
        <w:suppressAutoHyphens/>
        <w:jc w:val="both"/>
        <w:rPr>
          <w:rFonts w:ascii="Times New Roman" w:hAnsi="Times New Roman" w:cs="Times New Roman"/>
          <w:sz w:val="26"/>
          <w:szCs w:val="26"/>
        </w:rPr>
      </w:pPr>
      <w:r w:rsidRPr="00833484">
        <w:rPr>
          <w:rFonts w:ascii="Times New Roman" w:hAnsi="Times New Roman" w:cs="Times New Roman"/>
          <w:sz w:val="26"/>
          <w:szCs w:val="26"/>
        </w:rPr>
        <w:t xml:space="preserve">Zone franc, banque centrale, monnaie, maturité monétaire, réserves de change, </w:t>
      </w:r>
      <w:r w:rsidR="00E96247" w:rsidRPr="00833484">
        <w:rPr>
          <w:rFonts w:ascii="Times New Roman" w:hAnsi="Times New Roman" w:cs="Times New Roman"/>
          <w:sz w:val="26"/>
          <w:szCs w:val="26"/>
        </w:rPr>
        <w:t xml:space="preserve">Taux de change effectif réel (TCER), </w:t>
      </w:r>
      <w:r w:rsidRPr="00833484">
        <w:rPr>
          <w:rFonts w:ascii="Times New Roman" w:hAnsi="Times New Roman" w:cs="Times New Roman"/>
          <w:sz w:val="26"/>
          <w:szCs w:val="26"/>
        </w:rPr>
        <w:t>parité</w:t>
      </w:r>
      <w:r w:rsidR="00E96247" w:rsidRPr="00833484">
        <w:rPr>
          <w:rFonts w:ascii="Times New Roman" w:hAnsi="Times New Roman" w:cs="Times New Roman"/>
          <w:sz w:val="26"/>
          <w:szCs w:val="26"/>
        </w:rPr>
        <w:t xml:space="preserve"> de change</w:t>
      </w:r>
      <w:r w:rsidRPr="00833484">
        <w:rPr>
          <w:rFonts w:ascii="Times New Roman" w:hAnsi="Times New Roman" w:cs="Times New Roman"/>
          <w:sz w:val="26"/>
          <w:szCs w:val="26"/>
        </w:rPr>
        <w:t xml:space="preserve">, garantie de convertibilité illimitée, </w:t>
      </w:r>
      <w:r w:rsidR="00E96247" w:rsidRPr="00833484">
        <w:rPr>
          <w:rFonts w:ascii="Times New Roman" w:hAnsi="Times New Roman" w:cs="Times New Roman"/>
          <w:sz w:val="26"/>
          <w:szCs w:val="26"/>
        </w:rPr>
        <w:t>comptes d’opérations, dévaluation, politique monétaire, coût d’opportunité, monnaie commune CEDEAO.</w:t>
      </w:r>
    </w:p>
    <w:p w:rsidR="00CC56D7" w:rsidRPr="00833484" w:rsidRDefault="00CC56D7" w:rsidP="00420A1E">
      <w:pPr>
        <w:keepNext/>
        <w:keepLines/>
        <w:suppressAutoHyphens/>
        <w:jc w:val="center"/>
        <w:rPr>
          <w:rFonts w:ascii="Times New Roman" w:hAnsi="Times New Roman" w:cs="Times New Roman"/>
          <w:b/>
          <w:sz w:val="26"/>
          <w:szCs w:val="26"/>
        </w:rPr>
      </w:pPr>
    </w:p>
    <w:p w:rsidR="00CC56D7" w:rsidRPr="00833484" w:rsidRDefault="00CC56D7" w:rsidP="00420A1E">
      <w:pPr>
        <w:keepNext/>
        <w:keepLines/>
        <w:suppressAutoHyphens/>
        <w:jc w:val="center"/>
        <w:rPr>
          <w:rFonts w:ascii="Times New Roman" w:hAnsi="Times New Roman" w:cs="Times New Roman"/>
          <w:b/>
          <w:sz w:val="26"/>
          <w:szCs w:val="26"/>
        </w:rPr>
      </w:pPr>
    </w:p>
    <w:p w:rsidR="00CC56D7" w:rsidRPr="00833484" w:rsidRDefault="00CC56D7" w:rsidP="00420A1E">
      <w:pPr>
        <w:keepNext/>
        <w:keepLines/>
        <w:suppressAutoHyphens/>
        <w:jc w:val="center"/>
        <w:rPr>
          <w:rFonts w:ascii="Times New Roman" w:hAnsi="Times New Roman" w:cs="Times New Roman"/>
          <w:b/>
          <w:sz w:val="26"/>
          <w:szCs w:val="26"/>
        </w:rPr>
      </w:pPr>
    </w:p>
    <w:p w:rsidR="00CC56D7" w:rsidRPr="00833484" w:rsidRDefault="00CC56D7" w:rsidP="00420A1E">
      <w:pPr>
        <w:keepNext/>
        <w:keepLines/>
        <w:suppressAutoHyphens/>
        <w:jc w:val="center"/>
        <w:rPr>
          <w:rFonts w:ascii="Times New Roman" w:hAnsi="Times New Roman" w:cs="Times New Roman"/>
          <w:b/>
          <w:sz w:val="26"/>
          <w:szCs w:val="26"/>
        </w:rPr>
      </w:pPr>
    </w:p>
    <w:p w:rsidR="00CC56D7" w:rsidRPr="00833484" w:rsidRDefault="00CC56D7" w:rsidP="00420A1E">
      <w:pPr>
        <w:keepNext/>
        <w:keepLines/>
        <w:suppressAutoHyphens/>
        <w:jc w:val="center"/>
        <w:rPr>
          <w:rFonts w:ascii="Times New Roman" w:hAnsi="Times New Roman" w:cs="Times New Roman"/>
          <w:b/>
          <w:sz w:val="26"/>
          <w:szCs w:val="26"/>
        </w:rPr>
      </w:pPr>
    </w:p>
    <w:p w:rsidR="00CC56D7" w:rsidRDefault="00CC56D7" w:rsidP="00420A1E">
      <w:pPr>
        <w:keepNext/>
        <w:keepLines/>
        <w:suppressAutoHyphens/>
        <w:jc w:val="center"/>
        <w:rPr>
          <w:rFonts w:ascii="Times New Roman" w:hAnsi="Times New Roman" w:cs="Times New Roman"/>
          <w:b/>
          <w:sz w:val="26"/>
          <w:szCs w:val="26"/>
        </w:rPr>
      </w:pPr>
    </w:p>
    <w:p w:rsidR="005351E2" w:rsidRDefault="005351E2" w:rsidP="00420A1E">
      <w:pPr>
        <w:keepNext/>
        <w:keepLines/>
        <w:suppressAutoHyphens/>
        <w:jc w:val="center"/>
        <w:rPr>
          <w:rFonts w:ascii="Times New Roman" w:hAnsi="Times New Roman" w:cs="Times New Roman"/>
          <w:b/>
          <w:sz w:val="26"/>
          <w:szCs w:val="26"/>
        </w:rPr>
      </w:pPr>
    </w:p>
    <w:p w:rsidR="005351E2" w:rsidRDefault="005351E2" w:rsidP="00420A1E">
      <w:pPr>
        <w:keepNext/>
        <w:keepLines/>
        <w:suppressAutoHyphens/>
        <w:jc w:val="center"/>
        <w:rPr>
          <w:rFonts w:ascii="Times New Roman" w:hAnsi="Times New Roman" w:cs="Times New Roman"/>
          <w:b/>
          <w:sz w:val="26"/>
          <w:szCs w:val="26"/>
        </w:rPr>
      </w:pPr>
    </w:p>
    <w:sdt>
      <w:sdtPr>
        <w:rPr>
          <w:rFonts w:ascii="Times New Roman" w:eastAsiaTheme="minorHAnsi" w:hAnsi="Times New Roman" w:cs="Times New Roman"/>
          <w:b w:val="0"/>
          <w:bCs w:val="0"/>
          <w:color w:val="auto"/>
          <w:sz w:val="36"/>
          <w:szCs w:val="26"/>
          <w:u w:val="single"/>
          <w:lang w:eastAsia="en-US"/>
        </w:rPr>
        <w:id w:val="-876388103"/>
        <w:docPartObj>
          <w:docPartGallery w:val="Table of Contents"/>
          <w:docPartUnique/>
        </w:docPartObj>
      </w:sdtPr>
      <w:sdtEndPr>
        <w:rPr>
          <w:rFonts w:asciiTheme="minorHAnsi" w:hAnsiTheme="minorHAnsi" w:cstheme="minorBidi"/>
          <w:sz w:val="22"/>
          <w:szCs w:val="22"/>
          <w:u w:val="none"/>
        </w:rPr>
      </w:sdtEndPr>
      <w:sdtContent>
        <w:p w:rsidR="005351E2" w:rsidRPr="005351E2" w:rsidRDefault="005351E2" w:rsidP="00420A1E">
          <w:pPr>
            <w:pStyle w:val="En-ttedetabledesmatires"/>
            <w:suppressAutoHyphens/>
            <w:jc w:val="center"/>
            <w:rPr>
              <w:rFonts w:ascii="Times New Roman" w:hAnsi="Times New Roman" w:cs="Times New Roman"/>
              <w:color w:val="auto"/>
              <w:sz w:val="36"/>
              <w:szCs w:val="26"/>
              <w:u w:val="single"/>
            </w:rPr>
          </w:pPr>
          <w:r w:rsidRPr="005351E2">
            <w:rPr>
              <w:rFonts w:ascii="Times New Roman" w:hAnsi="Times New Roman" w:cs="Times New Roman"/>
              <w:color w:val="auto"/>
              <w:sz w:val="36"/>
              <w:szCs w:val="26"/>
              <w:u w:val="single"/>
            </w:rPr>
            <w:t>Table des matières</w:t>
          </w:r>
        </w:p>
        <w:p w:rsidR="0084618D" w:rsidRPr="0084618D" w:rsidRDefault="005351E2" w:rsidP="00420A1E">
          <w:pPr>
            <w:pStyle w:val="TM1"/>
            <w:keepNext/>
            <w:keepLines/>
            <w:tabs>
              <w:tab w:val="left" w:pos="440"/>
              <w:tab w:val="right" w:leader="dot" w:pos="9062"/>
            </w:tabs>
            <w:suppressAutoHyphens/>
            <w:rPr>
              <w:rFonts w:asciiTheme="majorHAnsi" w:eastAsiaTheme="minorEastAsia" w:hAnsiTheme="majorHAnsi" w:cstheme="minorHAnsi"/>
              <w:noProof/>
              <w:sz w:val="28"/>
              <w:szCs w:val="28"/>
              <w:lang w:eastAsia="fr-FR"/>
            </w:rPr>
          </w:pPr>
          <w:r w:rsidRPr="0084618D">
            <w:rPr>
              <w:rFonts w:asciiTheme="majorHAnsi" w:hAnsiTheme="majorHAnsi" w:cstheme="minorHAnsi"/>
              <w:sz w:val="28"/>
              <w:szCs w:val="28"/>
            </w:rPr>
            <w:fldChar w:fldCharType="begin"/>
          </w:r>
          <w:r w:rsidRPr="0084618D">
            <w:rPr>
              <w:rFonts w:asciiTheme="majorHAnsi" w:hAnsiTheme="majorHAnsi" w:cstheme="minorHAnsi"/>
              <w:sz w:val="28"/>
              <w:szCs w:val="28"/>
            </w:rPr>
            <w:instrText xml:space="preserve"> TOC \o "1-3" \h \z \u </w:instrText>
          </w:r>
          <w:r w:rsidRPr="0084618D">
            <w:rPr>
              <w:rFonts w:asciiTheme="majorHAnsi" w:hAnsiTheme="majorHAnsi" w:cstheme="minorHAnsi"/>
              <w:sz w:val="28"/>
              <w:szCs w:val="28"/>
            </w:rPr>
            <w:fldChar w:fldCharType="separate"/>
          </w:r>
          <w:hyperlink w:anchor="_Toc428947861" w:history="1">
            <w:r w:rsidR="0084618D" w:rsidRPr="0084618D">
              <w:rPr>
                <w:rStyle w:val="Lienhypertexte"/>
                <w:rFonts w:asciiTheme="majorHAnsi" w:hAnsiTheme="majorHAnsi" w:cstheme="minorHAnsi"/>
                <w:noProof/>
                <w:sz w:val="28"/>
                <w:szCs w:val="28"/>
              </w:rPr>
              <w:t>A.</w:t>
            </w:r>
            <w:r w:rsidR="0084618D" w:rsidRPr="0084618D">
              <w:rPr>
                <w:rFonts w:asciiTheme="majorHAnsi" w:eastAsiaTheme="minorEastAsia" w:hAnsiTheme="majorHAnsi" w:cstheme="minorHAnsi"/>
                <w:noProof/>
                <w:sz w:val="28"/>
                <w:szCs w:val="28"/>
                <w:lang w:eastAsia="fr-FR"/>
              </w:rPr>
              <w:tab/>
            </w:r>
            <w:r w:rsidR="0084618D" w:rsidRPr="0084618D">
              <w:rPr>
                <w:rStyle w:val="Lienhypertexte"/>
                <w:rFonts w:asciiTheme="majorHAnsi" w:hAnsiTheme="majorHAnsi" w:cstheme="minorHAnsi"/>
                <w:noProof/>
                <w:sz w:val="28"/>
                <w:szCs w:val="28"/>
              </w:rPr>
              <w:t>Introduction :</w:t>
            </w:r>
            <w:r w:rsidR="0084618D" w:rsidRPr="0084618D">
              <w:rPr>
                <w:rFonts w:asciiTheme="majorHAnsi" w:hAnsiTheme="majorHAnsi" w:cstheme="minorHAnsi"/>
                <w:noProof/>
                <w:webHidden/>
                <w:sz w:val="28"/>
                <w:szCs w:val="28"/>
              </w:rPr>
              <w:tab/>
            </w:r>
            <w:r w:rsidR="0084618D" w:rsidRPr="0084618D">
              <w:rPr>
                <w:rFonts w:asciiTheme="majorHAnsi" w:hAnsiTheme="majorHAnsi" w:cstheme="minorHAnsi"/>
                <w:noProof/>
                <w:webHidden/>
                <w:sz w:val="28"/>
                <w:szCs w:val="28"/>
              </w:rPr>
              <w:fldChar w:fldCharType="begin"/>
            </w:r>
            <w:r w:rsidR="0084618D" w:rsidRPr="0084618D">
              <w:rPr>
                <w:rFonts w:asciiTheme="majorHAnsi" w:hAnsiTheme="majorHAnsi" w:cstheme="minorHAnsi"/>
                <w:noProof/>
                <w:webHidden/>
                <w:sz w:val="28"/>
                <w:szCs w:val="28"/>
              </w:rPr>
              <w:instrText xml:space="preserve"> PAGEREF _Toc428947861 \h </w:instrText>
            </w:r>
            <w:r w:rsidR="0084618D" w:rsidRPr="0084618D">
              <w:rPr>
                <w:rFonts w:asciiTheme="majorHAnsi" w:hAnsiTheme="majorHAnsi" w:cstheme="minorHAnsi"/>
                <w:noProof/>
                <w:webHidden/>
                <w:sz w:val="28"/>
                <w:szCs w:val="28"/>
              </w:rPr>
            </w:r>
            <w:r w:rsidR="0084618D" w:rsidRPr="0084618D">
              <w:rPr>
                <w:rFonts w:asciiTheme="majorHAnsi" w:hAnsiTheme="majorHAnsi" w:cstheme="minorHAnsi"/>
                <w:noProof/>
                <w:webHidden/>
                <w:sz w:val="28"/>
                <w:szCs w:val="28"/>
              </w:rPr>
              <w:fldChar w:fldCharType="separate"/>
            </w:r>
            <w:r w:rsidR="000F5278">
              <w:rPr>
                <w:rFonts w:asciiTheme="majorHAnsi" w:hAnsiTheme="majorHAnsi" w:cstheme="minorHAnsi"/>
                <w:noProof/>
                <w:webHidden/>
                <w:sz w:val="28"/>
                <w:szCs w:val="28"/>
              </w:rPr>
              <w:t>4</w:t>
            </w:r>
            <w:r w:rsidR="0084618D" w:rsidRPr="0084618D">
              <w:rPr>
                <w:rFonts w:asciiTheme="majorHAnsi" w:hAnsiTheme="majorHAnsi" w:cstheme="minorHAnsi"/>
                <w:noProof/>
                <w:webHidden/>
                <w:sz w:val="28"/>
                <w:szCs w:val="28"/>
              </w:rPr>
              <w:fldChar w:fldCharType="end"/>
            </w:r>
          </w:hyperlink>
        </w:p>
        <w:p w:rsidR="0084618D" w:rsidRPr="0084618D" w:rsidRDefault="004E00A5" w:rsidP="00420A1E">
          <w:pPr>
            <w:pStyle w:val="TM1"/>
            <w:keepNext/>
            <w:keepLines/>
            <w:tabs>
              <w:tab w:val="left" w:pos="440"/>
              <w:tab w:val="right" w:leader="dot" w:pos="9062"/>
            </w:tabs>
            <w:suppressAutoHyphens/>
            <w:rPr>
              <w:rFonts w:asciiTheme="majorHAnsi" w:eastAsiaTheme="minorEastAsia" w:hAnsiTheme="majorHAnsi" w:cstheme="minorHAnsi"/>
              <w:noProof/>
              <w:sz w:val="28"/>
              <w:szCs w:val="28"/>
              <w:lang w:eastAsia="fr-FR"/>
            </w:rPr>
          </w:pPr>
          <w:hyperlink w:anchor="_Toc428947862" w:history="1">
            <w:r w:rsidR="0084618D" w:rsidRPr="0084618D">
              <w:rPr>
                <w:rStyle w:val="Lienhypertexte"/>
                <w:rFonts w:asciiTheme="majorHAnsi" w:hAnsiTheme="majorHAnsi" w:cstheme="minorHAnsi"/>
                <w:noProof/>
                <w:sz w:val="28"/>
                <w:szCs w:val="28"/>
              </w:rPr>
              <w:t>B.</w:t>
            </w:r>
            <w:r w:rsidR="0084618D" w:rsidRPr="0084618D">
              <w:rPr>
                <w:rFonts w:asciiTheme="majorHAnsi" w:eastAsiaTheme="minorEastAsia" w:hAnsiTheme="majorHAnsi" w:cstheme="minorHAnsi"/>
                <w:noProof/>
                <w:sz w:val="28"/>
                <w:szCs w:val="28"/>
                <w:lang w:eastAsia="fr-FR"/>
              </w:rPr>
              <w:tab/>
            </w:r>
            <w:r w:rsidR="0084618D" w:rsidRPr="0084618D">
              <w:rPr>
                <w:rStyle w:val="Lienhypertexte"/>
                <w:rFonts w:asciiTheme="majorHAnsi" w:hAnsiTheme="majorHAnsi" w:cstheme="minorHAnsi"/>
                <w:noProof/>
                <w:sz w:val="28"/>
                <w:szCs w:val="28"/>
              </w:rPr>
              <w:t>Fondamentaux de la Zone franc :</w:t>
            </w:r>
            <w:r w:rsidR="0084618D" w:rsidRPr="0084618D">
              <w:rPr>
                <w:rFonts w:asciiTheme="majorHAnsi" w:hAnsiTheme="majorHAnsi" w:cstheme="minorHAnsi"/>
                <w:noProof/>
                <w:webHidden/>
                <w:sz w:val="28"/>
                <w:szCs w:val="28"/>
              </w:rPr>
              <w:tab/>
            </w:r>
            <w:r w:rsidR="0084618D" w:rsidRPr="0084618D">
              <w:rPr>
                <w:rFonts w:asciiTheme="majorHAnsi" w:hAnsiTheme="majorHAnsi" w:cstheme="minorHAnsi"/>
                <w:noProof/>
                <w:webHidden/>
                <w:sz w:val="28"/>
                <w:szCs w:val="28"/>
              </w:rPr>
              <w:fldChar w:fldCharType="begin"/>
            </w:r>
            <w:r w:rsidR="0084618D" w:rsidRPr="0084618D">
              <w:rPr>
                <w:rFonts w:asciiTheme="majorHAnsi" w:hAnsiTheme="majorHAnsi" w:cstheme="minorHAnsi"/>
                <w:noProof/>
                <w:webHidden/>
                <w:sz w:val="28"/>
                <w:szCs w:val="28"/>
              </w:rPr>
              <w:instrText xml:space="preserve"> PAGEREF _Toc428947862 \h </w:instrText>
            </w:r>
            <w:r w:rsidR="0084618D" w:rsidRPr="0084618D">
              <w:rPr>
                <w:rFonts w:asciiTheme="majorHAnsi" w:hAnsiTheme="majorHAnsi" w:cstheme="minorHAnsi"/>
                <w:noProof/>
                <w:webHidden/>
                <w:sz w:val="28"/>
                <w:szCs w:val="28"/>
              </w:rPr>
            </w:r>
            <w:r w:rsidR="0084618D" w:rsidRPr="0084618D">
              <w:rPr>
                <w:rFonts w:asciiTheme="majorHAnsi" w:hAnsiTheme="majorHAnsi" w:cstheme="minorHAnsi"/>
                <w:noProof/>
                <w:webHidden/>
                <w:sz w:val="28"/>
                <w:szCs w:val="28"/>
              </w:rPr>
              <w:fldChar w:fldCharType="separate"/>
            </w:r>
            <w:r w:rsidR="000F5278">
              <w:rPr>
                <w:rFonts w:asciiTheme="majorHAnsi" w:hAnsiTheme="majorHAnsi" w:cstheme="minorHAnsi"/>
                <w:noProof/>
                <w:webHidden/>
                <w:sz w:val="28"/>
                <w:szCs w:val="28"/>
              </w:rPr>
              <w:t>5</w:t>
            </w:r>
            <w:r w:rsidR="0084618D" w:rsidRPr="0084618D">
              <w:rPr>
                <w:rFonts w:asciiTheme="majorHAnsi" w:hAnsiTheme="majorHAnsi" w:cstheme="minorHAnsi"/>
                <w:noProof/>
                <w:webHidden/>
                <w:sz w:val="28"/>
                <w:szCs w:val="28"/>
              </w:rPr>
              <w:fldChar w:fldCharType="end"/>
            </w:r>
          </w:hyperlink>
        </w:p>
        <w:p w:rsidR="0084618D" w:rsidRPr="0084618D" w:rsidRDefault="004E00A5" w:rsidP="00420A1E">
          <w:pPr>
            <w:pStyle w:val="TM2"/>
            <w:keepNext/>
            <w:keepLines/>
            <w:tabs>
              <w:tab w:val="left" w:pos="660"/>
              <w:tab w:val="right" w:leader="dot" w:pos="9062"/>
            </w:tabs>
            <w:suppressAutoHyphens/>
            <w:rPr>
              <w:rFonts w:asciiTheme="majorHAnsi" w:eastAsiaTheme="minorEastAsia" w:hAnsiTheme="majorHAnsi" w:cstheme="minorHAnsi"/>
              <w:noProof/>
              <w:sz w:val="28"/>
              <w:szCs w:val="28"/>
              <w:lang w:eastAsia="fr-FR"/>
            </w:rPr>
          </w:pPr>
          <w:hyperlink w:anchor="_Toc428947863" w:history="1">
            <w:r w:rsidR="0084618D" w:rsidRPr="0084618D">
              <w:rPr>
                <w:rStyle w:val="Lienhypertexte"/>
                <w:rFonts w:asciiTheme="majorHAnsi" w:hAnsiTheme="majorHAnsi" w:cstheme="minorHAnsi"/>
                <w:noProof/>
                <w:sz w:val="28"/>
                <w:szCs w:val="28"/>
              </w:rPr>
              <w:t>1)</w:t>
            </w:r>
            <w:r w:rsidR="0084618D" w:rsidRPr="0084618D">
              <w:rPr>
                <w:rFonts w:asciiTheme="majorHAnsi" w:eastAsiaTheme="minorEastAsia" w:hAnsiTheme="majorHAnsi" w:cstheme="minorHAnsi"/>
                <w:noProof/>
                <w:sz w:val="28"/>
                <w:szCs w:val="28"/>
                <w:lang w:eastAsia="fr-FR"/>
              </w:rPr>
              <w:tab/>
            </w:r>
            <w:r w:rsidR="0084618D" w:rsidRPr="0084618D">
              <w:rPr>
                <w:rStyle w:val="Lienhypertexte"/>
                <w:rFonts w:asciiTheme="majorHAnsi" w:hAnsiTheme="majorHAnsi" w:cstheme="minorHAnsi"/>
                <w:noProof/>
                <w:sz w:val="28"/>
                <w:szCs w:val="28"/>
              </w:rPr>
              <w:t>La garantie de convertibilité illimitée :</w:t>
            </w:r>
            <w:r w:rsidR="0084618D" w:rsidRPr="0084618D">
              <w:rPr>
                <w:rFonts w:asciiTheme="majorHAnsi" w:hAnsiTheme="majorHAnsi" w:cstheme="minorHAnsi"/>
                <w:noProof/>
                <w:webHidden/>
                <w:sz w:val="28"/>
                <w:szCs w:val="28"/>
              </w:rPr>
              <w:tab/>
            </w:r>
            <w:r w:rsidR="0084618D" w:rsidRPr="0084618D">
              <w:rPr>
                <w:rFonts w:asciiTheme="majorHAnsi" w:hAnsiTheme="majorHAnsi" w:cstheme="minorHAnsi"/>
                <w:noProof/>
                <w:webHidden/>
                <w:sz w:val="28"/>
                <w:szCs w:val="28"/>
              </w:rPr>
              <w:fldChar w:fldCharType="begin"/>
            </w:r>
            <w:r w:rsidR="0084618D" w:rsidRPr="0084618D">
              <w:rPr>
                <w:rFonts w:asciiTheme="majorHAnsi" w:hAnsiTheme="majorHAnsi" w:cstheme="minorHAnsi"/>
                <w:noProof/>
                <w:webHidden/>
                <w:sz w:val="28"/>
                <w:szCs w:val="28"/>
              </w:rPr>
              <w:instrText xml:space="preserve"> PAGEREF _Toc428947863 \h </w:instrText>
            </w:r>
            <w:r w:rsidR="0084618D" w:rsidRPr="0084618D">
              <w:rPr>
                <w:rFonts w:asciiTheme="majorHAnsi" w:hAnsiTheme="majorHAnsi" w:cstheme="minorHAnsi"/>
                <w:noProof/>
                <w:webHidden/>
                <w:sz w:val="28"/>
                <w:szCs w:val="28"/>
              </w:rPr>
            </w:r>
            <w:r w:rsidR="0084618D" w:rsidRPr="0084618D">
              <w:rPr>
                <w:rFonts w:asciiTheme="majorHAnsi" w:hAnsiTheme="majorHAnsi" w:cstheme="minorHAnsi"/>
                <w:noProof/>
                <w:webHidden/>
                <w:sz w:val="28"/>
                <w:szCs w:val="28"/>
              </w:rPr>
              <w:fldChar w:fldCharType="separate"/>
            </w:r>
            <w:r w:rsidR="000F5278">
              <w:rPr>
                <w:rFonts w:asciiTheme="majorHAnsi" w:hAnsiTheme="majorHAnsi" w:cstheme="minorHAnsi"/>
                <w:noProof/>
                <w:webHidden/>
                <w:sz w:val="28"/>
                <w:szCs w:val="28"/>
              </w:rPr>
              <w:t>5</w:t>
            </w:r>
            <w:r w:rsidR="0084618D" w:rsidRPr="0084618D">
              <w:rPr>
                <w:rFonts w:asciiTheme="majorHAnsi" w:hAnsiTheme="majorHAnsi" w:cstheme="minorHAnsi"/>
                <w:noProof/>
                <w:webHidden/>
                <w:sz w:val="28"/>
                <w:szCs w:val="28"/>
              </w:rPr>
              <w:fldChar w:fldCharType="end"/>
            </w:r>
          </w:hyperlink>
        </w:p>
        <w:p w:rsidR="0084618D" w:rsidRPr="0084618D" w:rsidRDefault="004E00A5" w:rsidP="00420A1E">
          <w:pPr>
            <w:pStyle w:val="TM2"/>
            <w:keepNext/>
            <w:keepLines/>
            <w:tabs>
              <w:tab w:val="left" w:pos="660"/>
              <w:tab w:val="right" w:leader="dot" w:pos="9062"/>
            </w:tabs>
            <w:suppressAutoHyphens/>
            <w:rPr>
              <w:rFonts w:asciiTheme="majorHAnsi" w:eastAsiaTheme="minorEastAsia" w:hAnsiTheme="majorHAnsi" w:cstheme="minorHAnsi"/>
              <w:noProof/>
              <w:sz w:val="28"/>
              <w:szCs w:val="28"/>
              <w:lang w:eastAsia="fr-FR"/>
            </w:rPr>
          </w:pPr>
          <w:hyperlink w:anchor="_Toc428947864" w:history="1">
            <w:r w:rsidR="0084618D" w:rsidRPr="0084618D">
              <w:rPr>
                <w:rStyle w:val="Lienhypertexte"/>
                <w:rFonts w:asciiTheme="majorHAnsi" w:hAnsiTheme="majorHAnsi" w:cstheme="minorHAnsi"/>
                <w:noProof/>
                <w:sz w:val="28"/>
                <w:szCs w:val="28"/>
              </w:rPr>
              <w:t>2)</w:t>
            </w:r>
            <w:r w:rsidR="0084618D" w:rsidRPr="0084618D">
              <w:rPr>
                <w:rFonts w:asciiTheme="majorHAnsi" w:eastAsiaTheme="minorEastAsia" w:hAnsiTheme="majorHAnsi" w:cstheme="minorHAnsi"/>
                <w:noProof/>
                <w:sz w:val="28"/>
                <w:szCs w:val="28"/>
                <w:lang w:eastAsia="fr-FR"/>
              </w:rPr>
              <w:tab/>
            </w:r>
            <w:r w:rsidR="0084618D" w:rsidRPr="0084618D">
              <w:rPr>
                <w:rStyle w:val="Lienhypertexte"/>
                <w:rFonts w:asciiTheme="majorHAnsi" w:hAnsiTheme="majorHAnsi" w:cstheme="minorHAnsi"/>
                <w:noProof/>
                <w:sz w:val="28"/>
                <w:szCs w:val="28"/>
              </w:rPr>
              <w:t>La fixité des parités avec la monnaie ancre (FRF puis €):</w:t>
            </w:r>
            <w:r w:rsidR="0084618D" w:rsidRPr="0084618D">
              <w:rPr>
                <w:rFonts w:asciiTheme="majorHAnsi" w:hAnsiTheme="majorHAnsi" w:cstheme="minorHAnsi"/>
                <w:noProof/>
                <w:webHidden/>
                <w:sz w:val="28"/>
                <w:szCs w:val="28"/>
              </w:rPr>
              <w:tab/>
            </w:r>
            <w:r w:rsidR="0084618D" w:rsidRPr="0084618D">
              <w:rPr>
                <w:rFonts w:asciiTheme="majorHAnsi" w:hAnsiTheme="majorHAnsi" w:cstheme="minorHAnsi"/>
                <w:noProof/>
                <w:webHidden/>
                <w:sz w:val="28"/>
                <w:szCs w:val="28"/>
              </w:rPr>
              <w:fldChar w:fldCharType="begin"/>
            </w:r>
            <w:r w:rsidR="0084618D" w:rsidRPr="0084618D">
              <w:rPr>
                <w:rFonts w:asciiTheme="majorHAnsi" w:hAnsiTheme="majorHAnsi" w:cstheme="minorHAnsi"/>
                <w:noProof/>
                <w:webHidden/>
                <w:sz w:val="28"/>
                <w:szCs w:val="28"/>
              </w:rPr>
              <w:instrText xml:space="preserve"> PAGEREF _Toc428947864 \h </w:instrText>
            </w:r>
            <w:r w:rsidR="0084618D" w:rsidRPr="0084618D">
              <w:rPr>
                <w:rFonts w:asciiTheme="majorHAnsi" w:hAnsiTheme="majorHAnsi" w:cstheme="minorHAnsi"/>
                <w:noProof/>
                <w:webHidden/>
                <w:sz w:val="28"/>
                <w:szCs w:val="28"/>
              </w:rPr>
            </w:r>
            <w:r w:rsidR="0084618D" w:rsidRPr="0084618D">
              <w:rPr>
                <w:rFonts w:asciiTheme="majorHAnsi" w:hAnsiTheme="majorHAnsi" w:cstheme="minorHAnsi"/>
                <w:noProof/>
                <w:webHidden/>
                <w:sz w:val="28"/>
                <w:szCs w:val="28"/>
              </w:rPr>
              <w:fldChar w:fldCharType="separate"/>
            </w:r>
            <w:r w:rsidR="000F5278">
              <w:rPr>
                <w:rFonts w:asciiTheme="majorHAnsi" w:hAnsiTheme="majorHAnsi" w:cstheme="minorHAnsi"/>
                <w:noProof/>
                <w:webHidden/>
                <w:sz w:val="28"/>
                <w:szCs w:val="28"/>
              </w:rPr>
              <w:t>6</w:t>
            </w:r>
            <w:r w:rsidR="0084618D" w:rsidRPr="0084618D">
              <w:rPr>
                <w:rFonts w:asciiTheme="majorHAnsi" w:hAnsiTheme="majorHAnsi" w:cstheme="minorHAnsi"/>
                <w:noProof/>
                <w:webHidden/>
                <w:sz w:val="28"/>
                <w:szCs w:val="28"/>
              </w:rPr>
              <w:fldChar w:fldCharType="end"/>
            </w:r>
          </w:hyperlink>
        </w:p>
        <w:p w:rsidR="0084618D" w:rsidRPr="0084618D" w:rsidRDefault="004E00A5" w:rsidP="00420A1E">
          <w:pPr>
            <w:pStyle w:val="TM2"/>
            <w:keepNext/>
            <w:keepLines/>
            <w:tabs>
              <w:tab w:val="left" w:pos="660"/>
              <w:tab w:val="right" w:leader="dot" w:pos="9062"/>
            </w:tabs>
            <w:suppressAutoHyphens/>
            <w:rPr>
              <w:rFonts w:asciiTheme="majorHAnsi" w:eastAsiaTheme="minorEastAsia" w:hAnsiTheme="majorHAnsi" w:cstheme="minorHAnsi"/>
              <w:noProof/>
              <w:sz w:val="28"/>
              <w:szCs w:val="28"/>
              <w:lang w:eastAsia="fr-FR"/>
            </w:rPr>
          </w:pPr>
          <w:hyperlink w:anchor="_Toc428947865" w:history="1">
            <w:r w:rsidR="0084618D" w:rsidRPr="0084618D">
              <w:rPr>
                <w:rStyle w:val="Lienhypertexte"/>
                <w:rFonts w:asciiTheme="majorHAnsi" w:hAnsiTheme="majorHAnsi" w:cstheme="minorHAnsi"/>
                <w:noProof/>
                <w:sz w:val="28"/>
                <w:szCs w:val="28"/>
              </w:rPr>
              <w:t>3)</w:t>
            </w:r>
            <w:r w:rsidR="0084618D" w:rsidRPr="0084618D">
              <w:rPr>
                <w:rFonts w:asciiTheme="majorHAnsi" w:eastAsiaTheme="minorEastAsia" w:hAnsiTheme="majorHAnsi" w:cstheme="minorHAnsi"/>
                <w:noProof/>
                <w:sz w:val="28"/>
                <w:szCs w:val="28"/>
                <w:lang w:eastAsia="fr-FR"/>
              </w:rPr>
              <w:tab/>
            </w:r>
            <w:r w:rsidR="0084618D" w:rsidRPr="0084618D">
              <w:rPr>
                <w:rStyle w:val="Lienhypertexte"/>
                <w:rFonts w:asciiTheme="majorHAnsi" w:hAnsiTheme="majorHAnsi" w:cstheme="minorHAnsi"/>
                <w:noProof/>
                <w:sz w:val="28"/>
                <w:szCs w:val="28"/>
              </w:rPr>
              <w:t>La libre transférabilité :</w:t>
            </w:r>
            <w:r w:rsidR="0084618D" w:rsidRPr="0084618D">
              <w:rPr>
                <w:rFonts w:asciiTheme="majorHAnsi" w:hAnsiTheme="majorHAnsi" w:cstheme="minorHAnsi"/>
                <w:noProof/>
                <w:webHidden/>
                <w:sz w:val="28"/>
                <w:szCs w:val="28"/>
              </w:rPr>
              <w:tab/>
            </w:r>
            <w:r w:rsidR="0084618D" w:rsidRPr="0084618D">
              <w:rPr>
                <w:rFonts w:asciiTheme="majorHAnsi" w:hAnsiTheme="majorHAnsi" w:cstheme="minorHAnsi"/>
                <w:noProof/>
                <w:webHidden/>
                <w:sz w:val="28"/>
                <w:szCs w:val="28"/>
              </w:rPr>
              <w:fldChar w:fldCharType="begin"/>
            </w:r>
            <w:r w:rsidR="0084618D" w:rsidRPr="0084618D">
              <w:rPr>
                <w:rFonts w:asciiTheme="majorHAnsi" w:hAnsiTheme="majorHAnsi" w:cstheme="minorHAnsi"/>
                <w:noProof/>
                <w:webHidden/>
                <w:sz w:val="28"/>
                <w:szCs w:val="28"/>
              </w:rPr>
              <w:instrText xml:space="preserve"> PAGEREF _Toc428947865 \h </w:instrText>
            </w:r>
            <w:r w:rsidR="0084618D" w:rsidRPr="0084618D">
              <w:rPr>
                <w:rFonts w:asciiTheme="majorHAnsi" w:hAnsiTheme="majorHAnsi" w:cstheme="minorHAnsi"/>
                <w:noProof/>
                <w:webHidden/>
                <w:sz w:val="28"/>
                <w:szCs w:val="28"/>
              </w:rPr>
            </w:r>
            <w:r w:rsidR="0084618D" w:rsidRPr="0084618D">
              <w:rPr>
                <w:rFonts w:asciiTheme="majorHAnsi" w:hAnsiTheme="majorHAnsi" w:cstheme="minorHAnsi"/>
                <w:noProof/>
                <w:webHidden/>
                <w:sz w:val="28"/>
                <w:szCs w:val="28"/>
              </w:rPr>
              <w:fldChar w:fldCharType="separate"/>
            </w:r>
            <w:r w:rsidR="000F5278">
              <w:rPr>
                <w:rFonts w:asciiTheme="majorHAnsi" w:hAnsiTheme="majorHAnsi" w:cstheme="minorHAnsi"/>
                <w:noProof/>
                <w:webHidden/>
                <w:sz w:val="28"/>
                <w:szCs w:val="28"/>
              </w:rPr>
              <w:t>6</w:t>
            </w:r>
            <w:r w:rsidR="0084618D" w:rsidRPr="0084618D">
              <w:rPr>
                <w:rFonts w:asciiTheme="majorHAnsi" w:hAnsiTheme="majorHAnsi" w:cstheme="minorHAnsi"/>
                <w:noProof/>
                <w:webHidden/>
                <w:sz w:val="28"/>
                <w:szCs w:val="28"/>
              </w:rPr>
              <w:fldChar w:fldCharType="end"/>
            </w:r>
          </w:hyperlink>
        </w:p>
        <w:p w:rsidR="0084618D" w:rsidRPr="0084618D" w:rsidRDefault="004E00A5" w:rsidP="00420A1E">
          <w:pPr>
            <w:pStyle w:val="TM2"/>
            <w:keepNext/>
            <w:keepLines/>
            <w:tabs>
              <w:tab w:val="left" w:pos="660"/>
              <w:tab w:val="right" w:leader="dot" w:pos="9062"/>
            </w:tabs>
            <w:suppressAutoHyphens/>
            <w:rPr>
              <w:rFonts w:asciiTheme="majorHAnsi" w:eastAsiaTheme="minorEastAsia" w:hAnsiTheme="majorHAnsi" w:cstheme="minorHAnsi"/>
              <w:noProof/>
              <w:sz w:val="28"/>
              <w:szCs w:val="28"/>
              <w:lang w:eastAsia="fr-FR"/>
            </w:rPr>
          </w:pPr>
          <w:hyperlink w:anchor="_Toc428947866" w:history="1">
            <w:r w:rsidR="0084618D" w:rsidRPr="0084618D">
              <w:rPr>
                <w:rStyle w:val="Lienhypertexte"/>
                <w:rFonts w:asciiTheme="majorHAnsi" w:hAnsiTheme="majorHAnsi" w:cstheme="minorHAnsi"/>
                <w:noProof/>
                <w:sz w:val="28"/>
                <w:szCs w:val="28"/>
              </w:rPr>
              <w:t>4)</w:t>
            </w:r>
            <w:r w:rsidR="0084618D" w:rsidRPr="0084618D">
              <w:rPr>
                <w:rFonts w:asciiTheme="majorHAnsi" w:eastAsiaTheme="minorEastAsia" w:hAnsiTheme="majorHAnsi" w:cstheme="minorHAnsi"/>
                <w:noProof/>
                <w:sz w:val="28"/>
                <w:szCs w:val="28"/>
                <w:lang w:eastAsia="fr-FR"/>
              </w:rPr>
              <w:tab/>
            </w:r>
            <w:r w:rsidR="0084618D" w:rsidRPr="0084618D">
              <w:rPr>
                <w:rStyle w:val="Lienhypertexte"/>
                <w:rFonts w:asciiTheme="majorHAnsi" w:hAnsiTheme="majorHAnsi" w:cstheme="minorHAnsi"/>
                <w:noProof/>
                <w:sz w:val="28"/>
                <w:szCs w:val="28"/>
              </w:rPr>
              <w:t>La centralisation des réserves de change :</w:t>
            </w:r>
            <w:r w:rsidR="0084618D" w:rsidRPr="0084618D">
              <w:rPr>
                <w:rFonts w:asciiTheme="majorHAnsi" w:hAnsiTheme="majorHAnsi" w:cstheme="minorHAnsi"/>
                <w:noProof/>
                <w:webHidden/>
                <w:sz w:val="28"/>
                <w:szCs w:val="28"/>
              </w:rPr>
              <w:tab/>
            </w:r>
            <w:r w:rsidR="0084618D" w:rsidRPr="0084618D">
              <w:rPr>
                <w:rFonts w:asciiTheme="majorHAnsi" w:hAnsiTheme="majorHAnsi" w:cstheme="minorHAnsi"/>
                <w:noProof/>
                <w:webHidden/>
                <w:sz w:val="28"/>
                <w:szCs w:val="28"/>
              </w:rPr>
              <w:fldChar w:fldCharType="begin"/>
            </w:r>
            <w:r w:rsidR="0084618D" w:rsidRPr="0084618D">
              <w:rPr>
                <w:rFonts w:asciiTheme="majorHAnsi" w:hAnsiTheme="majorHAnsi" w:cstheme="minorHAnsi"/>
                <w:noProof/>
                <w:webHidden/>
                <w:sz w:val="28"/>
                <w:szCs w:val="28"/>
              </w:rPr>
              <w:instrText xml:space="preserve"> PAGEREF _Toc428947866 \h </w:instrText>
            </w:r>
            <w:r w:rsidR="0084618D" w:rsidRPr="0084618D">
              <w:rPr>
                <w:rFonts w:asciiTheme="majorHAnsi" w:hAnsiTheme="majorHAnsi" w:cstheme="minorHAnsi"/>
                <w:noProof/>
                <w:webHidden/>
                <w:sz w:val="28"/>
                <w:szCs w:val="28"/>
              </w:rPr>
            </w:r>
            <w:r w:rsidR="0084618D" w:rsidRPr="0084618D">
              <w:rPr>
                <w:rFonts w:asciiTheme="majorHAnsi" w:hAnsiTheme="majorHAnsi" w:cstheme="minorHAnsi"/>
                <w:noProof/>
                <w:webHidden/>
                <w:sz w:val="28"/>
                <w:szCs w:val="28"/>
              </w:rPr>
              <w:fldChar w:fldCharType="separate"/>
            </w:r>
            <w:r w:rsidR="000F5278">
              <w:rPr>
                <w:rFonts w:asciiTheme="majorHAnsi" w:hAnsiTheme="majorHAnsi" w:cstheme="minorHAnsi"/>
                <w:noProof/>
                <w:webHidden/>
                <w:sz w:val="28"/>
                <w:szCs w:val="28"/>
              </w:rPr>
              <w:t>6</w:t>
            </w:r>
            <w:r w:rsidR="0084618D" w:rsidRPr="0084618D">
              <w:rPr>
                <w:rFonts w:asciiTheme="majorHAnsi" w:hAnsiTheme="majorHAnsi" w:cstheme="minorHAnsi"/>
                <w:noProof/>
                <w:webHidden/>
                <w:sz w:val="28"/>
                <w:szCs w:val="28"/>
              </w:rPr>
              <w:fldChar w:fldCharType="end"/>
            </w:r>
          </w:hyperlink>
        </w:p>
        <w:p w:rsidR="0084618D" w:rsidRPr="0084618D" w:rsidRDefault="004E00A5" w:rsidP="00420A1E">
          <w:pPr>
            <w:pStyle w:val="TM1"/>
            <w:keepNext/>
            <w:keepLines/>
            <w:tabs>
              <w:tab w:val="left" w:pos="440"/>
              <w:tab w:val="right" w:leader="dot" w:pos="9062"/>
            </w:tabs>
            <w:suppressAutoHyphens/>
            <w:rPr>
              <w:rFonts w:asciiTheme="majorHAnsi" w:eastAsiaTheme="minorEastAsia" w:hAnsiTheme="majorHAnsi" w:cstheme="minorHAnsi"/>
              <w:noProof/>
              <w:sz w:val="28"/>
              <w:szCs w:val="28"/>
              <w:lang w:eastAsia="fr-FR"/>
            </w:rPr>
          </w:pPr>
          <w:hyperlink w:anchor="_Toc428947867" w:history="1">
            <w:r w:rsidR="0084618D" w:rsidRPr="0084618D">
              <w:rPr>
                <w:rStyle w:val="Lienhypertexte"/>
                <w:rFonts w:asciiTheme="majorHAnsi" w:hAnsiTheme="majorHAnsi" w:cstheme="minorHAnsi"/>
                <w:noProof/>
                <w:sz w:val="28"/>
                <w:szCs w:val="28"/>
              </w:rPr>
              <w:t>C.</w:t>
            </w:r>
            <w:r w:rsidR="0084618D" w:rsidRPr="0084618D">
              <w:rPr>
                <w:rFonts w:asciiTheme="majorHAnsi" w:eastAsiaTheme="minorEastAsia" w:hAnsiTheme="majorHAnsi" w:cstheme="minorHAnsi"/>
                <w:noProof/>
                <w:sz w:val="28"/>
                <w:szCs w:val="28"/>
                <w:lang w:eastAsia="fr-FR"/>
              </w:rPr>
              <w:tab/>
            </w:r>
            <w:r w:rsidR="0084618D" w:rsidRPr="0084618D">
              <w:rPr>
                <w:rStyle w:val="Lienhypertexte"/>
                <w:rFonts w:asciiTheme="majorHAnsi" w:hAnsiTheme="majorHAnsi" w:cstheme="minorHAnsi"/>
                <w:noProof/>
                <w:sz w:val="28"/>
                <w:szCs w:val="28"/>
              </w:rPr>
              <w:t>Avantages et Coûts :</w:t>
            </w:r>
            <w:r w:rsidR="0084618D" w:rsidRPr="0084618D">
              <w:rPr>
                <w:rFonts w:asciiTheme="majorHAnsi" w:hAnsiTheme="majorHAnsi" w:cstheme="minorHAnsi"/>
                <w:noProof/>
                <w:webHidden/>
                <w:sz w:val="28"/>
                <w:szCs w:val="28"/>
              </w:rPr>
              <w:tab/>
            </w:r>
            <w:r w:rsidR="0084618D" w:rsidRPr="0084618D">
              <w:rPr>
                <w:rFonts w:asciiTheme="majorHAnsi" w:hAnsiTheme="majorHAnsi" w:cstheme="minorHAnsi"/>
                <w:noProof/>
                <w:webHidden/>
                <w:sz w:val="28"/>
                <w:szCs w:val="28"/>
              </w:rPr>
              <w:fldChar w:fldCharType="begin"/>
            </w:r>
            <w:r w:rsidR="0084618D" w:rsidRPr="0084618D">
              <w:rPr>
                <w:rFonts w:asciiTheme="majorHAnsi" w:hAnsiTheme="majorHAnsi" w:cstheme="minorHAnsi"/>
                <w:noProof/>
                <w:webHidden/>
                <w:sz w:val="28"/>
                <w:szCs w:val="28"/>
              </w:rPr>
              <w:instrText xml:space="preserve"> PAGEREF _Toc428947867 \h </w:instrText>
            </w:r>
            <w:r w:rsidR="0084618D" w:rsidRPr="0084618D">
              <w:rPr>
                <w:rFonts w:asciiTheme="majorHAnsi" w:hAnsiTheme="majorHAnsi" w:cstheme="minorHAnsi"/>
                <w:noProof/>
                <w:webHidden/>
                <w:sz w:val="28"/>
                <w:szCs w:val="28"/>
              </w:rPr>
            </w:r>
            <w:r w:rsidR="0084618D" w:rsidRPr="0084618D">
              <w:rPr>
                <w:rFonts w:asciiTheme="majorHAnsi" w:hAnsiTheme="majorHAnsi" w:cstheme="minorHAnsi"/>
                <w:noProof/>
                <w:webHidden/>
                <w:sz w:val="28"/>
                <w:szCs w:val="28"/>
              </w:rPr>
              <w:fldChar w:fldCharType="separate"/>
            </w:r>
            <w:r w:rsidR="000F5278">
              <w:rPr>
                <w:rFonts w:asciiTheme="majorHAnsi" w:hAnsiTheme="majorHAnsi" w:cstheme="minorHAnsi"/>
                <w:noProof/>
                <w:webHidden/>
                <w:sz w:val="28"/>
                <w:szCs w:val="28"/>
              </w:rPr>
              <w:t>12</w:t>
            </w:r>
            <w:r w:rsidR="0084618D" w:rsidRPr="0084618D">
              <w:rPr>
                <w:rFonts w:asciiTheme="majorHAnsi" w:hAnsiTheme="majorHAnsi" w:cstheme="minorHAnsi"/>
                <w:noProof/>
                <w:webHidden/>
                <w:sz w:val="28"/>
                <w:szCs w:val="28"/>
              </w:rPr>
              <w:fldChar w:fldCharType="end"/>
            </w:r>
          </w:hyperlink>
        </w:p>
        <w:p w:rsidR="0084618D" w:rsidRPr="0084618D" w:rsidRDefault="004E00A5" w:rsidP="00420A1E">
          <w:pPr>
            <w:pStyle w:val="TM2"/>
            <w:keepNext/>
            <w:keepLines/>
            <w:tabs>
              <w:tab w:val="left" w:pos="660"/>
              <w:tab w:val="right" w:leader="dot" w:pos="9062"/>
            </w:tabs>
            <w:suppressAutoHyphens/>
            <w:rPr>
              <w:rFonts w:asciiTheme="majorHAnsi" w:eastAsiaTheme="minorEastAsia" w:hAnsiTheme="majorHAnsi" w:cstheme="minorHAnsi"/>
              <w:noProof/>
              <w:sz w:val="28"/>
              <w:szCs w:val="28"/>
              <w:lang w:eastAsia="fr-FR"/>
            </w:rPr>
          </w:pPr>
          <w:hyperlink w:anchor="_Toc428947868" w:history="1">
            <w:r w:rsidR="0084618D" w:rsidRPr="0084618D">
              <w:rPr>
                <w:rStyle w:val="Lienhypertexte"/>
                <w:rFonts w:asciiTheme="majorHAnsi" w:hAnsiTheme="majorHAnsi" w:cstheme="minorHAnsi"/>
                <w:noProof/>
                <w:sz w:val="28"/>
                <w:szCs w:val="28"/>
              </w:rPr>
              <w:t>1)</w:t>
            </w:r>
            <w:r w:rsidR="0084618D" w:rsidRPr="0084618D">
              <w:rPr>
                <w:rFonts w:asciiTheme="majorHAnsi" w:eastAsiaTheme="minorEastAsia" w:hAnsiTheme="majorHAnsi" w:cstheme="minorHAnsi"/>
                <w:noProof/>
                <w:sz w:val="28"/>
                <w:szCs w:val="28"/>
                <w:lang w:eastAsia="fr-FR"/>
              </w:rPr>
              <w:tab/>
            </w:r>
            <w:r w:rsidR="0084618D" w:rsidRPr="0084618D">
              <w:rPr>
                <w:rStyle w:val="Lienhypertexte"/>
                <w:rFonts w:asciiTheme="majorHAnsi" w:hAnsiTheme="majorHAnsi" w:cstheme="minorHAnsi"/>
                <w:noProof/>
                <w:sz w:val="28"/>
                <w:szCs w:val="28"/>
              </w:rPr>
              <w:t>Au titre des avantages on peut retenir :</w:t>
            </w:r>
            <w:r w:rsidR="0084618D" w:rsidRPr="0084618D">
              <w:rPr>
                <w:rFonts w:asciiTheme="majorHAnsi" w:hAnsiTheme="majorHAnsi" w:cstheme="minorHAnsi"/>
                <w:noProof/>
                <w:webHidden/>
                <w:sz w:val="28"/>
                <w:szCs w:val="28"/>
              </w:rPr>
              <w:tab/>
            </w:r>
            <w:r w:rsidR="0084618D" w:rsidRPr="0084618D">
              <w:rPr>
                <w:rFonts w:asciiTheme="majorHAnsi" w:hAnsiTheme="majorHAnsi" w:cstheme="minorHAnsi"/>
                <w:noProof/>
                <w:webHidden/>
                <w:sz w:val="28"/>
                <w:szCs w:val="28"/>
              </w:rPr>
              <w:fldChar w:fldCharType="begin"/>
            </w:r>
            <w:r w:rsidR="0084618D" w:rsidRPr="0084618D">
              <w:rPr>
                <w:rFonts w:asciiTheme="majorHAnsi" w:hAnsiTheme="majorHAnsi" w:cstheme="minorHAnsi"/>
                <w:noProof/>
                <w:webHidden/>
                <w:sz w:val="28"/>
                <w:szCs w:val="28"/>
              </w:rPr>
              <w:instrText xml:space="preserve"> PAGEREF _Toc428947868 \h </w:instrText>
            </w:r>
            <w:r w:rsidR="0084618D" w:rsidRPr="0084618D">
              <w:rPr>
                <w:rFonts w:asciiTheme="majorHAnsi" w:hAnsiTheme="majorHAnsi" w:cstheme="minorHAnsi"/>
                <w:noProof/>
                <w:webHidden/>
                <w:sz w:val="28"/>
                <w:szCs w:val="28"/>
              </w:rPr>
            </w:r>
            <w:r w:rsidR="0084618D" w:rsidRPr="0084618D">
              <w:rPr>
                <w:rFonts w:asciiTheme="majorHAnsi" w:hAnsiTheme="majorHAnsi" w:cstheme="minorHAnsi"/>
                <w:noProof/>
                <w:webHidden/>
                <w:sz w:val="28"/>
                <w:szCs w:val="28"/>
              </w:rPr>
              <w:fldChar w:fldCharType="separate"/>
            </w:r>
            <w:r w:rsidR="000F5278">
              <w:rPr>
                <w:rFonts w:asciiTheme="majorHAnsi" w:hAnsiTheme="majorHAnsi" w:cstheme="minorHAnsi"/>
                <w:noProof/>
                <w:webHidden/>
                <w:sz w:val="28"/>
                <w:szCs w:val="28"/>
              </w:rPr>
              <w:t>12</w:t>
            </w:r>
            <w:r w:rsidR="0084618D" w:rsidRPr="0084618D">
              <w:rPr>
                <w:rFonts w:asciiTheme="majorHAnsi" w:hAnsiTheme="majorHAnsi" w:cstheme="minorHAnsi"/>
                <w:noProof/>
                <w:webHidden/>
                <w:sz w:val="28"/>
                <w:szCs w:val="28"/>
              </w:rPr>
              <w:fldChar w:fldCharType="end"/>
            </w:r>
          </w:hyperlink>
        </w:p>
        <w:p w:rsidR="0084618D" w:rsidRPr="0084618D" w:rsidRDefault="004E00A5" w:rsidP="00420A1E">
          <w:pPr>
            <w:pStyle w:val="TM2"/>
            <w:keepNext/>
            <w:keepLines/>
            <w:tabs>
              <w:tab w:val="left" w:pos="660"/>
              <w:tab w:val="right" w:leader="dot" w:pos="9062"/>
            </w:tabs>
            <w:suppressAutoHyphens/>
            <w:rPr>
              <w:rFonts w:asciiTheme="majorHAnsi" w:eastAsiaTheme="minorEastAsia" w:hAnsiTheme="majorHAnsi" w:cstheme="minorHAnsi"/>
              <w:noProof/>
              <w:sz w:val="28"/>
              <w:szCs w:val="28"/>
              <w:lang w:eastAsia="fr-FR"/>
            </w:rPr>
          </w:pPr>
          <w:hyperlink w:anchor="_Toc428947869" w:history="1">
            <w:r w:rsidR="0084618D" w:rsidRPr="0084618D">
              <w:rPr>
                <w:rStyle w:val="Lienhypertexte"/>
                <w:rFonts w:asciiTheme="majorHAnsi" w:hAnsiTheme="majorHAnsi" w:cstheme="minorHAnsi"/>
                <w:noProof/>
                <w:sz w:val="28"/>
                <w:szCs w:val="28"/>
              </w:rPr>
              <w:t>2)</w:t>
            </w:r>
            <w:r w:rsidR="0084618D" w:rsidRPr="0084618D">
              <w:rPr>
                <w:rFonts w:asciiTheme="majorHAnsi" w:eastAsiaTheme="minorEastAsia" w:hAnsiTheme="majorHAnsi" w:cstheme="minorHAnsi"/>
                <w:noProof/>
                <w:sz w:val="28"/>
                <w:szCs w:val="28"/>
                <w:lang w:eastAsia="fr-FR"/>
              </w:rPr>
              <w:tab/>
            </w:r>
            <w:r w:rsidR="0084618D" w:rsidRPr="0084618D">
              <w:rPr>
                <w:rStyle w:val="Lienhypertexte"/>
                <w:rFonts w:asciiTheme="majorHAnsi" w:hAnsiTheme="majorHAnsi" w:cstheme="minorHAnsi"/>
                <w:noProof/>
                <w:sz w:val="28"/>
                <w:szCs w:val="28"/>
              </w:rPr>
              <w:t>Au niveau des coûts, on peut noter :</w:t>
            </w:r>
            <w:r w:rsidR="0084618D" w:rsidRPr="0084618D">
              <w:rPr>
                <w:rFonts w:asciiTheme="majorHAnsi" w:hAnsiTheme="majorHAnsi" w:cstheme="minorHAnsi"/>
                <w:noProof/>
                <w:webHidden/>
                <w:sz w:val="28"/>
                <w:szCs w:val="28"/>
              </w:rPr>
              <w:tab/>
            </w:r>
            <w:r w:rsidR="0084618D" w:rsidRPr="0084618D">
              <w:rPr>
                <w:rFonts w:asciiTheme="majorHAnsi" w:hAnsiTheme="majorHAnsi" w:cstheme="minorHAnsi"/>
                <w:noProof/>
                <w:webHidden/>
                <w:sz w:val="28"/>
                <w:szCs w:val="28"/>
              </w:rPr>
              <w:fldChar w:fldCharType="begin"/>
            </w:r>
            <w:r w:rsidR="0084618D" w:rsidRPr="0084618D">
              <w:rPr>
                <w:rFonts w:asciiTheme="majorHAnsi" w:hAnsiTheme="majorHAnsi" w:cstheme="minorHAnsi"/>
                <w:noProof/>
                <w:webHidden/>
                <w:sz w:val="28"/>
                <w:szCs w:val="28"/>
              </w:rPr>
              <w:instrText xml:space="preserve"> PAGEREF _Toc428947869 \h </w:instrText>
            </w:r>
            <w:r w:rsidR="0084618D" w:rsidRPr="0084618D">
              <w:rPr>
                <w:rFonts w:asciiTheme="majorHAnsi" w:hAnsiTheme="majorHAnsi" w:cstheme="minorHAnsi"/>
                <w:noProof/>
                <w:webHidden/>
                <w:sz w:val="28"/>
                <w:szCs w:val="28"/>
              </w:rPr>
            </w:r>
            <w:r w:rsidR="0084618D" w:rsidRPr="0084618D">
              <w:rPr>
                <w:rFonts w:asciiTheme="majorHAnsi" w:hAnsiTheme="majorHAnsi" w:cstheme="minorHAnsi"/>
                <w:noProof/>
                <w:webHidden/>
                <w:sz w:val="28"/>
                <w:szCs w:val="28"/>
              </w:rPr>
              <w:fldChar w:fldCharType="separate"/>
            </w:r>
            <w:r w:rsidR="000F5278">
              <w:rPr>
                <w:rFonts w:asciiTheme="majorHAnsi" w:hAnsiTheme="majorHAnsi" w:cstheme="minorHAnsi"/>
                <w:noProof/>
                <w:webHidden/>
                <w:sz w:val="28"/>
                <w:szCs w:val="28"/>
              </w:rPr>
              <w:t>14</w:t>
            </w:r>
            <w:r w:rsidR="0084618D" w:rsidRPr="0084618D">
              <w:rPr>
                <w:rFonts w:asciiTheme="majorHAnsi" w:hAnsiTheme="majorHAnsi" w:cstheme="minorHAnsi"/>
                <w:noProof/>
                <w:webHidden/>
                <w:sz w:val="28"/>
                <w:szCs w:val="28"/>
              </w:rPr>
              <w:fldChar w:fldCharType="end"/>
            </w:r>
          </w:hyperlink>
        </w:p>
        <w:p w:rsidR="0084618D" w:rsidRPr="0084618D" w:rsidRDefault="004E00A5" w:rsidP="00420A1E">
          <w:pPr>
            <w:pStyle w:val="TM1"/>
            <w:keepNext/>
            <w:keepLines/>
            <w:tabs>
              <w:tab w:val="left" w:pos="440"/>
              <w:tab w:val="right" w:leader="dot" w:pos="9062"/>
            </w:tabs>
            <w:suppressAutoHyphens/>
            <w:rPr>
              <w:rFonts w:asciiTheme="majorHAnsi" w:eastAsiaTheme="minorEastAsia" w:hAnsiTheme="majorHAnsi" w:cstheme="minorHAnsi"/>
              <w:noProof/>
              <w:sz w:val="28"/>
              <w:szCs w:val="28"/>
              <w:lang w:eastAsia="fr-FR"/>
            </w:rPr>
          </w:pPr>
          <w:hyperlink w:anchor="_Toc428947870" w:history="1">
            <w:r w:rsidR="0084618D" w:rsidRPr="0084618D">
              <w:rPr>
                <w:rStyle w:val="Lienhypertexte"/>
                <w:rFonts w:asciiTheme="majorHAnsi" w:hAnsiTheme="majorHAnsi" w:cstheme="minorHAnsi"/>
                <w:noProof/>
                <w:sz w:val="28"/>
                <w:szCs w:val="28"/>
              </w:rPr>
              <w:t>D.</w:t>
            </w:r>
            <w:r w:rsidR="0084618D" w:rsidRPr="0084618D">
              <w:rPr>
                <w:rFonts w:asciiTheme="majorHAnsi" w:eastAsiaTheme="minorEastAsia" w:hAnsiTheme="majorHAnsi" w:cstheme="minorHAnsi"/>
                <w:noProof/>
                <w:sz w:val="28"/>
                <w:szCs w:val="28"/>
                <w:lang w:eastAsia="fr-FR"/>
              </w:rPr>
              <w:tab/>
            </w:r>
            <w:r w:rsidR="0084618D" w:rsidRPr="0084618D">
              <w:rPr>
                <w:rStyle w:val="Lienhypertexte"/>
                <w:rFonts w:asciiTheme="majorHAnsi" w:hAnsiTheme="majorHAnsi" w:cstheme="minorHAnsi"/>
                <w:noProof/>
                <w:sz w:val="28"/>
                <w:szCs w:val="28"/>
              </w:rPr>
              <w:t>Cas du Mali :</w:t>
            </w:r>
            <w:r w:rsidR="0084618D" w:rsidRPr="0084618D">
              <w:rPr>
                <w:rFonts w:asciiTheme="majorHAnsi" w:hAnsiTheme="majorHAnsi" w:cstheme="minorHAnsi"/>
                <w:noProof/>
                <w:webHidden/>
                <w:sz w:val="28"/>
                <w:szCs w:val="28"/>
              </w:rPr>
              <w:tab/>
            </w:r>
            <w:r w:rsidR="0084618D" w:rsidRPr="0084618D">
              <w:rPr>
                <w:rFonts w:asciiTheme="majorHAnsi" w:hAnsiTheme="majorHAnsi" w:cstheme="minorHAnsi"/>
                <w:noProof/>
                <w:webHidden/>
                <w:sz w:val="28"/>
                <w:szCs w:val="28"/>
              </w:rPr>
              <w:fldChar w:fldCharType="begin"/>
            </w:r>
            <w:r w:rsidR="0084618D" w:rsidRPr="0084618D">
              <w:rPr>
                <w:rFonts w:asciiTheme="majorHAnsi" w:hAnsiTheme="majorHAnsi" w:cstheme="minorHAnsi"/>
                <w:noProof/>
                <w:webHidden/>
                <w:sz w:val="28"/>
                <w:szCs w:val="28"/>
              </w:rPr>
              <w:instrText xml:space="preserve"> PAGEREF _Toc428947870 \h </w:instrText>
            </w:r>
            <w:r w:rsidR="0084618D" w:rsidRPr="0084618D">
              <w:rPr>
                <w:rFonts w:asciiTheme="majorHAnsi" w:hAnsiTheme="majorHAnsi" w:cstheme="minorHAnsi"/>
                <w:noProof/>
                <w:webHidden/>
                <w:sz w:val="28"/>
                <w:szCs w:val="28"/>
              </w:rPr>
            </w:r>
            <w:r w:rsidR="0084618D" w:rsidRPr="0084618D">
              <w:rPr>
                <w:rFonts w:asciiTheme="majorHAnsi" w:hAnsiTheme="majorHAnsi" w:cstheme="minorHAnsi"/>
                <w:noProof/>
                <w:webHidden/>
                <w:sz w:val="28"/>
                <w:szCs w:val="28"/>
              </w:rPr>
              <w:fldChar w:fldCharType="separate"/>
            </w:r>
            <w:r w:rsidR="000F5278">
              <w:rPr>
                <w:rFonts w:asciiTheme="majorHAnsi" w:hAnsiTheme="majorHAnsi" w:cstheme="minorHAnsi"/>
                <w:noProof/>
                <w:webHidden/>
                <w:sz w:val="28"/>
                <w:szCs w:val="28"/>
              </w:rPr>
              <w:t>15</w:t>
            </w:r>
            <w:r w:rsidR="0084618D" w:rsidRPr="0084618D">
              <w:rPr>
                <w:rFonts w:asciiTheme="majorHAnsi" w:hAnsiTheme="majorHAnsi" w:cstheme="minorHAnsi"/>
                <w:noProof/>
                <w:webHidden/>
                <w:sz w:val="28"/>
                <w:szCs w:val="28"/>
              </w:rPr>
              <w:fldChar w:fldCharType="end"/>
            </w:r>
          </w:hyperlink>
        </w:p>
        <w:p w:rsidR="0084618D" w:rsidRPr="0084618D" w:rsidRDefault="004E00A5" w:rsidP="00420A1E">
          <w:pPr>
            <w:pStyle w:val="TM1"/>
            <w:keepNext/>
            <w:keepLines/>
            <w:tabs>
              <w:tab w:val="left" w:pos="440"/>
              <w:tab w:val="right" w:leader="dot" w:pos="9062"/>
            </w:tabs>
            <w:suppressAutoHyphens/>
            <w:rPr>
              <w:rFonts w:asciiTheme="majorHAnsi" w:eastAsiaTheme="minorEastAsia" w:hAnsiTheme="majorHAnsi" w:cstheme="minorHAnsi"/>
              <w:noProof/>
              <w:sz w:val="28"/>
              <w:szCs w:val="28"/>
              <w:lang w:eastAsia="fr-FR"/>
            </w:rPr>
          </w:pPr>
          <w:hyperlink w:anchor="_Toc428947871" w:history="1">
            <w:r w:rsidR="0084618D" w:rsidRPr="0084618D">
              <w:rPr>
                <w:rStyle w:val="Lienhypertexte"/>
                <w:rFonts w:asciiTheme="majorHAnsi" w:hAnsiTheme="majorHAnsi" w:cstheme="minorHAnsi"/>
                <w:noProof/>
                <w:sz w:val="28"/>
                <w:szCs w:val="28"/>
              </w:rPr>
              <w:t>E.</w:t>
            </w:r>
            <w:r w:rsidR="0084618D" w:rsidRPr="0084618D">
              <w:rPr>
                <w:rFonts w:asciiTheme="majorHAnsi" w:eastAsiaTheme="minorEastAsia" w:hAnsiTheme="majorHAnsi" w:cstheme="minorHAnsi"/>
                <w:noProof/>
                <w:sz w:val="28"/>
                <w:szCs w:val="28"/>
                <w:lang w:eastAsia="fr-FR"/>
              </w:rPr>
              <w:tab/>
            </w:r>
            <w:r w:rsidR="0084618D" w:rsidRPr="0084618D">
              <w:rPr>
                <w:rStyle w:val="Lienhypertexte"/>
                <w:rFonts w:asciiTheme="majorHAnsi" w:hAnsiTheme="majorHAnsi" w:cstheme="minorHAnsi"/>
                <w:noProof/>
                <w:sz w:val="28"/>
                <w:szCs w:val="28"/>
              </w:rPr>
              <w:t>Références bibliographiques :</w:t>
            </w:r>
            <w:r w:rsidR="0084618D" w:rsidRPr="0084618D">
              <w:rPr>
                <w:rFonts w:asciiTheme="majorHAnsi" w:hAnsiTheme="majorHAnsi" w:cstheme="minorHAnsi"/>
                <w:noProof/>
                <w:webHidden/>
                <w:sz w:val="28"/>
                <w:szCs w:val="28"/>
              </w:rPr>
              <w:tab/>
            </w:r>
            <w:r w:rsidR="0084618D" w:rsidRPr="0084618D">
              <w:rPr>
                <w:rFonts w:asciiTheme="majorHAnsi" w:hAnsiTheme="majorHAnsi" w:cstheme="minorHAnsi"/>
                <w:noProof/>
                <w:webHidden/>
                <w:sz w:val="28"/>
                <w:szCs w:val="28"/>
              </w:rPr>
              <w:fldChar w:fldCharType="begin"/>
            </w:r>
            <w:r w:rsidR="0084618D" w:rsidRPr="0084618D">
              <w:rPr>
                <w:rFonts w:asciiTheme="majorHAnsi" w:hAnsiTheme="majorHAnsi" w:cstheme="minorHAnsi"/>
                <w:noProof/>
                <w:webHidden/>
                <w:sz w:val="28"/>
                <w:szCs w:val="28"/>
              </w:rPr>
              <w:instrText xml:space="preserve"> PAGEREF _Toc428947871 \h </w:instrText>
            </w:r>
            <w:r w:rsidR="0084618D" w:rsidRPr="0084618D">
              <w:rPr>
                <w:rFonts w:asciiTheme="majorHAnsi" w:hAnsiTheme="majorHAnsi" w:cstheme="minorHAnsi"/>
                <w:noProof/>
                <w:webHidden/>
                <w:sz w:val="28"/>
                <w:szCs w:val="28"/>
              </w:rPr>
            </w:r>
            <w:r w:rsidR="0084618D" w:rsidRPr="0084618D">
              <w:rPr>
                <w:rFonts w:asciiTheme="majorHAnsi" w:hAnsiTheme="majorHAnsi" w:cstheme="minorHAnsi"/>
                <w:noProof/>
                <w:webHidden/>
                <w:sz w:val="28"/>
                <w:szCs w:val="28"/>
              </w:rPr>
              <w:fldChar w:fldCharType="separate"/>
            </w:r>
            <w:r w:rsidR="000F5278">
              <w:rPr>
                <w:rFonts w:asciiTheme="majorHAnsi" w:hAnsiTheme="majorHAnsi" w:cstheme="minorHAnsi"/>
                <w:noProof/>
                <w:webHidden/>
                <w:sz w:val="28"/>
                <w:szCs w:val="28"/>
              </w:rPr>
              <w:t>19</w:t>
            </w:r>
            <w:r w:rsidR="0084618D" w:rsidRPr="0084618D">
              <w:rPr>
                <w:rFonts w:asciiTheme="majorHAnsi" w:hAnsiTheme="majorHAnsi" w:cstheme="minorHAnsi"/>
                <w:noProof/>
                <w:webHidden/>
                <w:sz w:val="28"/>
                <w:szCs w:val="28"/>
              </w:rPr>
              <w:fldChar w:fldCharType="end"/>
            </w:r>
          </w:hyperlink>
        </w:p>
        <w:p w:rsidR="005351E2" w:rsidRDefault="005351E2" w:rsidP="00420A1E">
          <w:pPr>
            <w:keepNext/>
            <w:keepLines/>
            <w:suppressAutoHyphens/>
          </w:pPr>
          <w:r w:rsidRPr="0084618D">
            <w:rPr>
              <w:rFonts w:asciiTheme="majorHAnsi" w:hAnsiTheme="majorHAnsi" w:cstheme="minorHAnsi"/>
              <w:b/>
              <w:bCs/>
              <w:sz w:val="28"/>
              <w:szCs w:val="28"/>
            </w:rPr>
            <w:fldChar w:fldCharType="end"/>
          </w:r>
        </w:p>
      </w:sdtContent>
    </w:sdt>
    <w:p w:rsidR="005351E2" w:rsidRPr="00AA5FDA" w:rsidRDefault="00AA5FDA" w:rsidP="00420A1E">
      <w:pPr>
        <w:pStyle w:val="En-ttedetabledesmatires"/>
        <w:suppressAutoHyphens/>
        <w:jc w:val="center"/>
        <w:rPr>
          <w:rFonts w:ascii="Times New Roman" w:hAnsi="Times New Roman" w:cs="Times New Roman"/>
          <w:color w:val="auto"/>
          <w:sz w:val="36"/>
          <w:szCs w:val="26"/>
          <w:u w:val="single"/>
        </w:rPr>
      </w:pPr>
      <w:r w:rsidRPr="00AA5FDA">
        <w:rPr>
          <w:rFonts w:ascii="Times New Roman" w:hAnsi="Times New Roman" w:cs="Times New Roman"/>
          <w:color w:val="auto"/>
          <w:sz w:val="36"/>
          <w:szCs w:val="26"/>
          <w:u w:val="single"/>
        </w:rPr>
        <w:t>Liste des graphiques</w:t>
      </w:r>
    </w:p>
    <w:p w:rsidR="00AA5FDA" w:rsidRDefault="00AA5FDA" w:rsidP="00420A1E">
      <w:pPr>
        <w:pStyle w:val="Paragraphedeliste"/>
        <w:keepNext/>
        <w:keepLines/>
        <w:suppressAutoHyphens/>
        <w:ind w:left="360"/>
        <w:jc w:val="both"/>
        <w:rPr>
          <w:rFonts w:ascii="Times New Roman" w:hAnsi="Times New Roman" w:cs="Times New Roman"/>
          <w:sz w:val="26"/>
          <w:szCs w:val="26"/>
        </w:rPr>
      </w:pPr>
      <w:r w:rsidRPr="001E2C42">
        <w:rPr>
          <w:rFonts w:ascii="Times New Roman" w:hAnsi="Times New Roman" w:cs="Times New Roman"/>
          <w:b/>
          <w:sz w:val="26"/>
          <w:szCs w:val="26"/>
          <w:u w:val="single"/>
        </w:rPr>
        <w:t>Graphique N°1</w:t>
      </w:r>
      <w:r>
        <w:rPr>
          <w:rFonts w:ascii="Times New Roman" w:hAnsi="Times New Roman" w:cs="Times New Roman"/>
          <w:sz w:val="26"/>
          <w:szCs w:val="26"/>
        </w:rPr>
        <w:t> : Evolution des taux de couverture des billets et monnaies de la BCEAO par les comptes d’opérations (en %)</w:t>
      </w:r>
    </w:p>
    <w:p w:rsidR="00AA5FDA" w:rsidRDefault="00AA5FDA" w:rsidP="00420A1E">
      <w:pPr>
        <w:pStyle w:val="Paragraphedeliste"/>
        <w:keepNext/>
        <w:keepLines/>
        <w:suppressAutoHyphens/>
        <w:ind w:left="360"/>
        <w:jc w:val="both"/>
        <w:rPr>
          <w:rFonts w:ascii="Times New Roman" w:hAnsi="Times New Roman" w:cs="Times New Roman"/>
          <w:sz w:val="26"/>
          <w:szCs w:val="26"/>
        </w:rPr>
      </w:pPr>
      <w:r w:rsidRPr="001E2C42">
        <w:rPr>
          <w:rFonts w:ascii="Times New Roman" w:hAnsi="Times New Roman" w:cs="Times New Roman"/>
          <w:b/>
          <w:sz w:val="26"/>
          <w:szCs w:val="26"/>
          <w:u w:val="single"/>
        </w:rPr>
        <w:t>Graphique N°</w:t>
      </w:r>
      <w:r>
        <w:rPr>
          <w:rFonts w:ascii="Times New Roman" w:hAnsi="Times New Roman" w:cs="Times New Roman"/>
          <w:b/>
          <w:sz w:val="26"/>
          <w:szCs w:val="26"/>
          <w:u w:val="single"/>
        </w:rPr>
        <w:t>2</w:t>
      </w:r>
      <w:r>
        <w:rPr>
          <w:rFonts w:ascii="Times New Roman" w:hAnsi="Times New Roman" w:cs="Times New Roman"/>
          <w:sz w:val="26"/>
          <w:szCs w:val="26"/>
        </w:rPr>
        <w:t> : Evolution de la situation des comptes d’opérations 2002-2014</w:t>
      </w:r>
    </w:p>
    <w:p w:rsidR="00AA5FDA" w:rsidRPr="00BB0A60" w:rsidRDefault="00AA5FDA" w:rsidP="00420A1E">
      <w:pPr>
        <w:pStyle w:val="Paragraphedeliste"/>
        <w:keepNext/>
        <w:keepLines/>
        <w:suppressAutoHyphens/>
        <w:ind w:left="360"/>
        <w:jc w:val="both"/>
        <w:rPr>
          <w:rFonts w:ascii="Times New Roman" w:hAnsi="Times New Roman" w:cs="Times New Roman"/>
          <w:sz w:val="26"/>
          <w:szCs w:val="26"/>
        </w:rPr>
      </w:pPr>
      <w:r>
        <w:rPr>
          <w:rFonts w:ascii="Times New Roman" w:hAnsi="Times New Roman" w:cs="Times New Roman"/>
          <w:sz w:val="26"/>
          <w:szCs w:val="26"/>
        </w:rPr>
        <w:t xml:space="preserve">                                           </w:t>
      </w:r>
      <w:r w:rsidRPr="00BB0A60">
        <w:rPr>
          <w:rFonts w:ascii="Times New Roman" w:hAnsi="Times New Roman" w:cs="Times New Roman"/>
          <w:sz w:val="26"/>
          <w:szCs w:val="26"/>
        </w:rPr>
        <w:t>(En milliards de FCFA)</w:t>
      </w:r>
    </w:p>
    <w:p w:rsidR="00AA5FDA" w:rsidRDefault="00AA5FDA" w:rsidP="00420A1E">
      <w:pPr>
        <w:pStyle w:val="Paragraphedeliste"/>
        <w:keepNext/>
        <w:keepLines/>
        <w:suppressAutoHyphens/>
        <w:ind w:left="360"/>
        <w:jc w:val="both"/>
        <w:rPr>
          <w:rFonts w:ascii="Times New Roman" w:hAnsi="Times New Roman" w:cs="Times New Roman"/>
          <w:sz w:val="26"/>
          <w:szCs w:val="26"/>
        </w:rPr>
      </w:pPr>
      <w:r w:rsidRPr="001E2C42">
        <w:rPr>
          <w:rFonts w:ascii="Times New Roman" w:hAnsi="Times New Roman" w:cs="Times New Roman"/>
          <w:b/>
          <w:sz w:val="26"/>
          <w:szCs w:val="26"/>
          <w:u w:val="single"/>
        </w:rPr>
        <w:t>Graphique N°</w:t>
      </w:r>
      <w:r>
        <w:rPr>
          <w:rFonts w:ascii="Times New Roman" w:hAnsi="Times New Roman" w:cs="Times New Roman"/>
          <w:b/>
          <w:sz w:val="26"/>
          <w:szCs w:val="26"/>
          <w:u w:val="single"/>
        </w:rPr>
        <w:t>3</w:t>
      </w:r>
      <w:r>
        <w:rPr>
          <w:rFonts w:ascii="Times New Roman" w:hAnsi="Times New Roman" w:cs="Times New Roman"/>
          <w:sz w:val="26"/>
          <w:szCs w:val="26"/>
        </w:rPr>
        <w:t> : Evolution de la situation des Avoirs Extérieurs Nets (AEN)</w:t>
      </w:r>
    </w:p>
    <w:p w:rsidR="00AA5FDA" w:rsidRPr="00BB0A60" w:rsidRDefault="00AA5FDA" w:rsidP="00420A1E">
      <w:pPr>
        <w:pStyle w:val="Paragraphedeliste"/>
        <w:keepNext/>
        <w:keepLines/>
        <w:suppressAutoHyphens/>
        <w:ind w:left="360"/>
        <w:jc w:val="both"/>
        <w:rPr>
          <w:rFonts w:ascii="Times New Roman" w:hAnsi="Times New Roman" w:cs="Times New Roman"/>
          <w:sz w:val="26"/>
          <w:szCs w:val="26"/>
        </w:rPr>
      </w:pPr>
      <w:r>
        <w:rPr>
          <w:rFonts w:ascii="Times New Roman" w:hAnsi="Times New Roman" w:cs="Times New Roman"/>
          <w:sz w:val="26"/>
          <w:szCs w:val="26"/>
        </w:rPr>
        <w:t xml:space="preserve">                                           </w:t>
      </w:r>
      <w:r w:rsidRPr="00BB0A60">
        <w:rPr>
          <w:rFonts w:ascii="Times New Roman" w:hAnsi="Times New Roman" w:cs="Times New Roman"/>
          <w:sz w:val="26"/>
          <w:szCs w:val="26"/>
        </w:rPr>
        <w:t>(En milliards de FCFA)</w:t>
      </w:r>
    </w:p>
    <w:p w:rsidR="005351E2" w:rsidRDefault="005351E2" w:rsidP="00420A1E">
      <w:pPr>
        <w:keepNext/>
        <w:keepLines/>
        <w:suppressAutoHyphens/>
        <w:jc w:val="both"/>
        <w:rPr>
          <w:rFonts w:ascii="Times New Roman" w:hAnsi="Times New Roman" w:cs="Times New Roman"/>
          <w:b/>
          <w:sz w:val="26"/>
          <w:szCs w:val="26"/>
        </w:rPr>
      </w:pPr>
    </w:p>
    <w:p w:rsidR="005351E2" w:rsidRDefault="005351E2" w:rsidP="00420A1E">
      <w:pPr>
        <w:keepNext/>
        <w:keepLines/>
        <w:suppressAutoHyphens/>
        <w:jc w:val="both"/>
        <w:rPr>
          <w:rFonts w:ascii="Times New Roman" w:hAnsi="Times New Roman" w:cs="Times New Roman"/>
          <w:b/>
          <w:sz w:val="26"/>
          <w:szCs w:val="26"/>
        </w:rPr>
      </w:pPr>
    </w:p>
    <w:p w:rsidR="005351E2" w:rsidRDefault="005351E2" w:rsidP="00420A1E">
      <w:pPr>
        <w:keepNext/>
        <w:keepLines/>
        <w:suppressAutoHyphens/>
        <w:jc w:val="both"/>
        <w:rPr>
          <w:rFonts w:ascii="Times New Roman" w:hAnsi="Times New Roman" w:cs="Times New Roman"/>
          <w:b/>
          <w:sz w:val="26"/>
          <w:szCs w:val="26"/>
        </w:rPr>
      </w:pPr>
    </w:p>
    <w:p w:rsidR="005351E2" w:rsidRDefault="005351E2" w:rsidP="00420A1E">
      <w:pPr>
        <w:keepNext/>
        <w:keepLines/>
        <w:suppressAutoHyphens/>
        <w:jc w:val="both"/>
        <w:rPr>
          <w:rFonts w:ascii="Times New Roman" w:hAnsi="Times New Roman" w:cs="Times New Roman"/>
          <w:b/>
          <w:sz w:val="26"/>
          <w:szCs w:val="26"/>
        </w:rPr>
      </w:pPr>
    </w:p>
    <w:p w:rsidR="005351E2" w:rsidRDefault="005351E2" w:rsidP="00420A1E">
      <w:pPr>
        <w:keepNext/>
        <w:keepLines/>
        <w:suppressAutoHyphens/>
        <w:jc w:val="both"/>
        <w:rPr>
          <w:rFonts w:ascii="Times New Roman" w:hAnsi="Times New Roman" w:cs="Times New Roman"/>
          <w:b/>
          <w:sz w:val="26"/>
          <w:szCs w:val="26"/>
        </w:rPr>
      </w:pPr>
    </w:p>
    <w:p w:rsidR="005351E2" w:rsidRDefault="005351E2" w:rsidP="00420A1E">
      <w:pPr>
        <w:keepNext/>
        <w:keepLines/>
        <w:suppressAutoHyphens/>
        <w:jc w:val="both"/>
        <w:rPr>
          <w:rFonts w:ascii="Times New Roman" w:hAnsi="Times New Roman" w:cs="Times New Roman"/>
          <w:b/>
          <w:sz w:val="26"/>
          <w:szCs w:val="26"/>
        </w:rPr>
      </w:pPr>
    </w:p>
    <w:p w:rsidR="005351E2" w:rsidRDefault="005351E2" w:rsidP="00420A1E">
      <w:pPr>
        <w:keepNext/>
        <w:keepLines/>
        <w:suppressAutoHyphens/>
        <w:jc w:val="both"/>
        <w:rPr>
          <w:rFonts w:ascii="Times New Roman" w:hAnsi="Times New Roman" w:cs="Times New Roman"/>
          <w:b/>
          <w:sz w:val="26"/>
          <w:szCs w:val="26"/>
        </w:rPr>
      </w:pPr>
    </w:p>
    <w:p w:rsidR="005351E2" w:rsidRDefault="005351E2" w:rsidP="00420A1E">
      <w:pPr>
        <w:keepNext/>
        <w:keepLines/>
        <w:suppressAutoHyphens/>
        <w:jc w:val="both"/>
        <w:rPr>
          <w:rFonts w:ascii="Times New Roman" w:hAnsi="Times New Roman" w:cs="Times New Roman"/>
          <w:b/>
          <w:sz w:val="26"/>
          <w:szCs w:val="26"/>
        </w:rPr>
      </w:pPr>
    </w:p>
    <w:p w:rsidR="005351E2" w:rsidRDefault="005351E2" w:rsidP="00420A1E">
      <w:pPr>
        <w:keepNext/>
        <w:keepLines/>
        <w:suppressAutoHyphens/>
        <w:jc w:val="both"/>
        <w:rPr>
          <w:rFonts w:ascii="Times New Roman" w:hAnsi="Times New Roman" w:cs="Times New Roman"/>
          <w:b/>
          <w:sz w:val="26"/>
          <w:szCs w:val="26"/>
        </w:rPr>
      </w:pPr>
    </w:p>
    <w:p w:rsidR="005351E2" w:rsidRPr="005351E2" w:rsidRDefault="005351E2" w:rsidP="00420A1E">
      <w:pPr>
        <w:pStyle w:val="Titre1"/>
        <w:keepNext/>
        <w:keepLines/>
        <w:numPr>
          <w:ilvl w:val="0"/>
          <w:numId w:val="5"/>
        </w:numPr>
        <w:suppressAutoHyphens/>
        <w:rPr>
          <w:sz w:val="32"/>
        </w:rPr>
      </w:pPr>
      <w:bookmarkStart w:id="0" w:name="_Toc428947861"/>
      <w:r w:rsidRPr="005351E2">
        <w:rPr>
          <w:sz w:val="32"/>
        </w:rPr>
        <w:lastRenderedPageBreak/>
        <w:t>Introduction :</w:t>
      </w:r>
      <w:bookmarkEnd w:id="0"/>
    </w:p>
    <w:p w:rsidR="00DD144D" w:rsidRPr="00833484" w:rsidRDefault="00CC56D7"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i/>
          <w:sz w:val="26"/>
          <w:szCs w:val="26"/>
        </w:rPr>
        <w:t xml:space="preserve"> </w:t>
      </w:r>
      <w:r w:rsidR="007931DB" w:rsidRPr="00833484">
        <w:rPr>
          <w:rFonts w:ascii="Times New Roman" w:hAnsi="Times New Roman" w:cs="Times New Roman"/>
          <w:i/>
          <w:sz w:val="26"/>
          <w:szCs w:val="26"/>
        </w:rPr>
        <w:t xml:space="preserve">« Le débat </w:t>
      </w:r>
      <w:r w:rsidR="00AD0563" w:rsidRPr="00833484">
        <w:rPr>
          <w:rFonts w:ascii="Times New Roman" w:hAnsi="Times New Roman" w:cs="Times New Roman"/>
          <w:i/>
          <w:sz w:val="26"/>
          <w:szCs w:val="26"/>
        </w:rPr>
        <w:t>sur une prochaine sortie de la Z</w:t>
      </w:r>
      <w:r w:rsidR="007931DB" w:rsidRPr="00833484">
        <w:rPr>
          <w:rFonts w:ascii="Times New Roman" w:hAnsi="Times New Roman" w:cs="Times New Roman"/>
          <w:i/>
          <w:sz w:val="26"/>
          <w:szCs w:val="26"/>
        </w:rPr>
        <w:t>one</w:t>
      </w:r>
      <w:r w:rsidR="00AD0563" w:rsidRPr="00833484">
        <w:rPr>
          <w:rFonts w:ascii="Times New Roman" w:hAnsi="Times New Roman" w:cs="Times New Roman"/>
          <w:i/>
          <w:sz w:val="26"/>
          <w:szCs w:val="26"/>
        </w:rPr>
        <w:t xml:space="preserve"> franc</w:t>
      </w:r>
      <w:r w:rsidR="007931DB" w:rsidRPr="00833484">
        <w:rPr>
          <w:rFonts w:ascii="Times New Roman" w:hAnsi="Times New Roman" w:cs="Times New Roman"/>
          <w:i/>
          <w:sz w:val="26"/>
          <w:szCs w:val="26"/>
        </w:rPr>
        <w:t xml:space="preserve"> doit être posé »</w:t>
      </w:r>
      <w:r w:rsidR="007931DB" w:rsidRPr="00833484">
        <w:rPr>
          <w:rFonts w:ascii="Times New Roman" w:hAnsi="Times New Roman" w:cs="Times New Roman"/>
          <w:sz w:val="26"/>
          <w:szCs w:val="26"/>
        </w:rPr>
        <w:t xml:space="preserve"> lançait l’ancien Premier Ministre Moussa MARA le 23 juillet 2015 lors d’une émission de la radio renouveau FM </w:t>
      </w:r>
      <w:r w:rsidR="00EC7881" w:rsidRPr="00833484">
        <w:rPr>
          <w:rFonts w:ascii="Times New Roman" w:hAnsi="Times New Roman" w:cs="Times New Roman"/>
          <w:sz w:val="26"/>
          <w:szCs w:val="26"/>
        </w:rPr>
        <w:t xml:space="preserve">dans le débat qui l’opposait </w:t>
      </w:r>
      <w:r w:rsidR="003E758F" w:rsidRPr="00833484">
        <w:rPr>
          <w:rFonts w:ascii="Times New Roman" w:hAnsi="Times New Roman" w:cs="Times New Roman"/>
          <w:sz w:val="26"/>
          <w:szCs w:val="26"/>
        </w:rPr>
        <w:t xml:space="preserve">à l’économiste, le </w:t>
      </w:r>
      <w:r w:rsidR="007931DB" w:rsidRPr="00833484">
        <w:rPr>
          <w:rFonts w:ascii="Times New Roman" w:hAnsi="Times New Roman" w:cs="Times New Roman"/>
          <w:sz w:val="26"/>
          <w:szCs w:val="26"/>
        </w:rPr>
        <w:t xml:space="preserve">Pr Abdoulaye NIANG. </w:t>
      </w:r>
      <w:r w:rsidR="004164B7" w:rsidRPr="00833484">
        <w:rPr>
          <w:rFonts w:ascii="Times New Roman" w:hAnsi="Times New Roman" w:cs="Times New Roman"/>
          <w:sz w:val="26"/>
          <w:szCs w:val="26"/>
        </w:rPr>
        <w:t xml:space="preserve">Aussi, </w:t>
      </w:r>
      <w:r w:rsidR="00DD144D" w:rsidRPr="00833484">
        <w:rPr>
          <w:rFonts w:ascii="Times New Roman" w:hAnsi="Times New Roman" w:cs="Times New Roman"/>
          <w:sz w:val="26"/>
          <w:szCs w:val="26"/>
        </w:rPr>
        <w:t>la</w:t>
      </w:r>
      <w:r w:rsidR="00C72EB4" w:rsidRPr="00833484">
        <w:rPr>
          <w:rFonts w:ascii="Times New Roman" w:hAnsi="Times New Roman" w:cs="Times New Roman"/>
          <w:sz w:val="26"/>
          <w:szCs w:val="26"/>
        </w:rPr>
        <w:t xml:space="preserve"> très fracassante</w:t>
      </w:r>
      <w:r w:rsidR="00DD144D" w:rsidRPr="00833484">
        <w:rPr>
          <w:rFonts w:ascii="Times New Roman" w:hAnsi="Times New Roman" w:cs="Times New Roman"/>
          <w:sz w:val="26"/>
          <w:szCs w:val="26"/>
        </w:rPr>
        <w:t xml:space="preserve"> </w:t>
      </w:r>
      <w:r w:rsidR="0022043E" w:rsidRPr="00833484">
        <w:rPr>
          <w:rFonts w:ascii="Times New Roman" w:hAnsi="Times New Roman" w:cs="Times New Roman"/>
          <w:sz w:val="26"/>
          <w:szCs w:val="26"/>
        </w:rPr>
        <w:t xml:space="preserve">récente </w:t>
      </w:r>
      <w:r w:rsidR="00DD144D" w:rsidRPr="00833484">
        <w:rPr>
          <w:rFonts w:ascii="Times New Roman" w:hAnsi="Times New Roman" w:cs="Times New Roman"/>
          <w:sz w:val="26"/>
          <w:szCs w:val="26"/>
        </w:rPr>
        <w:t>déclaration du Président tchadien</w:t>
      </w:r>
      <w:r w:rsidR="00C72EB4" w:rsidRPr="00833484">
        <w:rPr>
          <w:rFonts w:ascii="Times New Roman" w:hAnsi="Times New Roman" w:cs="Times New Roman"/>
          <w:sz w:val="26"/>
          <w:szCs w:val="26"/>
        </w:rPr>
        <w:t xml:space="preserve"> </w:t>
      </w:r>
      <w:r w:rsidR="007C3A91" w:rsidRPr="00833484">
        <w:rPr>
          <w:rFonts w:ascii="Times New Roman" w:hAnsi="Times New Roman" w:cs="Times New Roman"/>
          <w:sz w:val="26"/>
          <w:szCs w:val="26"/>
        </w:rPr>
        <w:t xml:space="preserve">Son Excellence </w:t>
      </w:r>
      <w:r w:rsidR="00F62814" w:rsidRPr="00833484">
        <w:rPr>
          <w:rFonts w:ascii="Times New Roman" w:hAnsi="Times New Roman" w:cs="Times New Roman"/>
          <w:sz w:val="26"/>
          <w:szCs w:val="26"/>
        </w:rPr>
        <w:t xml:space="preserve">Idriss </w:t>
      </w:r>
      <w:proofErr w:type="spellStart"/>
      <w:r w:rsidR="00F62814" w:rsidRPr="00833484">
        <w:rPr>
          <w:rFonts w:ascii="Times New Roman" w:hAnsi="Times New Roman" w:cs="Times New Roman"/>
          <w:sz w:val="26"/>
          <w:szCs w:val="26"/>
        </w:rPr>
        <w:t>Déby</w:t>
      </w:r>
      <w:proofErr w:type="spellEnd"/>
      <w:r w:rsidR="00F62814" w:rsidRPr="00833484">
        <w:rPr>
          <w:rFonts w:ascii="Times New Roman" w:hAnsi="Times New Roman" w:cs="Times New Roman"/>
          <w:sz w:val="26"/>
          <w:szCs w:val="26"/>
        </w:rPr>
        <w:t xml:space="preserve"> ITNO </w:t>
      </w:r>
      <w:r w:rsidR="00C72EB4" w:rsidRPr="00833484">
        <w:rPr>
          <w:rFonts w:ascii="Times New Roman" w:hAnsi="Times New Roman" w:cs="Times New Roman"/>
          <w:sz w:val="26"/>
          <w:szCs w:val="26"/>
        </w:rPr>
        <w:t>lors du 55</w:t>
      </w:r>
      <w:r w:rsidR="00C72EB4" w:rsidRPr="00833484">
        <w:rPr>
          <w:rFonts w:ascii="Times New Roman" w:hAnsi="Times New Roman" w:cs="Times New Roman"/>
          <w:sz w:val="26"/>
          <w:szCs w:val="26"/>
          <w:vertAlign w:val="superscript"/>
        </w:rPr>
        <w:t>ème</w:t>
      </w:r>
      <w:r w:rsidR="00C72EB4" w:rsidRPr="00833484">
        <w:rPr>
          <w:rFonts w:ascii="Times New Roman" w:hAnsi="Times New Roman" w:cs="Times New Roman"/>
          <w:sz w:val="26"/>
          <w:szCs w:val="26"/>
        </w:rPr>
        <w:t xml:space="preserve"> anniversaire de son pays le mardi 11 Août 2015 jette un </w:t>
      </w:r>
      <w:r w:rsidR="00F62814" w:rsidRPr="00833484">
        <w:rPr>
          <w:rFonts w:ascii="Times New Roman" w:hAnsi="Times New Roman" w:cs="Times New Roman"/>
          <w:sz w:val="26"/>
          <w:szCs w:val="26"/>
        </w:rPr>
        <w:t>gros</w:t>
      </w:r>
      <w:r w:rsidR="00C72EB4" w:rsidRPr="00833484">
        <w:rPr>
          <w:rFonts w:ascii="Times New Roman" w:hAnsi="Times New Roman" w:cs="Times New Roman"/>
          <w:sz w:val="26"/>
          <w:szCs w:val="26"/>
        </w:rPr>
        <w:t xml:space="preserve"> pavé dans la mare</w:t>
      </w:r>
      <w:r w:rsidR="007C3A91" w:rsidRPr="00833484">
        <w:rPr>
          <w:rFonts w:ascii="Times New Roman" w:hAnsi="Times New Roman" w:cs="Times New Roman"/>
          <w:sz w:val="26"/>
          <w:szCs w:val="26"/>
        </w:rPr>
        <w:t xml:space="preserve"> monétaire de la Zone franc</w:t>
      </w:r>
      <w:r w:rsidR="00C72EB4" w:rsidRPr="00833484">
        <w:rPr>
          <w:rFonts w:ascii="Times New Roman" w:hAnsi="Times New Roman" w:cs="Times New Roman"/>
          <w:sz w:val="26"/>
          <w:szCs w:val="26"/>
        </w:rPr>
        <w:t xml:space="preserve">. </w:t>
      </w:r>
      <w:r w:rsidR="004B0BDA" w:rsidRPr="00833484">
        <w:rPr>
          <w:rFonts w:ascii="Times New Roman" w:hAnsi="Times New Roman" w:cs="Times New Roman"/>
          <w:sz w:val="26"/>
          <w:szCs w:val="26"/>
        </w:rPr>
        <w:t xml:space="preserve">En effet, </w:t>
      </w:r>
      <w:r w:rsidR="00D17500" w:rsidRPr="00833484">
        <w:rPr>
          <w:rFonts w:ascii="Times New Roman" w:hAnsi="Times New Roman" w:cs="Times New Roman"/>
          <w:sz w:val="26"/>
          <w:szCs w:val="26"/>
        </w:rPr>
        <w:t>voyons quelques extraits de ces</w:t>
      </w:r>
      <w:r w:rsidR="001C09CD" w:rsidRPr="00833484">
        <w:rPr>
          <w:rFonts w:ascii="Times New Roman" w:hAnsi="Times New Roman" w:cs="Times New Roman"/>
          <w:sz w:val="26"/>
          <w:szCs w:val="26"/>
        </w:rPr>
        <w:t xml:space="preserve"> déclarations sur notre coopération monétaire</w:t>
      </w:r>
      <w:r w:rsidR="00C17765" w:rsidRPr="00833484">
        <w:rPr>
          <w:rFonts w:ascii="Times New Roman" w:hAnsi="Times New Roman" w:cs="Times New Roman"/>
          <w:sz w:val="26"/>
          <w:szCs w:val="26"/>
        </w:rPr>
        <w:t xml:space="preserve"> commune</w:t>
      </w:r>
      <w:r w:rsidR="001C09CD" w:rsidRPr="00833484">
        <w:rPr>
          <w:rFonts w:ascii="Times New Roman" w:hAnsi="Times New Roman" w:cs="Times New Roman"/>
          <w:sz w:val="26"/>
          <w:szCs w:val="26"/>
        </w:rPr>
        <w:t xml:space="preserve"> avec l’Hexagone</w:t>
      </w:r>
      <w:r w:rsidR="004B0BDA" w:rsidRPr="00833484">
        <w:rPr>
          <w:rFonts w:ascii="Times New Roman" w:hAnsi="Times New Roman" w:cs="Times New Roman"/>
          <w:sz w:val="26"/>
          <w:szCs w:val="26"/>
        </w:rPr>
        <w:t xml:space="preserve"> : </w:t>
      </w:r>
      <w:r w:rsidR="002C1620" w:rsidRPr="00833484">
        <w:rPr>
          <w:rFonts w:ascii="Times New Roman" w:hAnsi="Times New Roman" w:cs="Times New Roman"/>
          <w:i/>
          <w:sz w:val="26"/>
          <w:szCs w:val="26"/>
        </w:rPr>
        <w:t>« …Ces clauses tirent l’économie de l’Afrique vers le bas, ces clauses ne nous permettront pas de se développer av</w:t>
      </w:r>
      <w:r w:rsidR="00D77D07" w:rsidRPr="00833484">
        <w:rPr>
          <w:rFonts w:ascii="Times New Roman" w:hAnsi="Times New Roman" w:cs="Times New Roman"/>
          <w:i/>
          <w:sz w:val="26"/>
          <w:szCs w:val="26"/>
        </w:rPr>
        <w:t xml:space="preserve">ec cette monnaie-là </w:t>
      </w:r>
      <w:r w:rsidR="004B0BDA" w:rsidRPr="00833484">
        <w:rPr>
          <w:rFonts w:ascii="Times New Roman" w:hAnsi="Times New Roman" w:cs="Times New Roman"/>
          <w:i/>
          <w:sz w:val="26"/>
          <w:szCs w:val="26"/>
        </w:rPr>
        <w:t>….le moment venu, faire de cette monnaie une monnaie convertible et une monnaie qui permet à tous ces pays qui utilisent encore le FCFA de se développer. Je crois que c’est une décision courageuse que nos amis français doivent prendre</w:t>
      </w:r>
      <w:r w:rsidR="00FC033B" w:rsidRPr="00833484">
        <w:rPr>
          <w:rFonts w:ascii="Times New Roman" w:hAnsi="Times New Roman" w:cs="Times New Roman"/>
          <w:i/>
          <w:sz w:val="26"/>
          <w:szCs w:val="26"/>
        </w:rPr>
        <w:t>…</w:t>
      </w:r>
      <w:r w:rsidR="004B0BDA" w:rsidRPr="00833484">
        <w:rPr>
          <w:rFonts w:ascii="Times New Roman" w:hAnsi="Times New Roman" w:cs="Times New Roman"/>
          <w:i/>
          <w:sz w:val="26"/>
          <w:szCs w:val="26"/>
        </w:rPr>
        <w:t>»</w:t>
      </w:r>
      <w:r w:rsidR="002C1620" w:rsidRPr="00833484">
        <w:rPr>
          <w:rFonts w:ascii="Times New Roman" w:hAnsi="Times New Roman" w:cs="Times New Roman"/>
          <w:i/>
          <w:sz w:val="26"/>
          <w:szCs w:val="26"/>
        </w:rPr>
        <w:t>.</w:t>
      </w:r>
    </w:p>
    <w:p w:rsidR="00EA4867" w:rsidRPr="00833484" w:rsidRDefault="00EA4867"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sz w:val="26"/>
          <w:szCs w:val="26"/>
        </w:rPr>
        <w:t>Ces déclarations sont-elles populistes ou s’agit-il de faire monter la surenchère face</w:t>
      </w:r>
      <w:r w:rsidR="00FE092B" w:rsidRPr="00833484">
        <w:rPr>
          <w:rFonts w:ascii="Times New Roman" w:hAnsi="Times New Roman" w:cs="Times New Roman"/>
          <w:sz w:val="26"/>
          <w:szCs w:val="26"/>
        </w:rPr>
        <w:t xml:space="preserve"> à</w:t>
      </w:r>
      <w:r w:rsidRPr="00833484">
        <w:rPr>
          <w:rFonts w:ascii="Times New Roman" w:hAnsi="Times New Roman" w:cs="Times New Roman"/>
          <w:sz w:val="26"/>
          <w:szCs w:val="26"/>
        </w:rPr>
        <w:t xml:space="preserve"> une certaine difficulté politique vis-à-vis de l’Hexagone ? Est-ce une façon déguisée de faire déplacer le débat </w:t>
      </w:r>
      <w:r w:rsidR="00AE2DC8" w:rsidRPr="00833484">
        <w:rPr>
          <w:rFonts w:ascii="Times New Roman" w:hAnsi="Times New Roman" w:cs="Times New Roman"/>
          <w:sz w:val="26"/>
          <w:szCs w:val="26"/>
        </w:rPr>
        <w:t xml:space="preserve">politique interne vers l’extérieur </w:t>
      </w:r>
      <w:r w:rsidRPr="00833484">
        <w:rPr>
          <w:rFonts w:ascii="Times New Roman" w:hAnsi="Times New Roman" w:cs="Times New Roman"/>
          <w:sz w:val="26"/>
          <w:szCs w:val="26"/>
        </w:rPr>
        <w:t>en touchant à la vieille fibre nationaliste</w:t>
      </w:r>
      <w:r w:rsidR="00AE2DC8" w:rsidRPr="00833484">
        <w:rPr>
          <w:rFonts w:ascii="Times New Roman" w:hAnsi="Times New Roman" w:cs="Times New Roman"/>
          <w:sz w:val="26"/>
          <w:szCs w:val="26"/>
        </w:rPr>
        <w:t> ? Est-ce le moment est opportun pour faire ces genres de déclaration</w:t>
      </w:r>
      <w:r w:rsidR="00CB57CC" w:rsidRPr="00833484">
        <w:rPr>
          <w:rFonts w:ascii="Times New Roman" w:hAnsi="Times New Roman" w:cs="Times New Roman"/>
          <w:sz w:val="26"/>
          <w:szCs w:val="26"/>
        </w:rPr>
        <w:t xml:space="preserve"> vu les enjeux sécuritaires grandissants ? Quel est le bien-fondé de ces déclarations ? Voici autant de questions que l’</w:t>
      </w:r>
      <w:r w:rsidR="00185226" w:rsidRPr="00833484">
        <w:rPr>
          <w:rFonts w:ascii="Times New Roman" w:hAnsi="Times New Roman" w:cs="Times New Roman"/>
          <w:sz w:val="26"/>
          <w:szCs w:val="26"/>
        </w:rPr>
        <w:t>on est en droit de se poser comme citoyen lambda.</w:t>
      </w:r>
    </w:p>
    <w:p w:rsidR="005A52A1" w:rsidRPr="00833484" w:rsidRDefault="00271BF3"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sz w:val="26"/>
          <w:szCs w:val="26"/>
        </w:rPr>
        <w:t>Aussi</w:t>
      </w:r>
      <w:r w:rsidR="00CB2DED" w:rsidRPr="00833484">
        <w:rPr>
          <w:rFonts w:ascii="Times New Roman" w:hAnsi="Times New Roman" w:cs="Times New Roman"/>
          <w:sz w:val="26"/>
          <w:szCs w:val="26"/>
        </w:rPr>
        <w:t xml:space="preserve">, </w:t>
      </w:r>
      <w:r w:rsidR="00CD18CC" w:rsidRPr="00833484">
        <w:rPr>
          <w:rFonts w:ascii="Times New Roman" w:hAnsi="Times New Roman" w:cs="Times New Roman"/>
          <w:sz w:val="26"/>
          <w:szCs w:val="26"/>
        </w:rPr>
        <w:t xml:space="preserve">certaines critiques acerbes, assez nombreux, considèrent que le </w:t>
      </w:r>
      <w:r w:rsidR="00623C0D" w:rsidRPr="00833484">
        <w:rPr>
          <w:rFonts w:ascii="Times New Roman" w:hAnsi="Times New Roman" w:cs="Times New Roman"/>
          <w:sz w:val="26"/>
          <w:szCs w:val="26"/>
        </w:rPr>
        <w:t>f</w:t>
      </w:r>
      <w:r w:rsidR="00CD18CC" w:rsidRPr="00833484">
        <w:rPr>
          <w:rFonts w:ascii="Times New Roman" w:hAnsi="Times New Roman" w:cs="Times New Roman"/>
          <w:sz w:val="26"/>
          <w:szCs w:val="26"/>
        </w:rPr>
        <w:t xml:space="preserve">ranc CFA freine la compétitivité de nos exportations </w:t>
      </w:r>
      <w:r w:rsidR="004F55C0" w:rsidRPr="00833484">
        <w:rPr>
          <w:rFonts w:ascii="Times New Roman" w:hAnsi="Times New Roman" w:cs="Times New Roman"/>
          <w:sz w:val="26"/>
          <w:szCs w:val="26"/>
        </w:rPr>
        <w:t xml:space="preserve">de matières premières cotées sur les </w:t>
      </w:r>
      <w:r w:rsidR="00662992" w:rsidRPr="00833484">
        <w:rPr>
          <w:rFonts w:ascii="Times New Roman" w:hAnsi="Times New Roman" w:cs="Times New Roman"/>
          <w:sz w:val="26"/>
          <w:szCs w:val="26"/>
        </w:rPr>
        <w:t xml:space="preserve">principales </w:t>
      </w:r>
      <w:r w:rsidR="004F55C0" w:rsidRPr="00833484">
        <w:rPr>
          <w:rFonts w:ascii="Times New Roman" w:hAnsi="Times New Roman" w:cs="Times New Roman"/>
          <w:sz w:val="26"/>
          <w:szCs w:val="26"/>
        </w:rPr>
        <w:t xml:space="preserve">places </w:t>
      </w:r>
      <w:r w:rsidR="00662992" w:rsidRPr="00833484">
        <w:rPr>
          <w:rFonts w:ascii="Times New Roman" w:hAnsi="Times New Roman" w:cs="Times New Roman"/>
          <w:sz w:val="26"/>
          <w:szCs w:val="26"/>
        </w:rPr>
        <w:t>financières (</w:t>
      </w:r>
      <w:r w:rsidR="004F55C0" w:rsidRPr="00833484">
        <w:rPr>
          <w:rFonts w:ascii="Times New Roman" w:hAnsi="Times New Roman" w:cs="Times New Roman"/>
          <w:sz w:val="26"/>
          <w:szCs w:val="26"/>
        </w:rPr>
        <w:t>L</w:t>
      </w:r>
      <w:r w:rsidR="00662992" w:rsidRPr="00833484">
        <w:rPr>
          <w:rFonts w:ascii="Times New Roman" w:hAnsi="Times New Roman" w:cs="Times New Roman"/>
          <w:sz w:val="26"/>
          <w:szCs w:val="26"/>
        </w:rPr>
        <w:t xml:space="preserve">ondres, </w:t>
      </w:r>
      <w:r w:rsidR="004F55C0" w:rsidRPr="00833484">
        <w:rPr>
          <w:rFonts w:ascii="Times New Roman" w:hAnsi="Times New Roman" w:cs="Times New Roman"/>
          <w:sz w:val="26"/>
          <w:szCs w:val="26"/>
        </w:rPr>
        <w:t>New York</w:t>
      </w:r>
      <w:r w:rsidR="00662992" w:rsidRPr="00833484">
        <w:rPr>
          <w:rFonts w:ascii="Times New Roman" w:hAnsi="Times New Roman" w:cs="Times New Roman"/>
          <w:sz w:val="26"/>
          <w:szCs w:val="26"/>
        </w:rPr>
        <w:t>, et Paris)</w:t>
      </w:r>
      <w:r w:rsidR="004F55C0" w:rsidRPr="00833484">
        <w:rPr>
          <w:rFonts w:ascii="Times New Roman" w:hAnsi="Times New Roman" w:cs="Times New Roman"/>
          <w:sz w:val="26"/>
          <w:szCs w:val="26"/>
        </w:rPr>
        <w:t xml:space="preserve">, et </w:t>
      </w:r>
      <w:r w:rsidR="00302A06" w:rsidRPr="00833484">
        <w:rPr>
          <w:rFonts w:ascii="Times New Roman" w:hAnsi="Times New Roman" w:cs="Times New Roman"/>
          <w:sz w:val="26"/>
          <w:szCs w:val="26"/>
        </w:rPr>
        <w:t>payées en dollar</w:t>
      </w:r>
      <w:r w:rsidR="004F55C0" w:rsidRPr="00833484">
        <w:rPr>
          <w:rFonts w:ascii="Times New Roman" w:hAnsi="Times New Roman" w:cs="Times New Roman"/>
          <w:sz w:val="26"/>
          <w:szCs w:val="26"/>
        </w:rPr>
        <w:t>s ou livres sterling</w:t>
      </w:r>
      <w:r w:rsidR="002B238D" w:rsidRPr="00833484">
        <w:rPr>
          <w:rFonts w:ascii="Times New Roman" w:hAnsi="Times New Roman" w:cs="Times New Roman"/>
          <w:sz w:val="26"/>
          <w:szCs w:val="26"/>
        </w:rPr>
        <w:t xml:space="preserve"> </w:t>
      </w:r>
      <w:r w:rsidR="005C2EC3" w:rsidRPr="00833484">
        <w:rPr>
          <w:rFonts w:ascii="Times New Roman" w:hAnsi="Times New Roman" w:cs="Times New Roman"/>
          <w:sz w:val="26"/>
          <w:szCs w:val="26"/>
        </w:rPr>
        <w:t>face à un e</w:t>
      </w:r>
      <w:r w:rsidR="002B238D" w:rsidRPr="00833484">
        <w:rPr>
          <w:rFonts w:ascii="Times New Roman" w:hAnsi="Times New Roman" w:cs="Times New Roman"/>
          <w:sz w:val="26"/>
          <w:szCs w:val="26"/>
        </w:rPr>
        <w:t>uro fort pénalisant les exports</w:t>
      </w:r>
      <w:r w:rsidR="004F55C0" w:rsidRPr="00833484">
        <w:rPr>
          <w:rFonts w:ascii="Times New Roman" w:hAnsi="Times New Roman" w:cs="Times New Roman"/>
          <w:sz w:val="26"/>
          <w:szCs w:val="26"/>
        </w:rPr>
        <w:t>.</w:t>
      </w:r>
      <w:r w:rsidR="00CD18CC" w:rsidRPr="00833484">
        <w:rPr>
          <w:rFonts w:ascii="Times New Roman" w:hAnsi="Times New Roman" w:cs="Times New Roman"/>
          <w:sz w:val="26"/>
          <w:szCs w:val="26"/>
        </w:rPr>
        <w:t xml:space="preserve"> </w:t>
      </w:r>
      <w:r w:rsidR="004F55C0" w:rsidRPr="00833484">
        <w:rPr>
          <w:rFonts w:ascii="Times New Roman" w:hAnsi="Times New Roman" w:cs="Times New Roman"/>
          <w:sz w:val="26"/>
          <w:szCs w:val="26"/>
        </w:rPr>
        <w:t>D</w:t>
      </w:r>
      <w:r w:rsidR="00CD18CC" w:rsidRPr="00833484">
        <w:rPr>
          <w:rFonts w:ascii="Times New Roman" w:hAnsi="Times New Roman" w:cs="Times New Roman"/>
          <w:sz w:val="26"/>
          <w:szCs w:val="26"/>
        </w:rPr>
        <w:t>u coup</w:t>
      </w:r>
      <w:r w:rsidR="004F55C0" w:rsidRPr="00833484">
        <w:rPr>
          <w:rFonts w:ascii="Times New Roman" w:hAnsi="Times New Roman" w:cs="Times New Roman"/>
          <w:sz w:val="26"/>
          <w:szCs w:val="26"/>
        </w:rPr>
        <w:t>, ils</w:t>
      </w:r>
      <w:r w:rsidR="00CD18CC" w:rsidRPr="00833484">
        <w:rPr>
          <w:rFonts w:ascii="Times New Roman" w:hAnsi="Times New Roman" w:cs="Times New Roman"/>
          <w:sz w:val="26"/>
          <w:szCs w:val="26"/>
        </w:rPr>
        <w:t xml:space="preserve"> dénoncent</w:t>
      </w:r>
      <w:r w:rsidR="004164B7" w:rsidRPr="00833484">
        <w:rPr>
          <w:rFonts w:ascii="Times New Roman" w:hAnsi="Times New Roman" w:cs="Times New Roman"/>
          <w:sz w:val="26"/>
          <w:szCs w:val="26"/>
        </w:rPr>
        <w:t xml:space="preserve"> les accords de coopération monétaire nous liant à la France métropolitaine depuis plus de quarante ans.</w:t>
      </w:r>
      <w:r w:rsidR="0062054C" w:rsidRPr="00833484">
        <w:rPr>
          <w:rFonts w:ascii="Times New Roman" w:hAnsi="Times New Roman" w:cs="Times New Roman"/>
          <w:sz w:val="26"/>
          <w:szCs w:val="26"/>
        </w:rPr>
        <w:t xml:space="preserve"> Par ailleurs, subsistent des interrogations chez </w:t>
      </w:r>
      <w:r w:rsidR="009F426B" w:rsidRPr="00833484">
        <w:rPr>
          <w:rFonts w:ascii="Times New Roman" w:hAnsi="Times New Roman" w:cs="Times New Roman"/>
          <w:sz w:val="26"/>
          <w:szCs w:val="26"/>
        </w:rPr>
        <w:t xml:space="preserve">certains </w:t>
      </w:r>
      <w:r w:rsidR="0062054C" w:rsidRPr="00833484">
        <w:rPr>
          <w:rFonts w:ascii="Times New Roman" w:hAnsi="Times New Roman" w:cs="Times New Roman"/>
          <w:sz w:val="26"/>
          <w:szCs w:val="26"/>
        </w:rPr>
        <w:t>économiste</w:t>
      </w:r>
      <w:r w:rsidR="00CD1445" w:rsidRPr="00833484">
        <w:rPr>
          <w:rFonts w:ascii="Times New Roman" w:hAnsi="Times New Roman" w:cs="Times New Roman"/>
          <w:sz w:val="26"/>
          <w:szCs w:val="26"/>
        </w:rPr>
        <w:t>s</w:t>
      </w:r>
      <w:r w:rsidR="00D17500" w:rsidRPr="00833484">
        <w:rPr>
          <w:rFonts w:ascii="Times New Roman" w:hAnsi="Times New Roman" w:cs="Times New Roman"/>
          <w:sz w:val="26"/>
          <w:szCs w:val="26"/>
        </w:rPr>
        <w:t>, universitaires, chercheurs, et hommes politiques</w:t>
      </w:r>
      <w:r w:rsidR="0062054C" w:rsidRPr="00833484">
        <w:rPr>
          <w:rFonts w:ascii="Times New Roman" w:hAnsi="Times New Roman" w:cs="Times New Roman"/>
          <w:sz w:val="26"/>
          <w:szCs w:val="26"/>
        </w:rPr>
        <w:t xml:space="preserve"> sur la pertinence </w:t>
      </w:r>
      <w:r w:rsidR="009430FF" w:rsidRPr="00833484">
        <w:rPr>
          <w:rFonts w:ascii="Times New Roman" w:hAnsi="Times New Roman" w:cs="Times New Roman"/>
          <w:sz w:val="26"/>
          <w:szCs w:val="26"/>
        </w:rPr>
        <w:t xml:space="preserve">même </w:t>
      </w:r>
      <w:r w:rsidR="0062054C" w:rsidRPr="00833484">
        <w:rPr>
          <w:rFonts w:ascii="Times New Roman" w:hAnsi="Times New Roman" w:cs="Times New Roman"/>
          <w:sz w:val="26"/>
          <w:szCs w:val="26"/>
        </w:rPr>
        <w:t>de la coopération monétaire avec la France.</w:t>
      </w:r>
      <w:r w:rsidR="0022043E" w:rsidRPr="00833484">
        <w:rPr>
          <w:rFonts w:ascii="Times New Roman" w:hAnsi="Times New Roman" w:cs="Times New Roman"/>
          <w:sz w:val="26"/>
          <w:szCs w:val="26"/>
        </w:rPr>
        <w:t xml:space="preserve"> En tous les cas,</w:t>
      </w:r>
      <w:r w:rsidR="0098246B" w:rsidRPr="00833484">
        <w:rPr>
          <w:rFonts w:ascii="Times New Roman" w:hAnsi="Times New Roman" w:cs="Times New Roman"/>
          <w:sz w:val="26"/>
          <w:szCs w:val="26"/>
        </w:rPr>
        <w:t xml:space="preserve"> </w:t>
      </w:r>
      <w:r w:rsidR="0022043E" w:rsidRPr="00833484">
        <w:rPr>
          <w:rFonts w:ascii="Times New Roman" w:hAnsi="Times New Roman" w:cs="Times New Roman"/>
          <w:sz w:val="26"/>
          <w:szCs w:val="26"/>
        </w:rPr>
        <w:t>i</w:t>
      </w:r>
      <w:r w:rsidR="00AD35C6" w:rsidRPr="00833484">
        <w:rPr>
          <w:rFonts w:ascii="Times New Roman" w:hAnsi="Times New Roman" w:cs="Times New Roman"/>
          <w:sz w:val="26"/>
          <w:szCs w:val="26"/>
        </w:rPr>
        <w:t xml:space="preserve">l est </w:t>
      </w:r>
      <w:r w:rsidR="000642CF" w:rsidRPr="00833484">
        <w:rPr>
          <w:rFonts w:ascii="Times New Roman" w:hAnsi="Times New Roman" w:cs="Times New Roman"/>
          <w:sz w:val="26"/>
          <w:szCs w:val="26"/>
        </w:rPr>
        <w:t>évident, sans fard,</w:t>
      </w:r>
      <w:r w:rsidR="00A34C38" w:rsidRPr="00833484">
        <w:rPr>
          <w:rFonts w:ascii="Times New Roman" w:hAnsi="Times New Roman" w:cs="Times New Roman"/>
          <w:sz w:val="26"/>
          <w:szCs w:val="26"/>
        </w:rPr>
        <w:t xml:space="preserve"> </w:t>
      </w:r>
      <w:r w:rsidR="00AD35C6" w:rsidRPr="00833484">
        <w:rPr>
          <w:rFonts w:ascii="Times New Roman" w:hAnsi="Times New Roman" w:cs="Times New Roman"/>
          <w:sz w:val="26"/>
          <w:szCs w:val="26"/>
        </w:rPr>
        <w:t>que l</w:t>
      </w:r>
      <w:r w:rsidR="0098246B" w:rsidRPr="00833484">
        <w:rPr>
          <w:rFonts w:ascii="Times New Roman" w:hAnsi="Times New Roman" w:cs="Times New Roman"/>
          <w:sz w:val="26"/>
          <w:szCs w:val="26"/>
        </w:rPr>
        <w:t xml:space="preserve">a Zone franc a toujours fait l’objet </w:t>
      </w:r>
      <w:r w:rsidR="00040EA5" w:rsidRPr="00833484">
        <w:rPr>
          <w:rFonts w:ascii="Times New Roman" w:hAnsi="Times New Roman" w:cs="Times New Roman"/>
          <w:sz w:val="26"/>
          <w:szCs w:val="26"/>
        </w:rPr>
        <w:t xml:space="preserve">de débats </w:t>
      </w:r>
      <w:r w:rsidR="004E166F" w:rsidRPr="00833484">
        <w:rPr>
          <w:rFonts w:ascii="Times New Roman" w:hAnsi="Times New Roman" w:cs="Times New Roman"/>
          <w:sz w:val="26"/>
          <w:szCs w:val="26"/>
        </w:rPr>
        <w:t xml:space="preserve">en Afrique et </w:t>
      </w:r>
      <w:r w:rsidR="00DD144D" w:rsidRPr="00833484">
        <w:rPr>
          <w:rFonts w:ascii="Times New Roman" w:hAnsi="Times New Roman" w:cs="Times New Roman"/>
          <w:sz w:val="26"/>
          <w:szCs w:val="26"/>
        </w:rPr>
        <w:t xml:space="preserve">en </w:t>
      </w:r>
      <w:r w:rsidR="004E166F" w:rsidRPr="00833484">
        <w:rPr>
          <w:rFonts w:ascii="Times New Roman" w:hAnsi="Times New Roman" w:cs="Times New Roman"/>
          <w:sz w:val="26"/>
          <w:szCs w:val="26"/>
        </w:rPr>
        <w:t xml:space="preserve">France </w:t>
      </w:r>
      <w:r w:rsidR="00A34C38" w:rsidRPr="00833484">
        <w:rPr>
          <w:rFonts w:ascii="Times New Roman" w:hAnsi="Times New Roman" w:cs="Times New Roman"/>
          <w:sz w:val="26"/>
          <w:szCs w:val="26"/>
        </w:rPr>
        <w:t xml:space="preserve">depuis belles lurettes </w:t>
      </w:r>
      <w:r w:rsidR="0098246B" w:rsidRPr="00833484">
        <w:rPr>
          <w:rFonts w:ascii="Times New Roman" w:hAnsi="Times New Roman" w:cs="Times New Roman"/>
          <w:sz w:val="26"/>
          <w:szCs w:val="26"/>
        </w:rPr>
        <w:t>qua</w:t>
      </w:r>
      <w:r w:rsidR="00DD144D" w:rsidRPr="00833484">
        <w:rPr>
          <w:rFonts w:ascii="Times New Roman" w:hAnsi="Times New Roman" w:cs="Times New Roman"/>
          <w:sz w:val="26"/>
          <w:szCs w:val="26"/>
        </w:rPr>
        <w:t>nt à ses avantages et ses coûts</w:t>
      </w:r>
      <w:r w:rsidR="0098246B" w:rsidRPr="00833484">
        <w:rPr>
          <w:rFonts w:ascii="Times New Roman" w:hAnsi="Times New Roman" w:cs="Times New Roman"/>
          <w:sz w:val="26"/>
          <w:szCs w:val="26"/>
        </w:rPr>
        <w:t>.</w:t>
      </w:r>
    </w:p>
    <w:p w:rsidR="000620DB" w:rsidRDefault="000B16B4"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sz w:val="26"/>
          <w:szCs w:val="26"/>
        </w:rPr>
        <w:t xml:space="preserve">Alors face à cette situation, il s’avère </w:t>
      </w:r>
      <w:r w:rsidR="000642CF" w:rsidRPr="00833484">
        <w:rPr>
          <w:rFonts w:ascii="Times New Roman" w:hAnsi="Times New Roman" w:cs="Times New Roman"/>
          <w:sz w:val="26"/>
          <w:szCs w:val="26"/>
        </w:rPr>
        <w:t>primordial</w:t>
      </w:r>
      <w:r w:rsidRPr="00833484">
        <w:rPr>
          <w:rFonts w:ascii="Times New Roman" w:hAnsi="Times New Roman" w:cs="Times New Roman"/>
          <w:sz w:val="26"/>
          <w:szCs w:val="26"/>
        </w:rPr>
        <w:t xml:space="preserve"> </w:t>
      </w:r>
      <w:r w:rsidR="00F13E3D" w:rsidRPr="00833484">
        <w:rPr>
          <w:rFonts w:ascii="Times New Roman" w:hAnsi="Times New Roman" w:cs="Times New Roman"/>
          <w:sz w:val="26"/>
          <w:szCs w:val="26"/>
        </w:rPr>
        <w:t xml:space="preserve">pour nous d’éclairer les lanternes de nos différents lecteurs ou lectrices. Il s’agit </w:t>
      </w:r>
      <w:r w:rsidR="0081570E" w:rsidRPr="00833484">
        <w:rPr>
          <w:rFonts w:ascii="Times New Roman" w:hAnsi="Times New Roman" w:cs="Times New Roman"/>
          <w:sz w:val="26"/>
          <w:szCs w:val="26"/>
        </w:rPr>
        <w:t xml:space="preserve">pour nous </w:t>
      </w:r>
      <w:r w:rsidR="00F13E3D" w:rsidRPr="00833484">
        <w:rPr>
          <w:rFonts w:ascii="Times New Roman" w:hAnsi="Times New Roman" w:cs="Times New Roman"/>
          <w:sz w:val="26"/>
          <w:szCs w:val="26"/>
        </w:rPr>
        <w:t>de</w:t>
      </w:r>
      <w:r w:rsidRPr="00833484">
        <w:rPr>
          <w:rFonts w:ascii="Times New Roman" w:hAnsi="Times New Roman" w:cs="Times New Roman"/>
          <w:sz w:val="26"/>
          <w:szCs w:val="26"/>
        </w:rPr>
        <w:t xml:space="preserve"> </w:t>
      </w:r>
      <w:r w:rsidR="005E779F" w:rsidRPr="00833484">
        <w:rPr>
          <w:rFonts w:ascii="Times New Roman" w:hAnsi="Times New Roman" w:cs="Times New Roman"/>
          <w:sz w:val="26"/>
          <w:szCs w:val="26"/>
        </w:rPr>
        <w:t>présenter</w:t>
      </w:r>
      <w:r w:rsidR="00F13E3D" w:rsidRPr="00833484">
        <w:rPr>
          <w:rFonts w:ascii="Times New Roman" w:hAnsi="Times New Roman" w:cs="Times New Roman"/>
          <w:sz w:val="26"/>
          <w:szCs w:val="26"/>
        </w:rPr>
        <w:t>,</w:t>
      </w:r>
      <w:r w:rsidR="005E779F" w:rsidRPr="00833484">
        <w:rPr>
          <w:rFonts w:ascii="Times New Roman" w:hAnsi="Times New Roman" w:cs="Times New Roman"/>
          <w:sz w:val="26"/>
          <w:szCs w:val="26"/>
        </w:rPr>
        <w:t xml:space="preserve"> </w:t>
      </w:r>
      <w:r w:rsidR="00F13E3D" w:rsidRPr="00833484">
        <w:rPr>
          <w:rFonts w:ascii="Times New Roman" w:hAnsi="Times New Roman" w:cs="Times New Roman"/>
          <w:sz w:val="26"/>
          <w:szCs w:val="26"/>
        </w:rPr>
        <w:t xml:space="preserve">succinctement, </w:t>
      </w:r>
      <w:r w:rsidR="005E779F" w:rsidRPr="00833484">
        <w:rPr>
          <w:rFonts w:ascii="Times New Roman" w:hAnsi="Times New Roman" w:cs="Times New Roman"/>
          <w:sz w:val="26"/>
          <w:szCs w:val="26"/>
        </w:rPr>
        <w:t>la Zone f</w:t>
      </w:r>
      <w:r w:rsidRPr="00833484">
        <w:rPr>
          <w:rFonts w:ascii="Times New Roman" w:hAnsi="Times New Roman" w:cs="Times New Roman"/>
          <w:sz w:val="26"/>
          <w:szCs w:val="26"/>
        </w:rPr>
        <w:t>ranc </w:t>
      </w:r>
      <w:r w:rsidR="00040E00" w:rsidRPr="00833484">
        <w:rPr>
          <w:rFonts w:ascii="Times New Roman" w:hAnsi="Times New Roman" w:cs="Times New Roman"/>
          <w:sz w:val="26"/>
          <w:szCs w:val="26"/>
        </w:rPr>
        <w:t xml:space="preserve">et faire ressortir </w:t>
      </w:r>
      <w:r w:rsidR="00F13E3D" w:rsidRPr="00833484">
        <w:rPr>
          <w:rFonts w:ascii="Times New Roman" w:hAnsi="Times New Roman" w:cs="Times New Roman"/>
          <w:sz w:val="26"/>
          <w:szCs w:val="26"/>
        </w:rPr>
        <w:t>ses</w:t>
      </w:r>
      <w:r w:rsidRPr="00833484">
        <w:rPr>
          <w:rFonts w:ascii="Times New Roman" w:hAnsi="Times New Roman" w:cs="Times New Roman"/>
          <w:sz w:val="26"/>
          <w:szCs w:val="26"/>
        </w:rPr>
        <w:t xml:space="preserve"> </w:t>
      </w:r>
      <w:r w:rsidR="00A34C38" w:rsidRPr="00833484">
        <w:rPr>
          <w:rFonts w:ascii="Times New Roman" w:hAnsi="Times New Roman" w:cs="Times New Roman"/>
          <w:sz w:val="26"/>
          <w:szCs w:val="26"/>
        </w:rPr>
        <w:t>bénéfices</w:t>
      </w:r>
      <w:r w:rsidRPr="00833484">
        <w:rPr>
          <w:rFonts w:ascii="Times New Roman" w:hAnsi="Times New Roman" w:cs="Times New Roman"/>
          <w:sz w:val="26"/>
          <w:szCs w:val="26"/>
        </w:rPr>
        <w:t xml:space="preserve"> et </w:t>
      </w:r>
      <w:r w:rsidR="00A34C38" w:rsidRPr="00833484">
        <w:rPr>
          <w:rFonts w:ascii="Times New Roman" w:hAnsi="Times New Roman" w:cs="Times New Roman"/>
          <w:sz w:val="26"/>
          <w:szCs w:val="26"/>
        </w:rPr>
        <w:t>coûts</w:t>
      </w:r>
      <w:r w:rsidR="003E758F" w:rsidRPr="00833484">
        <w:rPr>
          <w:rFonts w:ascii="Times New Roman" w:hAnsi="Times New Roman" w:cs="Times New Roman"/>
          <w:sz w:val="26"/>
          <w:szCs w:val="26"/>
        </w:rPr>
        <w:t xml:space="preserve"> pour que chaque lecteur et lectrice puisse se</w:t>
      </w:r>
      <w:r w:rsidR="00F864CA" w:rsidRPr="00833484">
        <w:rPr>
          <w:rFonts w:ascii="Times New Roman" w:hAnsi="Times New Roman" w:cs="Times New Roman"/>
          <w:sz w:val="26"/>
          <w:szCs w:val="26"/>
        </w:rPr>
        <w:t xml:space="preserve"> faire une idée sur la question et mesure, par ricochet, les véritables enjeux</w:t>
      </w:r>
      <w:r w:rsidR="00B7026A" w:rsidRPr="00833484">
        <w:rPr>
          <w:rFonts w:ascii="Times New Roman" w:hAnsi="Times New Roman" w:cs="Times New Roman"/>
          <w:sz w:val="26"/>
          <w:szCs w:val="26"/>
        </w:rPr>
        <w:t xml:space="preserve"> et sensibilités</w:t>
      </w:r>
      <w:r w:rsidR="00F864CA" w:rsidRPr="00833484">
        <w:rPr>
          <w:rFonts w:ascii="Times New Roman" w:hAnsi="Times New Roman" w:cs="Times New Roman"/>
          <w:sz w:val="26"/>
          <w:szCs w:val="26"/>
        </w:rPr>
        <w:t xml:space="preserve"> </w:t>
      </w:r>
      <w:r w:rsidR="00525D55" w:rsidRPr="00833484">
        <w:rPr>
          <w:rFonts w:ascii="Times New Roman" w:hAnsi="Times New Roman" w:cs="Times New Roman"/>
          <w:sz w:val="26"/>
          <w:szCs w:val="26"/>
        </w:rPr>
        <w:t>liées aux</w:t>
      </w:r>
      <w:r w:rsidR="00F864CA" w:rsidRPr="00833484">
        <w:rPr>
          <w:rFonts w:ascii="Times New Roman" w:hAnsi="Times New Roman" w:cs="Times New Roman"/>
          <w:sz w:val="26"/>
          <w:szCs w:val="26"/>
        </w:rPr>
        <w:t xml:space="preserve"> questions monétaires.</w:t>
      </w:r>
    </w:p>
    <w:p w:rsidR="005351E2" w:rsidRDefault="005351E2" w:rsidP="00420A1E">
      <w:pPr>
        <w:keepNext/>
        <w:keepLines/>
        <w:suppressAutoHyphens/>
        <w:ind w:firstLine="284"/>
        <w:jc w:val="both"/>
        <w:rPr>
          <w:rFonts w:ascii="Times New Roman" w:hAnsi="Times New Roman" w:cs="Times New Roman"/>
          <w:sz w:val="26"/>
          <w:szCs w:val="26"/>
        </w:rPr>
      </w:pPr>
    </w:p>
    <w:p w:rsidR="005351E2" w:rsidRDefault="005351E2" w:rsidP="00420A1E">
      <w:pPr>
        <w:keepNext/>
        <w:keepLines/>
        <w:suppressAutoHyphens/>
        <w:ind w:firstLine="284"/>
        <w:jc w:val="both"/>
        <w:rPr>
          <w:rFonts w:ascii="Times New Roman" w:hAnsi="Times New Roman" w:cs="Times New Roman"/>
          <w:sz w:val="26"/>
          <w:szCs w:val="26"/>
        </w:rPr>
      </w:pPr>
    </w:p>
    <w:p w:rsidR="005351E2" w:rsidRPr="005351E2" w:rsidRDefault="005351E2" w:rsidP="00420A1E">
      <w:pPr>
        <w:pStyle w:val="Titre1"/>
        <w:keepNext/>
        <w:keepLines/>
        <w:numPr>
          <w:ilvl w:val="0"/>
          <w:numId w:val="5"/>
        </w:numPr>
        <w:suppressAutoHyphens/>
        <w:rPr>
          <w:sz w:val="32"/>
        </w:rPr>
      </w:pPr>
      <w:bookmarkStart w:id="1" w:name="_Toc428947862"/>
      <w:r>
        <w:rPr>
          <w:sz w:val="32"/>
        </w:rPr>
        <w:lastRenderedPageBreak/>
        <w:t>Fondamentaux de la Zone franc</w:t>
      </w:r>
      <w:r w:rsidRPr="005351E2">
        <w:rPr>
          <w:sz w:val="32"/>
        </w:rPr>
        <w:t> :</w:t>
      </w:r>
      <w:bookmarkEnd w:id="1"/>
    </w:p>
    <w:p w:rsidR="007E1172" w:rsidRPr="00833484" w:rsidRDefault="005351E2" w:rsidP="00420A1E">
      <w:pPr>
        <w:keepNext/>
        <w:keepLines/>
        <w:suppressAutoHyphens/>
        <w:ind w:firstLine="284"/>
        <w:jc w:val="both"/>
        <w:rPr>
          <w:rFonts w:ascii="Times New Roman" w:hAnsi="Times New Roman" w:cs="Times New Roman"/>
          <w:sz w:val="26"/>
          <w:szCs w:val="26"/>
        </w:rPr>
      </w:pPr>
      <w:r>
        <w:rPr>
          <w:rFonts w:ascii="Times New Roman" w:hAnsi="Times New Roman" w:cs="Times New Roman"/>
          <w:sz w:val="26"/>
          <w:szCs w:val="26"/>
        </w:rPr>
        <w:t>L</w:t>
      </w:r>
      <w:r w:rsidR="002934C2" w:rsidRPr="00833484">
        <w:rPr>
          <w:rFonts w:ascii="Times New Roman" w:hAnsi="Times New Roman" w:cs="Times New Roman"/>
          <w:sz w:val="26"/>
          <w:szCs w:val="26"/>
        </w:rPr>
        <w:t xml:space="preserve">a Zone franc </w:t>
      </w:r>
      <w:r w:rsidR="00A617F2" w:rsidRPr="00833484">
        <w:rPr>
          <w:rFonts w:ascii="Times New Roman" w:hAnsi="Times New Roman" w:cs="Times New Roman"/>
          <w:sz w:val="26"/>
          <w:szCs w:val="26"/>
        </w:rPr>
        <w:t>regroupe</w:t>
      </w:r>
      <w:r w:rsidR="002934C2" w:rsidRPr="00833484">
        <w:rPr>
          <w:rFonts w:ascii="Times New Roman" w:hAnsi="Times New Roman" w:cs="Times New Roman"/>
          <w:sz w:val="26"/>
          <w:szCs w:val="26"/>
        </w:rPr>
        <w:t xml:space="preserve"> la France et quatorze É</w:t>
      </w:r>
      <w:r w:rsidR="00C20B55" w:rsidRPr="00833484">
        <w:rPr>
          <w:rFonts w:ascii="Times New Roman" w:hAnsi="Times New Roman" w:cs="Times New Roman"/>
          <w:sz w:val="26"/>
          <w:szCs w:val="26"/>
        </w:rPr>
        <w:t xml:space="preserve">tats d'Afrique sub-saharienne - </w:t>
      </w:r>
      <w:r w:rsidR="002934C2" w:rsidRPr="00833484">
        <w:rPr>
          <w:rFonts w:ascii="Times New Roman" w:hAnsi="Times New Roman" w:cs="Times New Roman"/>
          <w:sz w:val="26"/>
          <w:szCs w:val="26"/>
        </w:rPr>
        <w:t>le Bénin, le Burkina Faso, la Côte-d'Ivoire, la Guinée-Bissau, le Mali, le Niger, le Sénégal et le Togo (en Afrique de l'Ouest formant la zone UEMOA</w:t>
      </w:r>
      <w:r w:rsidR="0060013A" w:rsidRPr="00833484">
        <w:rPr>
          <w:rFonts w:ascii="Times New Roman" w:hAnsi="Times New Roman" w:cs="Times New Roman"/>
          <w:sz w:val="26"/>
          <w:szCs w:val="26"/>
        </w:rPr>
        <w:t xml:space="preserve"> avec comme I</w:t>
      </w:r>
      <w:r w:rsidR="00633870" w:rsidRPr="00833484">
        <w:rPr>
          <w:rFonts w:ascii="Times New Roman" w:hAnsi="Times New Roman" w:cs="Times New Roman"/>
          <w:sz w:val="26"/>
          <w:szCs w:val="26"/>
        </w:rPr>
        <w:t>nstitut d’émission la BCEAO, la Banque Centrale des Etats de l’Afrique de l’Ouest</w:t>
      </w:r>
      <w:r w:rsidR="002934C2" w:rsidRPr="00833484">
        <w:rPr>
          <w:rFonts w:ascii="Times New Roman" w:hAnsi="Times New Roman" w:cs="Times New Roman"/>
          <w:sz w:val="26"/>
          <w:szCs w:val="26"/>
        </w:rPr>
        <w:t>) ; le Cameroun, la Centrafrique, le Congo, le Gabon, la Guinée Equatoriale et le Tchad (en Afrique centrale formant la zone CEMAC</w:t>
      </w:r>
      <w:r w:rsidR="00633870" w:rsidRPr="00833484">
        <w:rPr>
          <w:rFonts w:ascii="Times New Roman" w:hAnsi="Times New Roman" w:cs="Times New Roman"/>
          <w:sz w:val="26"/>
          <w:szCs w:val="26"/>
        </w:rPr>
        <w:t xml:space="preserve"> avec </w:t>
      </w:r>
      <w:r w:rsidR="0060013A" w:rsidRPr="00833484">
        <w:rPr>
          <w:rFonts w:ascii="Times New Roman" w:hAnsi="Times New Roman" w:cs="Times New Roman"/>
          <w:sz w:val="26"/>
          <w:szCs w:val="26"/>
        </w:rPr>
        <w:t>comme I</w:t>
      </w:r>
      <w:r w:rsidR="00633870" w:rsidRPr="00833484">
        <w:rPr>
          <w:rFonts w:ascii="Times New Roman" w:hAnsi="Times New Roman" w:cs="Times New Roman"/>
          <w:sz w:val="26"/>
          <w:szCs w:val="26"/>
        </w:rPr>
        <w:t>nstitut d’émission de signes monétaires la BEAC, la Banque des Etats de l’Afrique Centrale</w:t>
      </w:r>
      <w:r w:rsidR="002934C2" w:rsidRPr="00833484">
        <w:rPr>
          <w:rFonts w:ascii="Times New Roman" w:hAnsi="Times New Roman" w:cs="Times New Roman"/>
          <w:sz w:val="26"/>
          <w:szCs w:val="26"/>
        </w:rPr>
        <w:t>)</w:t>
      </w:r>
      <w:r w:rsidR="00C20B55" w:rsidRPr="00833484">
        <w:rPr>
          <w:rFonts w:ascii="Times New Roman" w:hAnsi="Times New Roman" w:cs="Times New Roman"/>
          <w:sz w:val="26"/>
          <w:szCs w:val="26"/>
        </w:rPr>
        <w:t xml:space="preserve"> -</w:t>
      </w:r>
      <w:r w:rsidR="009907F3" w:rsidRPr="00833484">
        <w:rPr>
          <w:rFonts w:ascii="Times New Roman" w:hAnsi="Times New Roman" w:cs="Times New Roman"/>
          <w:sz w:val="26"/>
          <w:szCs w:val="26"/>
        </w:rPr>
        <w:t> </w:t>
      </w:r>
      <w:r w:rsidR="002934C2" w:rsidRPr="00833484">
        <w:rPr>
          <w:rFonts w:ascii="Times New Roman" w:hAnsi="Times New Roman" w:cs="Times New Roman"/>
          <w:sz w:val="26"/>
          <w:szCs w:val="26"/>
        </w:rPr>
        <w:t>et les Comores.</w:t>
      </w:r>
      <w:r w:rsidR="00633870" w:rsidRPr="00833484">
        <w:rPr>
          <w:rFonts w:ascii="Times New Roman" w:hAnsi="Times New Roman" w:cs="Times New Roman"/>
          <w:sz w:val="26"/>
          <w:szCs w:val="26"/>
        </w:rPr>
        <w:t xml:space="preserve"> </w:t>
      </w:r>
    </w:p>
    <w:p w:rsidR="00A20B25" w:rsidRPr="00833484" w:rsidRDefault="00A97839"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sz w:val="26"/>
          <w:szCs w:val="26"/>
        </w:rPr>
        <w:t>Les conventions de coopération monétaires ont</w:t>
      </w:r>
      <w:r w:rsidR="00731E11" w:rsidRPr="00833484">
        <w:rPr>
          <w:rFonts w:ascii="Times New Roman" w:hAnsi="Times New Roman" w:cs="Times New Roman"/>
          <w:sz w:val="26"/>
          <w:szCs w:val="26"/>
        </w:rPr>
        <w:t>,</w:t>
      </w:r>
      <w:r w:rsidRPr="00833484">
        <w:rPr>
          <w:rFonts w:ascii="Times New Roman" w:hAnsi="Times New Roman" w:cs="Times New Roman"/>
          <w:sz w:val="26"/>
          <w:szCs w:val="26"/>
        </w:rPr>
        <w:t xml:space="preserve"> respectivement</w:t>
      </w:r>
      <w:r w:rsidR="00731E11" w:rsidRPr="00833484">
        <w:rPr>
          <w:rFonts w:ascii="Times New Roman" w:hAnsi="Times New Roman" w:cs="Times New Roman"/>
          <w:sz w:val="26"/>
          <w:szCs w:val="26"/>
        </w:rPr>
        <w:t>,</w:t>
      </w:r>
      <w:r w:rsidRPr="00833484">
        <w:rPr>
          <w:rFonts w:ascii="Times New Roman" w:hAnsi="Times New Roman" w:cs="Times New Roman"/>
          <w:sz w:val="26"/>
          <w:szCs w:val="26"/>
        </w:rPr>
        <w:t xml:space="preserve"> été signées par les</w:t>
      </w:r>
      <w:r w:rsidR="002C191C" w:rsidRPr="00833484">
        <w:rPr>
          <w:rFonts w:ascii="Times New Roman" w:hAnsi="Times New Roman" w:cs="Times New Roman"/>
          <w:sz w:val="26"/>
          <w:szCs w:val="26"/>
        </w:rPr>
        <w:t xml:space="preserve"> Z</w:t>
      </w:r>
      <w:r w:rsidRPr="00833484">
        <w:rPr>
          <w:rFonts w:ascii="Times New Roman" w:hAnsi="Times New Roman" w:cs="Times New Roman"/>
          <w:sz w:val="26"/>
          <w:szCs w:val="26"/>
        </w:rPr>
        <w:t>ones CEMAC (BEAC) et UEMOA (BCEAO) avec la France le 23 novembre 1972 et le 4 décembre 1973.</w:t>
      </w:r>
      <w:r w:rsidR="00451E37" w:rsidRPr="00833484">
        <w:rPr>
          <w:rFonts w:ascii="Times New Roman" w:hAnsi="Times New Roman" w:cs="Times New Roman"/>
          <w:sz w:val="26"/>
          <w:szCs w:val="26"/>
        </w:rPr>
        <w:t xml:space="preserve"> </w:t>
      </w:r>
      <w:r w:rsidR="00A20B25" w:rsidRPr="00833484">
        <w:rPr>
          <w:rFonts w:ascii="Times New Roman" w:hAnsi="Times New Roman" w:cs="Times New Roman"/>
          <w:sz w:val="26"/>
          <w:szCs w:val="26"/>
        </w:rPr>
        <w:t>En 2005, un avenant a également été signé entre les parties.</w:t>
      </w:r>
      <w:r w:rsidR="002F2874" w:rsidRPr="00833484">
        <w:rPr>
          <w:rFonts w:ascii="Times New Roman" w:hAnsi="Times New Roman" w:cs="Times New Roman"/>
          <w:sz w:val="26"/>
          <w:szCs w:val="26"/>
        </w:rPr>
        <w:t xml:space="preserve"> Les conventions de comptes d’opérations</w:t>
      </w:r>
      <w:r w:rsidR="004C4B9A" w:rsidRPr="00833484">
        <w:rPr>
          <w:rFonts w:ascii="Times New Roman" w:hAnsi="Times New Roman" w:cs="Times New Roman"/>
          <w:sz w:val="26"/>
          <w:szCs w:val="26"/>
        </w:rPr>
        <w:t xml:space="preserve"> au niveau du Trésor français</w:t>
      </w:r>
      <w:r w:rsidR="002F2874" w:rsidRPr="00833484">
        <w:rPr>
          <w:rFonts w:ascii="Times New Roman" w:hAnsi="Times New Roman" w:cs="Times New Roman"/>
          <w:sz w:val="26"/>
          <w:szCs w:val="26"/>
        </w:rPr>
        <w:t>, mis à jour souvent, sont également disponibles entre la France et chaque partie.</w:t>
      </w:r>
    </w:p>
    <w:p w:rsidR="008E1A7E" w:rsidRPr="00833484" w:rsidRDefault="00451E37"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sz w:val="26"/>
          <w:szCs w:val="26"/>
        </w:rPr>
        <w:t xml:space="preserve">Ces accords sont jalonnés par 4 principes </w:t>
      </w:r>
      <w:r w:rsidR="002752BB" w:rsidRPr="00833484">
        <w:rPr>
          <w:rFonts w:ascii="Times New Roman" w:hAnsi="Times New Roman" w:cs="Times New Roman"/>
          <w:sz w:val="26"/>
          <w:szCs w:val="26"/>
        </w:rPr>
        <w:t>fondamentaux</w:t>
      </w:r>
      <w:r w:rsidR="00D20782" w:rsidRPr="00833484">
        <w:rPr>
          <w:rFonts w:ascii="Times New Roman" w:hAnsi="Times New Roman" w:cs="Times New Roman"/>
          <w:sz w:val="26"/>
          <w:szCs w:val="26"/>
        </w:rPr>
        <w:t xml:space="preserve"> [1]</w:t>
      </w:r>
      <w:r w:rsidR="003C0A98" w:rsidRPr="00833484">
        <w:rPr>
          <w:rFonts w:ascii="Times New Roman" w:hAnsi="Times New Roman" w:cs="Times New Roman"/>
          <w:sz w:val="26"/>
          <w:szCs w:val="26"/>
        </w:rPr>
        <w:t> :</w:t>
      </w:r>
      <w:r w:rsidR="006958B9" w:rsidRPr="00833484">
        <w:rPr>
          <w:rFonts w:ascii="Times New Roman" w:hAnsi="Times New Roman" w:cs="Times New Roman"/>
          <w:i/>
          <w:sz w:val="26"/>
          <w:szCs w:val="26"/>
        </w:rPr>
        <w:t xml:space="preserve"> </w:t>
      </w:r>
    </w:p>
    <w:p w:rsidR="00600C98" w:rsidRPr="00600C98" w:rsidRDefault="00A44AA1" w:rsidP="00420A1E">
      <w:pPr>
        <w:pStyle w:val="Titre2"/>
        <w:numPr>
          <w:ilvl w:val="0"/>
          <w:numId w:val="9"/>
        </w:numPr>
        <w:suppressAutoHyphens/>
        <w:rPr>
          <w:color w:val="auto"/>
        </w:rPr>
      </w:pPr>
      <w:bookmarkStart w:id="2" w:name="_Toc428947863"/>
      <w:r w:rsidRPr="00600C98">
        <w:rPr>
          <w:color w:val="auto"/>
        </w:rPr>
        <w:t>La garantie de convertibilité illimitée</w:t>
      </w:r>
      <w:r w:rsidR="00600C98" w:rsidRPr="00600C98">
        <w:rPr>
          <w:color w:val="auto"/>
        </w:rPr>
        <w:t> :</w:t>
      </w:r>
      <w:bookmarkEnd w:id="2"/>
    </w:p>
    <w:p w:rsidR="00DA4C0C" w:rsidRDefault="00600C98" w:rsidP="00420A1E">
      <w:pPr>
        <w:keepNext/>
        <w:keepLines/>
        <w:suppressAutoHyphens/>
        <w:jc w:val="both"/>
        <w:rPr>
          <w:rFonts w:ascii="Times New Roman" w:hAnsi="Times New Roman" w:cs="Times New Roman"/>
          <w:sz w:val="26"/>
          <w:szCs w:val="26"/>
        </w:rPr>
      </w:pPr>
      <w:r>
        <w:rPr>
          <w:rFonts w:ascii="Times New Roman" w:hAnsi="Times New Roman" w:cs="Times New Roman"/>
          <w:sz w:val="26"/>
          <w:szCs w:val="26"/>
        </w:rPr>
        <w:t xml:space="preserve">    </w:t>
      </w:r>
      <w:r w:rsidRPr="00600C98">
        <w:rPr>
          <w:rFonts w:ascii="Times New Roman" w:hAnsi="Times New Roman" w:cs="Times New Roman"/>
          <w:sz w:val="26"/>
          <w:szCs w:val="26"/>
        </w:rPr>
        <w:t>A</w:t>
      </w:r>
      <w:r w:rsidR="00A44AA1" w:rsidRPr="00600C98">
        <w:rPr>
          <w:rFonts w:ascii="Times New Roman" w:hAnsi="Times New Roman" w:cs="Times New Roman"/>
          <w:sz w:val="26"/>
          <w:szCs w:val="26"/>
        </w:rPr>
        <w:t>ccordée par le Trésor français aux 3 zones monétaires (CEMAC, UEMOA, Comores) :</w:t>
      </w:r>
      <w:r w:rsidR="00326241" w:rsidRPr="00600C98">
        <w:rPr>
          <w:rFonts w:ascii="Times New Roman" w:hAnsi="Times New Roman" w:cs="Times New Roman"/>
          <w:sz w:val="26"/>
          <w:szCs w:val="26"/>
        </w:rPr>
        <w:t xml:space="preserve"> elle se matérialise par </w:t>
      </w:r>
      <w:r w:rsidR="005855ED" w:rsidRPr="00600C98">
        <w:rPr>
          <w:rFonts w:ascii="Times New Roman" w:hAnsi="Times New Roman" w:cs="Times New Roman"/>
          <w:sz w:val="26"/>
          <w:szCs w:val="26"/>
        </w:rPr>
        <w:t xml:space="preserve">une très grande confiance en la monnaie. C’est la </w:t>
      </w:r>
      <w:r w:rsidR="00326241" w:rsidRPr="00600C98">
        <w:rPr>
          <w:rFonts w:ascii="Times New Roman" w:hAnsi="Times New Roman" w:cs="Times New Roman"/>
          <w:sz w:val="26"/>
          <w:szCs w:val="26"/>
        </w:rPr>
        <w:t>meilleure propriété re</w:t>
      </w:r>
      <w:r w:rsidR="005855ED" w:rsidRPr="00600C98">
        <w:rPr>
          <w:rFonts w:ascii="Times New Roman" w:hAnsi="Times New Roman" w:cs="Times New Roman"/>
          <w:sz w:val="26"/>
          <w:szCs w:val="26"/>
        </w:rPr>
        <w:t>cherchée pour une bonne monnaie c’est-à-dire d’être librement interchangeable à tout moment contre de l’or ou des devises</w:t>
      </w:r>
      <w:r w:rsidR="009B0162" w:rsidRPr="00600C98">
        <w:rPr>
          <w:rFonts w:ascii="Times New Roman" w:hAnsi="Times New Roman" w:cs="Times New Roman"/>
          <w:sz w:val="26"/>
          <w:szCs w:val="26"/>
        </w:rPr>
        <w:t xml:space="preserve"> étrangères</w:t>
      </w:r>
      <w:r w:rsidR="00A20B25" w:rsidRPr="00600C98">
        <w:rPr>
          <w:rFonts w:ascii="Times New Roman" w:hAnsi="Times New Roman" w:cs="Times New Roman"/>
          <w:sz w:val="26"/>
          <w:szCs w:val="26"/>
        </w:rPr>
        <w:t xml:space="preserve"> (dollar US, livre sterling, yen japonais, etc.)</w:t>
      </w:r>
      <w:r w:rsidR="005855ED" w:rsidRPr="00600C98">
        <w:rPr>
          <w:rFonts w:ascii="Times New Roman" w:hAnsi="Times New Roman" w:cs="Times New Roman"/>
          <w:sz w:val="26"/>
          <w:szCs w:val="26"/>
        </w:rPr>
        <w:t xml:space="preserve">. En clair, si nos comptes extérieurs sont au rouge </w:t>
      </w:r>
      <w:r w:rsidR="00C4181A" w:rsidRPr="00600C98">
        <w:rPr>
          <w:rFonts w:ascii="Times New Roman" w:hAnsi="Times New Roman" w:cs="Times New Roman"/>
          <w:sz w:val="26"/>
          <w:szCs w:val="26"/>
        </w:rPr>
        <w:t xml:space="preserve">(manque de devises) </w:t>
      </w:r>
      <w:r w:rsidR="005855ED" w:rsidRPr="00600C98">
        <w:rPr>
          <w:rFonts w:ascii="Times New Roman" w:hAnsi="Times New Roman" w:cs="Times New Roman"/>
          <w:sz w:val="26"/>
          <w:szCs w:val="26"/>
        </w:rPr>
        <w:t>et que nos Etats n’arrivent plus à honorer (via les banques centrales) leurs factures d’importation alors la France (Trésor</w:t>
      </w:r>
      <w:r w:rsidR="00A20B25" w:rsidRPr="00600C98">
        <w:rPr>
          <w:rFonts w:ascii="Times New Roman" w:hAnsi="Times New Roman" w:cs="Times New Roman"/>
          <w:sz w:val="26"/>
          <w:szCs w:val="26"/>
        </w:rPr>
        <w:t xml:space="preserve"> français</w:t>
      </w:r>
      <w:r w:rsidR="005855ED" w:rsidRPr="00600C98">
        <w:rPr>
          <w:rFonts w:ascii="Times New Roman" w:hAnsi="Times New Roman" w:cs="Times New Roman"/>
          <w:sz w:val="26"/>
          <w:szCs w:val="26"/>
        </w:rPr>
        <w:t>) s’engage de paye</w:t>
      </w:r>
      <w:r w:rsidR="009B0162" w:rsidRPr="00600C98">
        <w:rPr>
          <w:rFonts w:ascii="Times New Roman" w:hAnsi="Times New Roman" w:cs="Times New Roman"/>
          <w:sz w:val="26"/>
          <w:szCs w:val="26"/>
        </w:rPr>
        <w:t>r</w:t>
      </w:r>
      <w:r w:rsidR="005855ED" w:rsidRPr="00600C98">
        <w:rPr>
          <w:rFonts w:ascii="Times New Roman" w:hAnsi="Times New Roman" w:cs="Times New Roman"/>
          <w:sz w:val="26"/>
          <w:szCs w:val="26"/>
        </w:rPr>
        <w:t xml:space="preserve"> les sommes requises en euros</w:t>
      </w:r>
      <w:r w:rsidR="009B0162" w:rsidRPr="00600C98">
        <w:rPr>
          <w:rFonts w:ascii="Times New Roman" w:hAnsi="Times New Roman" w:cs="Times New Roman"/>
          <w:sz w:val="26"/>
          <w:szCs w:val="26"/>
        </w:rPr>
        <w:t xml:space="preserve"> à notre place pour éviter le défaut de paiement</w:t>
      </w:r>
      <w:r w:rsidR="005855ED" w:rsidRPr="00600C98">
        <w:rPr>
          <w:rFonts w:ascii="Times New Roman" w:hAnsi="Times New Roman" w:cs="Times New Roman"/>
          <w:sz w:val="26"/>
          <w:szCs w:val="26"/>
        </w:rPr>
        <w:t>.</w:t>
      </w:r>
      <w:r w:rsidR="00330871" w:rsidRPr="00600C98">
        <w:rPr>
          <w:rFonts w:ascii="Times New Roman" w:hAnsi="Times New Roman" w:cs="Times New Roman"/>
          <w:sz w:val="26"/>
          <w:szCs w:val="26"/>
        </w:rPr>
        <w:t xml:space="preserve"> La France se comporte ainsi comme un prêteur en dernier ressort, ce q</w:t>
      </w:r>
      <w:r w:rsidR="00A5112E" w:rsidRPr="00600C98">
        <w:rPr>
          <w:rFonts w:ascii="Times New Roman" w:hAnsi="Times New Roman" w:cs="Times New Roman"/>
          <w:sz w:val="26"/>
          <w:szCs w:val="26"/>
        </w:rPr>
        <w:t>ui laisse </w:t>
      </w:r>
      <w:r w:rsidR="00330871" w:rsidRPr="00600C98">
        <w:rPr>
          <w:rFonts w:ascii="Times New Roman" w:hAnsi="Times New Roman" w:cs="Times New Roman"/>
          <w:sz w:val="26"/>
          <w:szCs w:val="26"/>
        </w:rPr>
        <w:t>planer</w:t>
      </w:r>
      <w:r w:rsidR="00FC7981" w:rsidRPr="00600C98">
        <w:rPr>
          <w:rFonts w:ascii="Times New Roman" w:hAnsi="Times New Roman" w:cs="Times New Roman"/>
          <w:sz w:val="26"/>
          <w:szCs w:val="26"/>
        </w:rPr>
        <w:t>,</w:t>
      </w:r>
      <w:r w:rsidR="00A5112E" w:rsidRPr="00600C98">
        <w:rPr>
          <w:rFonts w:ascii="Times New Roman" w:hAnsi="Times New Roman" w:cs="Times New Roman"/>
          <w:sz w:val="26"/>
          <w:szCs w:val="26"/>
        </w:rPr>
        <w:t> </w:t>
      </w:r>
      <w:r w:rsidR="00FC7981" w:rsidRPr="00600C98">
        <w:rPr>
          <w:rFonts w:ascii="Times New Roman" w:hAnsi="Times New Roman" w:cs="Times New Roman"/>
          <w:sz w:val="26"/>
          <w:szCs w:val="26"/>
        </w:rPr>
        <w:t>en</w:t>
      </w:r>
      <w:r w:rsidR="00A5112E" w:rsidRPr="00600C98">
        <w:rPr>
          <w:rFonts w:ascii="Times New Roman" w:hAnsi="Times New Roman" w:cs="Times New Roman"/>
          <w:sz w:val="26"/>
          <w:szCs w:val="26"/>
        </w:rPr>
        <w:t> théorie, </w:t>
      </w:r>
      <w:r w:rsidR="00330871" w:rsidRPr="00600C98">
        <w:rPr>
          <w:rFonts w:ascii="Times New Roman" w:hAnsi="Times New Roman" w:cs="Times New Roman"/>
          <w:sz w:val="26"/>
          <w:szCs w:val="26"/>
        </w:rPr>
        <w:t>un</w:t>
      </w:r>
      <w:r w:rsidR="00A5112E" w:rsidRPr="00600C98">
        <w:rPr>
          <w:rFonts w:ascii="Times New Roman" w:hAnsi="Times New Roman" w:cs="Times New Roman"/>
          <w:sz w:val="26"/>
          <w:szCs w:val="26"/>
        </w:rPr>
        <w:t> </w:t>
      </w:r>
      <w:r w:rsidR="00330871" w:rsidRPr="00600C98">
        <w:rPr>
          <w:rFonts w:ascii="Times New Roman" w:hAnsi="Times New Roman" w:cs="Times New Roman"/>
          <w:sz w:val="26"/>
          <w:szCs w:val="26"/>
        </w:rPr>
        <w:t>risque</w:t>
      </w:r>
      <w:r w:rsidR="00A5112E" w:rsidRPr="00600C98">
        <w:rPr>
          <w:rFonts w:ascii="Times New Roman" w:hAnsi="Times New Roman" w:cs="Times New Roman"/>
          <w:sz w:val="26"/>
          <w:szCs w:val="26"/>
        </w:rPr>
        <w:t> </w:t>
      </w:r>
      <w:r w:rsidR="00330871" w:rsidRPr="00600C98">
        <w:rPr>
          <w:rFonts w:ascii="Times New Roman" w:hAnsi="Times New Roman" w:cs="Times New Roman"/>
          <w:sz w:val="26"/>
          <w:szCs w:val="26"/>
        </w:rPr>
        <w:t>d’aléa</w:t>
      </w:r>
      <w:r w:rsidR="00A5112E" w:rsidRPr="00600C98">
        <w:rPr>
          <w:rFonts w:ascii="Times New Roman" w:hAnsi="Times New Roman" w:cs="Times New Roman"/>
          <w:sz w:val="26"/>
          <w:szCs w:val="26"/>
        </w:rPr>
        <w:t> </w:t>
      </w:r>
      <w:r w:rsidR="00330871" w:rsidRPr="00600C98">
        <w:rPr>
          <w:rFonts w:ascii="Times New Roman" w:hAnsi="Times New Roman" w:cs="Times New Roman"/>
          <w:sz w:val="26"/>
          <w:szCs w:val="26"/>
        </w:rPr>
        <w:t>de</w:t>
      </w:r>
      <w:r w:rsidR="00A5112E" w:rsidRPr="00600C98">
        <w:rPr>
          <w:rFonts w:ascii="Times New Roman" w:hAnsi="Times New Roman" w:cs="Times New Roman"/>
          <w:sz w:val="26"/>
          <w:szCs w:val="26"/>
        </w:rPr>
        <w:t> </w:t>
      </w:r>
      <w:r w:rsidR="00330871" w:rsidRPr="00600C98">
        <w:rPr>
          <w:rFonts w:ascii="Times New Roman" w:hAnsi="Times New Roman" w:cs="Times New Roman"/>
          <w:sz w:val="26"/>
          <w:szCs w:val="26"/>
        </w:rPr>
        <w:t>moralité</w:t>
      </w:r>
      <w:r w:rsidR="00A5112E" w:rsidRPr="00600C98">
        <w:rPr>
          <w:rFonts w:ascii="Times New Roman" w:hAnsi="Times New Roman" w:cs="Times New Roman"/>
          <w:sz w:val="26"/>
          <w:szCs w:val="26"/>
        </w:rPr>
        <w:t> </w:t>
      </w:r>
      <w:r w:rsidR="00330871" w:rsidRPr="00600C98">
        <w:rPr>
          <w:rFonts w:ascii="Times New Roman" w:hAnsi="Times New Roman" w:cs="Times New Roman"/>
          <w:sz w:val="26"/>
          <w:szCs w:val="26"/>
        </w:rPr>
        <w:t>mais</w:t>
      </w:r>
      <w:r w:rsidR="00A5112E" w:rsidRPr="00600C98">
        <w:rPr>
          <w:rFonts w:ascii="Times New Roman" w:hAnsi="Times New Roman" w:cs="Times New Roman"/>
          <w:sz w:val="26"/>
          <w:szCs w:val="26"/>
        </w:rPr>
        <w:t> </w:t>
      </w:r>
      <w:r w:rsidR="00330871" w:rsidRPr="00600C98">
        <w:rPr>
          <w:rFonts w:ascii="Times New Roman" w:hAnsi="Times New Roman" w:cs="Times New Roman"/>
          <w:sz w:val="26"/>
          <w:szCs w:val="26"/>
        </w:rPr>
        <w:t>atténuer</w:t>
      </w:r>
      <w:r w:rsidR="00A5112E" w:rsidRPr="00600C98">
        <w:rPr>
          <w:rFonts w:ascii="Times New Roman" w:hAnsi="Times New Roman" w:cs="Times New Roman"/>
          <w:sz w:val="26"/>
          <w:szCs w:val="26"/>
        </w:rPr>
        <w:t> </w:t>
      </w:r>
      <w:r w:rsidR="00330871" w:rsidRPr="00600C98">
        <w:rPr>
          <w:rFonts w:ascii="Times New Roman" w:hAnsi="Times New Roman" w:cs="Times New Roman"/>
          <w:sz w:val="26"/>
          <w:szCs w:val="26"/>
        </w:rPr>
        <w:t>par</w:t>
      </w:r>
      <w:r w:rsidR="00A5112E" w:rsidRPr="00600C98">
        <w:rPr>
          <w:rFonts w:ascii="Times New Roman" w:hAnsi="Times New Roman" w:cs="Times New Roman"/>
          <w:sz w:val="26"/>
          <w:szCs w:val="26"/>
        </w:rPr>
        <w:t> </w:t>
      </w:r>
      <w:r w:rsidR="00330871" w:rsidRPr="00600C98">
        <w:rPr>
          <w:rFonts w:ascii="Times New Roman" w:hAnsi="Times New Roman" w:cs="Times New Roman"/>
          <w:sz w:val="26"/>
          <w:szCs w:val="26"/>
        </w:rPr>
        <w:t>des</w:t>
      </w:r>
      <w:r w:rsidR="00A5112E" w:rsidRPr="00600C98">
        <w:rPr>
          <w:rFonts w:ascii="Times New Roman" w:hAnsi="Times New Roman" w:cs="Times New Roman"/>
          <w:sz w:val="26"/>
          <w:szCs w:val="26"/>
        </w:rPr>
        <w:t> </w:t>
      </w:r>
      <w:r w:rsidR="00DA4C0C" w:rsidRPr="00600C98">
        <w:rPr>
          <w:rFonts w:ascii="Times New Roman" w:hAnsi="Times New Roman" w:cs="Times New Roman"/>
          <w:sz w:val="26"/>
          <w:szCs w:val="26"/>
        </w:rPr>
        <w:t>mesures préventives (dispositif de sauvegarde</w:t>
      </w:r>
      <w:r w:rsidR="00731E11" w:rsidRPr="00600C98">
        <w:rPr>
          <w:rFonts w:ascii="Times New Roman" w:hAnsi="Times New Roman" w:cs="Times New Roman"/>
          <w:sz w:val="26"/>
          <w:szCs w:val="26"/>
        </w:rPr>
        <w:t> </w:t>
      </w:r>
      <w:r w:rsidR="00DA4C0C" w:rsidRPr="00600C98">
        <w:rPr>
          <w:rFonts w:ascii="Times New Roman" w:hAnsi="Times New Roman" w:cs="Times New Roman"/>
          <w:sz w:val="26"/>
          <w:szCs w:val="26"/>
        </w:rPr>
        <w:t>)</w:t>
      </w:r>
      <w:r w:rsidR="00731E11" w:rsidRPr="00600C98">
        <w:rPr>
          <w:rFonts w:ascii="Times New Roman" w:hAnsi="Times New Roman" w:cs="Times New Roman"/>
          <w:sz w:val="26"/>
          <w:szCs w:val="26"/>
        </w:rPr>
        <w:t>.Ces mesures</w:t>
      </w:r>
      <w:r w:rsidR="00DA4C0C" w:rsidRPr="00600C98">
        <w:rPr>
          <w:rFonts w:ascii="Times New Roman" w:hAnsi="Times New Roman" w:cs="Times New Roman"/>
          <w:sz w:val="26"/>
          <w:szCs w:val="26"/>
        </w:rPr>
        <w:t> </w:t>
      </w:r>
      <w:r w:rsidR="00731E11" w:rsidRPr="00600C98">
        <w:rPr>
          <w:rFonts w:ascii="Times New Roman" w:hAnsi="Times New Roman" w:cs="Times New Roman"/>
          <w:sz w:val="26"/>
          <w:szCs w:val="26"/>
        </w:rPr>
        <w:t>dites </w:t>
      </w:r>
      <w:r w:rsidR="00DA4C0C" w:rsidRPr="00600C98">
        <w:rPr>
          <w:rFonts w:ascii="Times New Roman" w:hAnsi="Times New Roman" w:cs="Times New Roman"/>
          <w:sz w:val="26"/>
          <w:szCs w:val="26"/>
        </w:rPr>
        <w:t>conservatoires </w:t>
      </w:r>
      <w:r w:rsidR="00731E11" w:rsidRPr="00600C98">
        <w:rPr>
          <w:rFonts w:ascii="Times New Roman" w:hAnsi="Times New Roman" w:cs="Times New Roman"/>
          <w:sz w:val="26"/>
          <w:szCs w:val="26"/>
        </w:rPr>
        <w:t>aussi </w:t>
      </w:r>
      <w:r w:rsidR="00DA4C0C" w:rsidRPr="00600C98">
        <w:rPr>
          <w:rFonts w:ascii="Times New Roman" w:hAnsi="Times New Roman" w:cs="Times New Roman"/>
          <w:sz w:val="26"/>
          <w:szCs w:val="26"/>
        </w:rPr>
        <w:t>sont prévues afin d’éviter que ne se produise une telle situation.</w:t>
      </w:r>
      <w:r w:rsidR="00EF1926" w:rsidRPr="00600C98">
        <w:rPr>
          <w:rFonts w:ascii="Times New Roman" w:hAnsi="Times New Roman" w:cs="Times New Roman"/>
          <w:sz w:val="26"/>
          <w:szCs w:val="26"/>
        </w:rPr>
        <w:t xml:space="preserve"> En effet, Le rapport entre les avoirs extérieurs nets et les engagements à vue de chacune des banques centrales est demeuré au cours de trois mois consécutifs inférieur à 20 % alors relèvement des taux directeurs, réduction des montants de refinancement, etc. Aussi, les statuts des banques centrales précisent que leurs concours aux Trésors nationaux ne peuvent</w:t>
      </w:r>
      <w:r w:rsidR="00BF3AAB" w:rsidRPr="00600C98">
        <w:rPr>
          <w:rFonts w:ascii="Times New Roman" w:hAnsi="Times New Roman" w:cs="Times New Roman"/>
          <w:sz w:val="26"/>
          <w:szCs w:val="26"/>
        </w:rPr>
        <w:t xml:space="preserve"> </w:t>
      </w:r>
      <w:r w:rsidR="00EF1926" w:rsidRPr="00600C98">
        <w:rPr>
          <w:rFonts w:ascii="Times New Roman" w:hAnsi="Times New Roman" w:cs="Times New Roman"/>
          <w:sz w:val="26"/>
          <w:szCs w:val="26"/>
        </w:rPr>
        <w:t>excéder</w:t>
      </w:r>
      <w:r w:rsidR="00731E11" w:rsidRPr="00600C98">
        <w:rPr>
          <w:rFonts w:ascii="Times New Roman" w:hAnsi="Times New Roman" w:cs="Times New Roman"/>
          <w:sz w:val="26"/>
          <w:szCs w:val="26"/>
        </w:rPr>
        <w:t> </w:t>
      </w:r>
      <w:r w:rsidR="00EF1926" w:rsidRPr="00600C98">
        <w:rPr>
          <w:rFonts w:ascii="Times New Roman" w:hAnsi="Times New Roman" w:cs="Times New Roman"/>
          <w:sz w:val="26"/>
          <w:szCs w:val="26"/>
        </w:rPr>
        <w:t>20</w:t>
      </w:r>
      <w:r w:rsidR="00731E11" w:rsidRPr="00600C98">
        <w:rPr>
          <w:rFonts w:ascii="Times New Roman" w:hAnsi="Times New Roman" w:cs="Times New Roman"/>
          <w:sz w:val="26"/>
          <w:szCs w:val="26"/>
        </w:rPr>
        <w:t> % </w:t>
      </w:r>
      <w:r w:rsidR="00EF1926" w:rsidRPr="00600C98">
        <w:rPr>
          <w:rFonts w:ascii="Times New Roman" w:hAnsi="Times New Roman" w:cs="Times New Roman"/>
          <w:sz w:val="26"/>
          <w:szCs w:val="26"/>
        </w:rPr>
        <w:t>des recettes fiscales BCEAO ou budgétaire ordinaires BEAC encaissées lors du dernier exercice budgétaire.</w:t>
      </w:r>
    </w:p>
    <w:p w:rsidR="00420A1E" w:rsidRDefault="00420A1E" w:rsidP="00420A1E">
      <w:pPr>
        <w:keepNext/>
        <w:keepLines/>
        <w:suppressAutoHyphens/>
        <w:jc w:val="both"/>
        <w:rPr>
          <w:rFonts w:ascii="Times New Roman" w:hAnsi="Times New Roman" w:cs="Times New Roman"/>
          <w:sz w:val="26"/>
          <w:szCs w:val="26"/>
        </w:rPr>
      </w:pPr>
    </w:p>
    <w:p w:rsidR="00420A1E" w:rsidRPr="00600C98" w:rsidRDefault="00420A1E" w:rsidP="00420A1E">
      <w:pPr>
        <w:keepNext/>
        <w:keepLines/>
        <w:suppressAutoHyphens/>
        <w:jc w:val="both"/>
        <w:rPr>
          <w:rFonts w:ascii="Times New Roman" w:hAnsi="Times New Roman" w:cs="Times New Roman"/>
          <w:sz w:val="26"/>
          <w:szCs w:val="26"/>
        </w:rPr>
      </w:pPr>
    </w:p>
    <w:p w:rsidR="00600C98" w:rsidRPr="00600C98" w:rsidRDefault="007E5C0D" w:rsidP="00420A1E">
      <w:pPr>
        <w:pStyle w:val="Titre2"/>
        <w:numPr>
          <w:ilvl w:val="0"/>
          <w:numId w:val="9"/>
        </w:numPr>
        <w:suppressAutoHyphens/>
        <w:rPr>
          <w:color w:val="auto"/>
        </w:rPr>
      </w:pPr>
      <w:bookmarkStart w:id="3" w:name="_Toc428947864"/>
      <w:r w:rsidRPr="00600C98">
        <w:rPr>
          <w:color w:val="auto"/>
        </w:rPr>
        <w:lastRenderedPageBreak/>
        <w:t>La fixité des parités avec la monnaie ancre </w:t>
      </w:r>
      <w:r w:rsidR="00D646F8" w:rsidRPr="00600C98">
        <w:rPr>
          <w:color w:val="auto"/>
        </w:rPr>
        <w:t>(FRF puis €)</w:t>
      </w:r>
      <w:r w:rsidRPr="00600C98">
        <w:rPr>
          <w:color w:val="auto"/>
        </w:rPr>
        <w:t>:</w:t>
      </w:r>
      <w:bookmarkEnd w:id="3"/>
      <w:r w:rsidRPr="00600C98">
        <w:rPr>
          <w:color w:val="auto"/>
        </w:rPr>
        <w:t xml:space="preserve"> </w:t>
      </w:r>
    </w:p>
    <w:p w:rsidR="00440565" w:rsidRPr="00600C98" w:rsidRDefault="00600C98" w:rsidP="00420A1E">
      <w:pPr>
        <w:keepNext/>
        <w:keepLines/>
        <w:suppressAutoHyphens/>
        <w:jc w:val="both"/>
        <w:rPr>
          <w:rFonts w:ascii="Times New Roman" w:hAnsi="Times New Roman" w:cs="Times New Roman"/>
          <w:sz w:val="26"/>
          <w:szCs w:val="26"/>
        </w:rPr>
      </w:pPr>
      <w:r>
        <w:rPr>
          <w:rFonts w:ascii="Times New Roman" w:hAnsi="Times New Roman" w:cs="Times New Roman"/>
          <w:sz w:val="26"/>
          <w:szCs w:val="26"/>
        </w:rPr>
        <w:t xml:space="preserve">     L</w:t>
      </w:r>
      <w:r w:rsidR="008B7AD2" w:rsidRPr="00600C98">
        <w:rPr>
          <w:rFonts w:ascii="Times New Roman" w:hAnsi="Times New Roman" w:cs="Times New Roman"/>
          <w:sz w:val="26"/>
          <w:szCs w:val="26"/>
        </w:rPr>
        <w:t>a parité des FCFA est fixe vis-à-vis de l’euro et définie pour chaque sous-zone</w:t>
      </w:r>
      <w:r w:rsidR="00B4482F" w:rsidRPr="00600C98">
        <w:rPr>
          <w:rFonts w:ascii="Times New Roman" w:hAnsi="Times New Roman" w:cs="Times New Roman"/>
          <w:sz w:val="26"/>
          <w:szCs w:val="26"/>
        </w:rPr>
        <w:t xml:space="preserve"> (régime de change fixe)</w:t>
      </w:r>
      <w:r w:rsidR="008B7AD2" w:rsidRPr="00600C98">
        <w:rPr>
          <w:rFonts w:ascii="Times New Roman" w:hAnsi="Times New Roman" w:cs="Times New Roman"/>
          <w:sz w:val="26"/>
          <w:szCs w:val="26"/>
        </w:rPr>
        <w:t>. Cela signifie que la valeur des</w:t>
      </w:r>
      <w:r w:rsidR="00B4482F" w:rsidRPr="00600C98">
        <w:rPr>
          <w:rFonts w:ascii="Times New Roman" w:hAnsi="Times New Roman" w:cs="Times New Roman"/>
          <w:sz w:val="26"/>
          <w:szCs w:val="26"/>
        </w:rPr>
        <w:t xml:space="preserve"> CFA par rapport à l’euro ne change pas (ou ne fluctue pas) contrairement</w:t>
      </w:r>
      <w:r w:rsidR="006E1B53" w:rsidRPr="00600C98">
        <w:rPr>
          <w:rFonts w:ascii="Times New Roman" w:hAnsi="Times New Roman" w:cs="Times New Roman"/>
          <w:sz w:val="26"/>
          <w:szCs w:val="26"/>
        </w:rPr>
        <w:t xml:space="preserve"> à d’autres monnaies soumises au régime de change flottant (le naira nigérian, le cedi ghanéen</w:t>
      </w:r>
      <w:r w:rsidR="00282C93" w:rsidRPr="00600C98">
        <w:rPr>
          <w:rFonts w:ascii="Times New Roman" w:hAnsi="Times New Roman" w:cs="Times New Roman"/>
          <w:sz w:val="26"/>
          <w:szCs w:val="26"/>
        </w:rPr>
        <w:t>, le franc guinéen</w:t>
      </w:r>
      <w:r w:rsidR="006E1B53" w:rsidRPr="00600C98">
        <w:rPr>
          <w:rFonts w:ascii="Times New Roman" w:hAnsi="Times New Roman" w:cs="Times New Roman"/>
          <w:sz w:val="26"/>
          <w:szCs w:val="26"/>
        </w:rPr>
        <w:t xml:space="preserve"> par exemple).</w:t>
      </w:r>
      <w:r w:rsidR="00D8022E" w:rsidRPr="00600C98">
        <w:rPr>
          <w:rFonts w:ascii="Times New Roman" w:hAnsi="Times New Roman" w:cs="Times New Roman"/>
          <w:sz w:val="26"/>
          <w:szCs w:val="26"/>
        </w:rPr>
        <w:t xml:space="preserve"> Le changement de parité </w:t>
      </w:r>
      <w:r w:rsidR="00F464CF" w:rsidRPr="00600C98">
        <w:rPr>
          <w:rFonts w:ascii="Times New Roman" w:hAnsi="Times New Roman" w:cs="Times New Roman"/>
          <w:sz w:val="26"/>
          <w:szCs w:val="26"/>
        </w:rPr>
        <w:t xml:space="preserve">en régime de change fixe </w:t>
      </w:r>
      <w:r w:rsidR="00D8022E" w:rsidRPr="00600C98">
        <w:rPr>
          <w:rFonts w:ascii="Times New Roman" w:hAnsi="Times New Roman" w:cs="Times New Roman"/>
          <w:sz w:val="26"/>
          <w:szCs w:val="26"/>
        </w:rPr>
        <w:t>peut</w:t>
      </w:r>
      <w:r w:rsidR="00D22E86" w:rsidRPr="00600C98">
        <w:rPr>
          <w:rFonts w:ascii="Times New Roman" w:hAnsi="Times New Roman" w:cs="Times New Roman"/>
          <w:sz w:val="26"/>
          <w:szCs w:val="26"/>
        </w:rPr>
        <w:t>,</w:t>
      </w:r>
      <w:r w:rsidR="00D8022E" w:rsidRPr="00600C98">
        <w:rPr>
          <w:rFonts w:ascii="Times New Roman" w:hAnsi="Times New Roman" w:cs="Times New Roman"/>
          <w:sz w:val="26"/>
          <w:szCs w:val="26"/>
        </w:rPr>
        <w:t xml:space="preserve"> </w:t>
      </w:r>
      <w:r w:rsidR="00D22E86" w:rsidRPr="00600C98">
        <w:rPr>
          <w:rFonts w:ascii="Times New Roman" w:hAnsi="Times New Roman" w:cs="Times New Roman"/>
          <w:sz w:val="26"/>
          <w:szCs w:val="26"/>
        </w:rPr>
        <w:t xml:space="preserve">exceptionnellement, </w:t>
      </w:r>
      <w:r w:rsidR="00D8022E" w:rsidRPr="00600C98">
        <w:rPr>
          <w:rFonts w:ascii="Times New Roman" w:hAnsi="Times New Roman" w:cs="Times New Roman"/>
          <w:sz w:val="26"/>
          <w:szCs w:val="26"/>
        </w:rPr>
        <w:t>être décidé par les Chefs d’Etat en cas de dévaluation ou de réévaluation</w:t>
      </w:r>
      <w:r w:rsidR="00F464CF" w:rsidRPr="00600C98">
        <w:rPr>
          <w:rFonts w:ascii="Times New Roman" w:hAnsi="Times New Roman" w:cs="Times New Roman"/>
          <w:sz w:val="26"/>
          <w:szCs w:val="26"/>
        </w:rPr>
        <w:t xml:space="preserve"> (exemple de la dévaluation de 94)</w:t>
      </w:r>
      <w:r w:rsidR="00D8022E" w:rsidRPr="00600C98">
        <w:rPr>
          <w:rFonts w:ascii="Times New Roman" w:hAnsi="Times New Roman" w:cs="Times New Roman"/>
          <w:sz w:val="26"/>
          <w:szCs w:val="26"/>
        </w:rPr>
        <w:t>.</w:t>
      </w:r>
      <w:r w:rsidR="00956B65" w:rsidRPr="00600C98">
        <w:rPr>
          <w:rFonts w:ascii="Times New Roman" w:hAnsi="Times New Roman" w:cs="Times New Roman"/>
          <w:sz w:val="26"/>
          <w:szCs w:val="26"/>
        </w:rPr>
        <w:t xml:space="preserve"> Toutefois, </w:t>
      </w:r>
      <w:r w:rsidR="00282C93" w:rsidRPr="00600C98">
        <w:rPr>
          <w:rFonts w:ascii="Times New Roman" w:hAnsi="Times New Roman" w:cs="Times New Roman"/>
          <w:sz w:val="26"/>
          <w:szCs w:val="26"/>
        </w:rPr>
        <w:t>la dévaluation</w:t>
      </w:r>
      <w:r w:rsidR="00956B65" w:rsidRPr="00600C98">
        <w:rPr>
          <w:rFonts w:ascii="Times New Roman" w:hAnsi="Times New Roman" w:cs="Times New Roman"/>
          <w:sz w:val="26"/>
          <w:szCs w:val="26"/>
        </w:rPr>
        <w:t xml:space="preserve"> peut entraîner une défiance vis-à-vis de la monnaie et détérioré son capital confiance.</w:t>
      </w:r>
      <w:r w:rsidR="002C191C" w:rsidRPr="00600C98">
        <w:rPr>
          <w:rFonts w:ascii="Times New Roman" w:hAnsi="Times New Roman" w:cs="Times New Roman"/>
          <w:sz w:val="26"/>
          <w:szCs w:val="26"/>
        </w:rPr>
        <w:t xml:space="preserve"> Pour rappel, depuis 1945 deux modifications majeures de parité ont touché la Zone franc : 1948 (1 FRF = 0,5 FCFA en lieu et place de 1 FRF = 0,588 FCFA en 1945) ; 1994 (dévaluation de 50% des deux francs CFA, 1 FRF = 100 FCFA en lieu et place de  1 FRF = 50 FCFA en 1960 date circulation du nouveau franc français).</w:t>
      </w:r>
    </w:p>
    <w:p w:rsidR="00600C98" w:rsidRPr="00600C98" w:rsidRDefault="00DB13AB" w:rsidP="00420A1E">
      <w:pPr>
        <w:pStyle w:val="Titre2"/>
        <w:numPr>
          <w:ilvl w:val="0"/>
          <w:numId w:val="9"/>
        </w:numPr>
        <w:suppressAutoHyphens/>
        <w:rPr>
          <w:color w:val="auto"/>
        </w:rPr>
      </w:pPr>
      <w:bookmarkStart w:id="4" w:name="_Toc428947865"/>
      <w:r w:rsidRPr="00600C98">
        <w:rPr>
          <w:color w:val="auto"/>
        </w:rPr>
        <w:t>La libre transférabilité :</w:t>
      </w:r>
      <w:bookmarkEnd w:id="4"/>
      <w:r w:rsidRPr="00600C98">
        <w:rPr>
          <w:color w:val="auto"/>
        </w:rPr>
        <w:t xml:space="preserve"> </w:t>
      </w:r>
    </w:p>
    <w:p w:rsidR="00B814AD" w:rsidRPr="00600C98" w:rsidRDefault="00600C98" w:rsidP="00420A1E">
      <w:pPr>
        <w:keepNext/>
        <w:keepLines/>
        <w:suppressAutoHyphens/>
        <w:jc w:val="both"/>
        <w:rPr>
          <w:rFonts w:ascii="Times New Roman" w:hAnsi="Times New Roman" w:cs="Times New Roman"/>
          <w:sz w:val="26"/>
          <w:szCs w:val="26"/>
        </w:rPr>
      </w:pPr>
      <w:r>
        <w:rPr>
          <w:rFonts w:ascii="Times New Roman" w:hAnsi="Times New Roman" w:cs="Times New Roman"/>
          <w:sz w:val="26"/>
          <w:szCs w:val="26"/>
        </w:rPr>
        <w:t xml:space="preserve">   L</w:t>
      </w:r>
      <w:r w:rsidR="00DB13AB" w:rsidRPr="00600C98">
        <w:rPr>
          <w:rFonts w:ascii="Times New Roman" w:hAnsi="Times New Roman" w:cs="Times New Roman"/>
          <w:sz w:val="26"/>
          <w:szCs w:val="26"/>
        </w:rPr>
        <w:t xml:space="preserve">es transferts </w:t>
      </w:r>
      <w:r w:rsidR="00C14A3A" w:rsidRPr="00600C98">
        <w:rPr>
          <w:rFonts w:ascii="Times New Roman" w:hAnsi="Times New Roman" w:cs="Times New Roman"/>
          <w:sz w:val="26"/>
          <w:szCs w:val="26"/>
        </w:rPr>
        <w:t xml:space="preserve">(mouvements de capitaux) </w:t>
      </w:r>
      <w:r w:rsidR="00DB13AB" w:rsidRPr="00600C98">
        <w:rPr>
          <w:rFonts w:ascii="Times New Roman" w:hAnsi="Times New Roman" w:cs="Times New Roman"/>
          <w:sz w:val="26"/>
          <w:szCs w:val="26"/>
        </w:rPr>
        <w:t xml:space="preserve">sont en principe </w:t>
      </w:r>
      <w:r w:rsidR="00C14A3A" w:rsidRPr="00600C98">
        <w:rPr>
          <w:rFonts w:ascii="Times New Roman" w:hAnsi="Times New Roman" w:cs="Times New Roman"/>
          <w:sz w:val="26"/>
          <w:szCs w:val="26"/>
        </w:rPr>
        <w:t>libres</w:t>
      </w:r>
      <w:r w:rsidR="00DB13AB" w:rsidRPr="00600C98">
        <w:rPr>
          <w:rFonts w:ascii="Times New Roman" w:hAnsi="Times New Roman" w:cs="Times New Roman"/>
          <w:sz w:val="26"/>
          <w:szCs w:val="26"/>
        </w:rPr>
        <w:t xml:space="preserve"> à l’intérieur de la Zone</w:t>
      </w:r>
      <w:r w:rsidR="00C14A3A" w:rsidRPr="00600C98">
        <w:rPr>
          <w:rFonts w:ascii="Times New Roman" w:hAnsi="Times New Roman" w:cs="Times New Roman"/>
          <w:sz w:val="26"/>
          <w:szCs w:val="26"/>
        </w:rPr>
        <w:t>.</w:t>
      </w:r>
    </w:p>
    <w:p w:rsidR="00600C98" w:rsidRPr="00600C98" w:rsidRDefault="00C14A3A" w:rsidP="00420A1E">
      <w:pPr>
        <w:pStyle w:val="Titre2"/>
        <w:numPr>
          <w:ilvl w:val="0"/>
          <w:numId w:val="9"/>
        </w:numPr>
        <w:suppressAutoHyphens/>
        <w:rPr>
          <w:color w:val="auto"/>
        </w:rPr>
      </w:pPr>
      <w:bookmarkStart w:id="5" w:name="_Toc428947866"/>
      <w:r w:rsidRPr="00600C98">
        <w:rPr>
          <w:color w:val="auto"/>
        </w:rPr>
        <w:t>La centralisation des réserves de change :</w:t>
      </w:r>
      <w:bookmarkEnd w:id="5"/>
      <w:r w:rsidRPr="00600C98">
        <w:rPr>
          <w:color w:val="auto"/>
        </w:rPr>
        <w:t xml:space="preserve"> </w:t>
      </w:r>
    </w:p>
    <w:p w:rsidR="00174C97" w:rsidRPr="00600C98" w:rsidRDefault="00600C98" w:rsidP="00420A1E">
      <w:pPr>
        <w:keepNext/>
        <w:keepLines/>
        <w:suppressAutoHyphens/>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L</w:t>
      </w:r>
      <w:r w:rsidR="00F4615C" w:rsidRPr="00600C98">
        <w:rPr>
          <w:rFonts w:ascii="Times New Roman" w:hAnsi="Times New Roman" w:cs="Times New Roman"/>
          <w:sz w:val="26"/>
          <w:szCs w:val="26"/>
        </w:rPr>
        <w:t xml:space="preserve">es 3 banques centrales (BCEO, BEAC, Comores) centralisent dans un premier temps leurs réserves de change, ensuite en contrepartie de la garantie de convertibilité illimitée accordée par l’Etat français, ces banques centrales sont tenues de déposer une portion de ces réserves de change auprès du Trésor français sur un </w:t>
      </w:r>
      <w:r w:rsidR="00F4615C" w:rsidRPr="00600C98">
        <w:rPr>
          <w:rFonts w:ascii="Times New Roman" w:hAnsi="Times New Roman" w:cs="Times New Roman"/>
          <w:b/>
          <w:sz w:val="26"/>
          <w:szCs w:val="26"/>
        </w:rPr>
        <w:t>compte d’opérations</w:t>
      </w:r>
      <w:r w:rsidR="00F4615C" w:rsidRPr="00600C98">
        <w:rPr>
          <w:rFonts w:ascii="Times New Roman" w:hAnsi="Times New Roman" w:cs="Times New Roman"/>
          <w:sz w:val="26"/>
          <w:szCs w:val="26"/>
        </w:rPr>
        <w:t>.</w:t>
      </w:r>
      <w:r w:rsidR="0099533C" w:rsidRPr="00600C98">
        <w:rPr>
          <w:rFonts w:ascii="Times New Roman" w:hAnsi="Times New Roman" w:cs="Times New Roman"/>
          <w:sz w:val="26"/>
          <w:szCs w:val="26"/>
        </w:rPr>
        <w:t xml:space="preserve"> </w:t>
      </w:r>
      <w:r w:rsidR="00E53AEF" w:rsidRPr="00600C98">
        <w:rPr>
          <w:rFonts w:ascii="Times New Roman" w:hAnsi="Times New Roman" w:cs="Times New Roman"/>
          <w:sz w:val="26"/>
          <w:szCs w:val="26"/>
        </w:rPr>
        <w:t>Pour garantir leur non dépréciation (leur valeur), ces réserves (avoirs en euros) sont adossées sur le DTS (Droit de Tirage Spécial, panier de monnaie utilisé par le Fonds Monétaire International, FMI) depuis 1975.</w:t>
      </w:r>
      <w:r w:rsidR="006958B9" w:rsidRPr="00600C98">
        <w:rPr>
          <w:rFonts w:ascii="Times New Roman" w:hAnsi="Times New Roman" w:cs="Times New Roman"/>
          <w:sz w:val="26"/>
          <w:szCs w:val="26"/>
        </w:rPr>
        <w:t xml:space="preserve"> Le DTS est l’unité de compte du FMI. Sa valeur résulte du calcul journalier d’un panier de quatre monnaies : le dollar US, l’euro, la livre sterling, et le yen japonais. Par conséquent, tous les Etats membres disposent de DTS.</w:t>
      </w:r>
      <w:r w:rsidR="00174C97" w:rsidRPr="00600C98">
        <w:rPr>
          <w:rFonts w:ascii="Times New Roman" w:hAnsi="Times New Roman" w:cs="Times New Roman"/>
          <w:sz w:val="26"/>
          <w:szCs w:val="26"/>
        </w:rPr>
        <w:t xml:space="preserve"> Les réformes signées le 20 septembre 2005 ont permis de mettre en place un avenant aux accords de coopération monétaire. Actuellement, pour la BCEAO, la part des avoirs extérieurs devant être déposés sur le compte d’opération est fixée à 50% depuis la réforme de septembre 2005. Pour la BEAC, la quotité a été réduite de 65 à 60% au 1er juillet 2007 puis la proportion de 50% est désormais appliquée depuis le 1</w:t>
      </w:r>
      <w:r w:rsidR="00174C97" w:rsidRPr="00600C98">
        <w:rPr>
          <w:rFonts w:ascii="Times New Roman" w:hAnsi="Times New Roman" w:cs="Times New Roman"/>
          <w:sz w:val="26"/>
          <w:szCs w:val="26"/>
          <w:vertAlign w:val="superscript"/>
        </w:rPr>
        <w:t>er</w:t>
      </w:r>
      <w:r w:rsidR="00174C97" w:rsidRPr="00600C98">
        <w:rPr>
          <w:rFonts w:ascii="Times New Roman" w:hAnsi="Times New Roman" w:cs="Times New Roman"/>
          <w:sz w:val="26"/>
          <w:szCs w:val="26"/>
        </w:rPr>
        <w:t xml:space="preserve"> juillet 2009. Pour les Comores, cette quotité reste à 65%. </w:t>
      </w:r>
    </w:p>
    <w:p w:rsidR="00CA3689" w:rsidRPr="00833484" w:rsidRDefault="00CA3689" w:rsidP="00420A1E">
      <w:pPr>
        <w:keepNext/>
        <w:keepLines/>
        <w:suppressAutoHyphens/>
        <w:spacing w:line="240" w:lineRule="auto"/>
        <w:ind w:firstLine="284"/>
        <w:jc w:val="both"/>
        <w:rPr>
          <w:rFonts w:ascii="Times New Roman" w:hAnsi="Times New Roman" w:cs="Times New Roman"/>
          <w:sz w:val="26"/>
          <w:szCs w:val="26"/>
        </w:rPr>
      </w:pPr>
      <w:r w:rsidRPr="00833484">
        <w:rPr>
          <w:rFonts w:ascii="Times New Roman" w:hAnsi="Times New Roman" w:cs="Times New Roman"/>
          <w:sz w:val="26"/>
          <w:szCs w:val="26"/>
        </w:rPr>
        <w:lastRenderedPageBreak/>
        <w:t xml:space="preserve">C’est ce dernier point relatif aux comptes d’opérations qui attise tous les débats dans la Zone franc depuis l’époque coloniale à nos jours. Il a fait couler beaucoup d’encres et suscite toujours de vastes controverses entre économistes. Les comptes d’opérations sont des comptes à vue ouverts auprès du Trésor français au nom de chacun des trois instituts d’émission : la BCEAO, la BEAC et la Banque centrale des Comores. Ces comptes sont rémunérés et offrent la possibilité d’un découvert illimité. Dans le cas d’un découvert, les intérêts débiteurs seront en revanche calculés en faveur de la France. Toutefois, l’article 5 de la convention de compte d’opérations entre la France et les pays de l’UMOA du 4 décembre 1973 prévoit que, lorsque le compte d’opérations devient débiteur, la BCEAO prend les mesures conservatoires figurant à l’article 20 du traité de l’UMOA. </w:t>
      </w:r>
    </w:p>
    <w:p w:rsidR="001E2C42" w:rsidRDefault="001E2C42" w:rsidP="00420A1E">
      <w:pPr>
        <w:pStyle w:val="Paragraphedeliste"/>
        <w:keepNext/>
        <w:keepLines/>
        <w:suppressAutoHyphens/>
        <w:ind w:left="360"/>
        <w:jc w:val="both"/>
        <w:rPr>
          <w:rFonts w:ascii="Times New Roman" w:hAnsi="Times New Roman" w:cs="Times New Roman"/>
          <w:sz w:val="26"/>
          <w:szCs w:val="26"/>
        </w:rPr>
      </w:pPr>
      <w:r w:rsidRPr="001E2C42">
        <w:rPr>
          <w:rFonts w:ascii="Times New Roman" w:hAnsi="Times New Roman" w:cs="Times New Roman"/>
          <w:b/>
          <w:sz w:val="26"/>
          <w:szCs w:val="26"/>
          <w:u w:val="single"/>
        </w:rPr>
        <w:t>Graphique N°1</w:t>
      </w:r>
      <w:r>
        <w:rPr>
          <w:rFonts w:ascii="Times New Roman" w:hAnsi="Times New Roman" w:cs="Times New Roman"/>
          <w:sz w:val="26"/>
          <w:szCs w:val="26"/>
        </w:rPr>
        <w:t> : Evolution des taux de couverture des billets et monnaies de la BCEAO par les comptes d’opérations</w:t>
      </w:r>
    </w:p>
    <w:p w:rsidR="001E2C42" w:rsidRDefault="001E2C42" w:rsidP="00420A1E">
      <w:pPr>
        <w:pStyle w:val="Paragraphedeliste"/>
        <w:keepNext/>
        <w:keepLines/>
        <w:suppressAutoHyphens/>
        <w:ind w:left="360"/>
        <w:jc w:val="both"/>
        <w:rPr>
          <w:rFonts w:ascii="Times New Roman" w:hAnsi="Times New Roman" w:cs="Times New Roman"/>
          <w:sz w:val="26"/>
          <w:szCs w:val="26"/>
        </w:rPr>
      </w:pPr>
      <w:r>
        <w:rPr>
          <w:noProof/>
          <w:lang w:eastAsia="fr-FR"/>
        </w:rPr>
        <mc:AlternateContent>
          <mc:Choice Requires="wps">
            <w:drawing>
              <wp:anchor distT="0" distB="0" distL="114300" distR="114300" simplePos="0" relativeHeight="251659264" behindDoc="0" locked="0" layoutInCell="1" allowOverlap="1" wp14:anchorId="2A22D359" wp14:editId="1512D36D">
                <wp:simplePos x="0" y="0"/>
                <wp:positionH relativeFrom="column">
                  <wp:posOffset>3310255</wp:posOffset>
                </wp:positionH>
                <wp:positionV relativeFrom="paragraph">
                  <wp:posOffset>902173</wp:posOffset>
                </wp:positionV>
                <wp:extent cx="2180560" cy="2488018"/>
                <wp:effectExtent l="19050" t="19050" r="10795" b="26670"/>
                <wp:wrapNone/>
                <wp:docPr id="23" name="Rectangle à coins arrondis 22"/>
                <wp:cNvGraphicFramePr/>
                <a:graphic xmlns:a="http://schemas.openxmlformats.org/drawingml/2006/main">
                  <a:graphicData uri="http://schemas.microsoft.com/office/word/2010/wordprocessingShape">
                    <wps:wsp>
                      <wps:cNvSpPr/>
                      <wps:spPr>
                        <a:xfrm>
                          <a:off x="0" y="0"/>
                          <a:ext cx="2180560" cy="2488018"/>
                        </a:xfrm>
                        <a:prstGeom prst="roundRect">
                          <a:avLst/>
                        </a:prstGeom>
                        <a:noFill/>
                        <a:ln w="44450">
                          <a:solidFill>
                            <a:srgbClr val="00B050"/>
                          </a:solidFill>
                          <a:prstDash val="sysDot"/>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2" o:spid="_x0000_s1026" style="position:absolute;margin-left:260.65pt;margin-top:71.05pt;width:171.7pt;height:19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" filled="f" strokecolor="#00b050" strokeweight="3.5pt">
                <v:stroke dashstyle="1 1"/>
              </v:roundrect>
            </w:pict>
          </mc:Fallback>
        </mc:AlternateContent>
      </w:r>
      <w:r>
        <w:rPr>
          <w:rFonts w:ascii="Times New Roman" w:hAnsi="Times New Roman" w:cs="Times New Roman"/>
          <w:b/>
          <w:sz w:val="26"/>
          <w:szCs w:val="26"/>
        </w:rPr>
        <w:object w:dxaOrig="8850" w:dyaOrig="5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15pt;height:271.15pt" o:ole="">
            <v:imagedata r:id="rId9" o:title=""/>
          </v:shape>
          <o:OLEObject Type="Link" ProgID="Excel.Sheet.12" ShapeID="_x0000_i1025" DrawAspect="Content" r:id="rId10" UpdateMode="Always">
            <o:LinkType>EnhancedMetaFile</o:LinkType>
            <o:LockedField>false</o:LockedField>
          </o:OLEObject>
        </w:object>
      </w:r>
      <w:r>
        <w:rPr>
          <w:rFonts w:ascii="Times New Roman" w:hAnsi="Times New Roman" w:cs="Times New Roman"/>
          <w:b/>
          <w:sz w:val="26"/>
          <w:szCs w:val="26"/>
        </w:rPr>
        <w:t xml:space="preserve">Source : </w:t>
      </w:r>
      <w:r w:rsidRPr="001E2C42">
        <w:rPr>
          <w:rFonts w:ascii="Times New Roman" w:hAnsi="Times New Roman" w:cs="Times New Roman"/>
          <w:sz w:val="26"/>
          <w:szCs w:val="26"/>
        </w:rPr>
        <w:t>BCEAO, Annuaire statistique 2014</w:t>
      </w:r>
      <w:r>
        <w:rPr>
          <w:rFonts w:ascii="Times New Roman" w:hAnsi="Times New Roman" w:cs="Times New Roman"/>
          <w:sz w:val="26"/>
          <w:szCs w:val="26"/>
        </w:rPr>
        <w:t xml:space="preserve"> &amp; nos calculs.</w:t>
      </w:r>
      <w:r w:rsidRPr="001E2C42">
        <w:rPr>
          <w:noProof/>
          <w:lang w:eastAsia="fr-FR"/>
        </w:rPr>
        <w:t xml:space="preserve"> </w:t>
      </w:r>
    </w:p>
    <w:p w:rsidR="001E2C42" w:rsidRPr="00833484" w:rsidRDefault="001E2C42" w:rsidP="00420A1E">
      <w:pPr>
        <w:pStyle w:val="Paragraphedeliste"/>
        <w:keepNext/>
        <w:keepLines/>
        <w:suppressAutoHyphens/>
        <w:ind w:left="360"/>
        <w:jc w:val="both"/>
        <w:rPr>
          <w:rFonts w:ascii="Times New Roman" w:hAnsi="Times New Roman" w:cs="Times New Roman"/>
          <w:sz w:val="26"/>
          <w:szCs w:val="26"/>
        </w:rPr>
      </w:pPr>
    </w:p>
    <w:p w:rsidR="00F87694" w:rsidRDefault="00CA3689" w:rsidP="00420A1E">
      <w:pPr>
        <w:keepNext/>
        <w:keepLines/>
        <w:suppressAutoHyphens/>
        <w:ind w:firstLine="284"/>
        <w:jc w:val="both"/>
        <w:rPr>
          <w:rFonts w:ascii="Times New Roman" w:hAnsi="Times New Roman" w:cs="Times New Roman"/>
          <w:sz w:val="26"/>
          <w:szCs w:val="26"/>
        </w:rPr>
      </w:pPr>
      <w:r>
        <w:rPr>
          <w:rFonts w:ascii="Times New Roman" w:hAnsi="Times New Roman" w:cs="Times New Roman"/>
          <w:sz w:val="26"/>
          <w:szCs w:val="26"/>
        </w:rPr>
        <w:t>La partie hachurée (2007-2010) de ce graphique illustre bien l’effet mécanique</w:t>
      </w:r>
      <w:r w:rsidR="0005386C">
        <w:rPr>
          <w:rFonts w:ascii="Times New Roman" w:hAnsi="Times New Roman" w:cs="Times New Roman"/>
          <w:sz w:val="26"/>
          <w:szCs w:val="26"/>
        </w:rPr>
        <w:t xml:space="preserve"> de desserrement d’étau</w:t>
      </w:r>
      <w:r>
        <w:rPr>
          <w:rFonts w:ascii="Times New Roman" w:hAnsi="Times New Roman" w:cs="Times New Roman"/>
          <w:sz w:val="26"/>
          <w:szCs w:val="26"/>
        </w:rPr>
        <w:t xml:space="preserve"> de la réforme de septembre 2005 (Portion remise à 50%) sur les émissions de signes monétaires dans la Zone UEMOA.</w:t>
      </w:r>
      <w:r w:rsidR="0005386C">
        <w:rPr>
          <w:rFonts w:ascii="Times New Roman" w:hAnsi="Times New Roman" w:cs="Times New Roman"/>
          <w:sz w:val="26"/>
          <w:szCs w:val="26"/>
        </w:rPr>
        <w:t xml:space="preserve"> En effet, sur </w:t>
      </w:r>
    </w:p>
    <w:p w:rsidR="00CA3689" w:rsidRDefault="0005386C" w:rsidP="00420A1E">
      <w:pPr>
        <w:keepNext/>
        <w:keepLines/>
        <w:suppressAutoHyphens/>
        <w:ind w:firstLine="284"/>
        <w:jc w:val="both"/>
        <w:rPr>
          <w:rFonts w:ascii="Times New Roman" w:hAnsi="Times New Roman" w:cs="Times New Roman"/>
          <w:sz w:val="26"/>
          <w:szCs w:val="26"/>
        </w:rPr>
      </w:pPr>
      <w:r>
        <w:rPr>
          <w:rFonts w:ascii="Times New Roman" w:hAnsi="Times New Roman" w:cs="Times New Roman"/>
          <w:sz w:val="26"/>
          <w:szCs w:val="26"/>
        </w:rPr>
        <w:t xml:space="preserve">cette période les émissions de monnaies ne sont pas </w:t>
      </w:r>
      <w:r w:rsidR="000A214D">
        <w:rPr>
          <w:rFonts w:ascii="Times New Roman" w:hAnsi="Times New Roman" w:cs="Times New Roman"/>
          <w:sz w:val="26"/>
          <w:szCs w:val="26"/>
        </w:rPr>
        <w:t>couvertes</w:t>
      </w:r>
      <w:r>
        <w:rPr>
          <w:rFonts w:ascii="Times New Roman" w:hAnsi="Times New Roman" w:cs="Times New Roman"/>
          <w:sz w:val="26"/>
          <w:szCs w:val="26"/>
        </w:rPr>
        <w:t xml:space="preserve"> à 100% par les fonds des comptes d’opérations auprès du Trésor français.</w:t>
      </w:r>
    </w:p>
    <w:p w:rsidR="00C82342" w:rsidRPr="00833484" w:rsidRDefault="000A214D" w:rsidP="00420A1E">
      <w:pPr>
        <w:keepNext/>
        <w:keepLines/>
        <w:suppressAutoHyphens/>
        <w:ind w:firstLine="284"/>
        <w:jc w:val="both"/>
        <w:rPr>
          <w:rFonts w:ascii="Times New Roman" w:hAnsi="Times New Roman" w:cs="Times New Roman"/>
          <w:sz w:val="26"/>
          <w:szCs w:val="26"/>
        </w:rPr>
      </w:pPr>
      <w:r>
        <w:rPr>
          <w:rFonts w:ascii="Times New Roman" w:hAnsi="Times New Roman" w:cs="Times New Roman"/>
          <w:sz w:val="26"/>
          <w:szCs w:val="26"/>
        </w:rPr>
        <w:lastRenderedPageBreak/>
        <w:t>Par ailleurs, l</w:t>
      </w:r>
      <w:r w:rsidR="00C82342" w:rsidRPr="00833484">
        <w:rPr>
          <w:rFonts w:ascii="Times New Roman" w:hAnsi="Times New Roman" w:cs="Times New Roman"/>
          <w:sz w:val="26"/>
          <w:szCs w:val="26"/>
        </w:rPr>
        <w:t xml:space="preserve">es avoirs extérieurs déposés sur les comptes d’opérations sont rémunérés au taux de la facilité de prêt marginal de la Banque centrale européenne (BCE) (1,5 % </w:t>
      </w:r>
      <w:r w:rsidR="008E2200" w:rsidRPr="00833484">
        <w:rPr>
          <w:rFonts w:ascii="Times New Roman" w:hAnsi="Times New Roman" w:cs="Times New Roman"/>
          <w:sz w:val="26"/>
          <w:szCs w:val="26"/>
        </w:rPr>
        <w:t xml:space="preserve"> par exemple</w:t>
      </w:r>
      <w:r w:rsidR="00C82342" w:rsidRPr="00833484">
        <w:rPr>
          <w:rFonts w:ascii="Times New Roman" w:hAnsi="Times New Roman" w:cs="Times New Roman"/>
          <w:sz w:val="26"/>
          <w:szCs w:val="26"/>
        </w:rPr>
        <w:t xml:space="preserve"> le 11 juillet 2012) pour la quotité obligatoire des dépôts</w:t>
      </w:r>
      <w:r w:rsidR="002513AB" w:rsidRPr="00833484">
        <w:rPr>
          <w:rFonts w:ascii="Times New Roman" w:hAnsi="Times New Roman" w:cs="Times New Roman"/>
          <w:sz w:val="26"/>
          <w:szCs w:val="26"/>
        </w:rPr>
        <w:t xml:space="preserve"> (50%)</w:t>
      </w:r>
      <w:r w:rsidR="00C82342" w:rsidRPr="00833484">
        <w:rPr>
          <w:rFonts w:ascii="Times New Roman" w:hAnsi="Times New Roman" w:cs="Times New Roman"/>
          <w:sz w:val="26"/>
          <w:szCs w:val="26"/>
        </w:rPr>
        <w:t xml:space="preserve">, et au taux minimum des opérations principales de refinancement de la BCE (0,75 % </w:t>
      </w:r>
      <w:r w:rsidR="008E2200" w:rsidRPr="00833484">
        <w:rPr>
          <w:rFonts w:ascii="Times New Roman" w:hAnsi="Times New Roman" w:cs="Times New Roman"/>
          <w:sz w:val="26"/>
          <w:szCs w:val="26"/>
        </w:rPr>
        <w:t>par exemple</w:t>
      </w:r>
      <w:r w:rsidR="00C82342" w:rsidRPr="00833484">
        <w:rPr>
          <w:rFonts w:ascii="Times New Roman" w:hAnsi="Times New Roman" w:cs="Times New Roman"/>
          <w:sz w:val="26"/>
          <w:szCs w:val="26"/>
        </w:rPr>
        <w:t xml:space="preserve"> le 11 juillet</w:t>
      </w:r>
      <w:r w:rsidR="002D0C88" w:rsidRPr="00833484">
        <w:rPr>
          <w:rFonts w:ascii="Times New Roman" w:hAnsi="Times New Roman" w:cs="Times New Roman"/>
          <w:sz w:val="26"/>
          <w:szCs w:val="26"/>
        </w:rPr>
        <w:t xml:space="preserve"> 2012</w:t>
      </w:r>
      <w:r w:rsidR="00C82342" w:rsidRPr="00833484">
        <w:rPr>
          <w:rFonts w:ascii="Times New Roman" w:hAnsi="Times New Roman" w:cs="Times New Roman"/>
          <w:sz w:val="26"/>
          <w:szCs w:val="26"/>
        </w:rPr>
        <w:t xml:space="preserve">) pour les avoirs déposés au-delà de la quotité obligatoire </w:t>
      </w:r>
      <w:r w:rsidR="002513AB" w:rsidRPr="00833484">
        <w:rPr>
          <w:rFonts w:ascii="Times New Roman" w:hAnsi="Times New Roman" w:cs="Times New Roman"/>
          <w:sz w:val="26"/>
          <w:szCs w:val="26"/>
        </w:rPr>
        <w:t xml:space="preserve">(&gt; 50%) </w:t>
      </w:r>
      <w:r w:rsidR="00C82342" w:rsidRPr="00833484">
        <w:rPr>
          <w:rFonts w:ascii="Times New Roman" w:hAnsi="Times New Roman" w:cs="Times New Roman"/>
          <w:sz w:val="26"/>
          <w:szCs w:val="26"/>
        </w:rPr>
        <w:t>si les banques centrales africaines souhaitent centraliser leurs avoirs extérieurs auprès du Trésor français au-delà de ce qui est prévu par les textes</w:t>
      </w:r>
      <w:r w:rsidR="00B70E41" w:rsidRPr="00833484">
        <w:rPr>
          <w:rFonts w:ascii="Times New Roman" w:hAnsi="Times New Roman" w:cs="Times New Roman"/>
          <w:sz w:val="26"/>
          <w:szCs w:val="26"/>
        </w:rPr>
        <w:t xml:space="preserve"> [2]</w:t>
      </w:r>
      <w:r w:rsidR="00C82342" w:rsidRPr="00833484">
        <w:rPr>
          <w:rFonts w:ascii="Times New Roman" w:hAnsi="Times New Roman" w:cs="Times New Roman"/>
          <w:sz w:val="26"/>
          <w:szCs w:val="26"/>
        </w:rPr>
        <w:t>.</w:t>
      </w:r>
    </w:p>
    <w:p w:rsidR="00920B40" w:rsidRPr="00833484" w:rsidRDefault="00F13FD0"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sz w:val="26"/>
          <w:szCs w:val="26"/>
        </w:rPr>
        <w:t xml:space="preserve">Quant à la situation des </w:t>
      </w:r>
      <w:r w:rsidR="00920B40" w:rsidRPr="00833484">
        <w:rPr>
          <w:rFonts w:ascii="Times New Roman" w:hAnsi="Times New Roman" w:cs="Times New Roman"/>
          <w:sz w:val="26"/>
          <w:szCs w:val="26"/>
        </w:rPr>
        <w:t>comptes d’opérations des deux banques centrales (BCEAO, BEAC)</w:t>
      </w:r>
      <w:r w:rsidRPr="00833484">
        <w:rPr>
          <w:rFonts w:ascii="Times New Roman" w:hAnsi="Times New Roman" w:cs="Times New Roman"/>
          <w:sz w:val="26"/>
          <w:szCs w:val="26"/>
        </w:rPr>
        <w:t>, ils</w:t>
      </w:r>
      <w:r w:rsidR="00920B40" w:rsidRPr="00833484">
        <w:rPr>
          <w:rFonts w:ascii="Times New Roman" w:hAnsi="Times New Roman" w:cs="Times New Roman"/>
          <w:sz w:val="26"/>
          <w:szCs w:val="26"/>
        </w:rPr>
        <w:t xml:space="preserve"> sont passés de 9.123 milliards FCFA (14 milliards d’euros) au 31 décembre 2011 à un montant de 9.806 milliards FCFA (15 milliards d’euros) au 31 décembre 2012, pour s’établir, à un montant de 7.705 milliards FCFA (12 milliards d’euros)</w:t>
      </w:r>
      <w:r w:rsidR="00665C47" w:rsidRPr="00833484">
        <w:rPr>
          <w:rFonts w:ascii="Times New Roman" w:hAnsi="Times New Roman" w:cs="Times New Roman"/>
          <w:sz w:val="26"/>
          <w:szCs w:val="26"/>
        </w:rPr>
        <w:t xml:space="preserve"> au 31 décembre 2013</w:t>
      </w:r>
      <w:r w:rsidR="00920B40" w:rsidRPr="00833484">
        <w:rPr>
          <w:rFonts w:ascii="Times New Roman" w:hAnsi="Times New Roman" w:cs="Times New Roman"/>
          <w:sz w:val="26"/>
          <w:szCs w:val="26"/>
        </w:rPr>
        <w:t xml:space="preserve"> </w:t>
      </w:r>
      <w:r w:rsidR="00086E16" w:rsidRPr="00833484">
        <w:rPr>
          <w:rFonts w:ascii="Times New Roman" w:hAnsi="Times New Roman" w:cs="Times New Roman"/>
          <w:sz w:val="26"/>
          <w:szCs w:val="26"/>
        </w:rPr>
        <w:t>contre</w:t>
      </w:r>
      <w:r w:rsidR="00C15D00" w:rsidRPr="00833484">
        <w:rPr>
          <w:rFonts w:ascii="Times New Roman" w:hAnsi="Times New Roman" w:cs="Times New Roman"/>
          <w:sz w:val="26"/>
          <w:szCs w:val="26"/>
        </w:rPr>
        <w:t>, in fine,</w:t>
      </w:r>
      <w:r w:rsidR="00086E16" w:rsidRPr="00833484">
        <w:rPr>
          <w:rFonts w:ascii="Times New Roman" w:hAnsi="Times New Roman" w:cs="Times New Roman"/>
          <w:sz w:val="26"/>
          <w:szCs w:val="26"/>
        </w:rPr>
        <w:t xml:space="preserve"> un montant global de 6.936 milliards FCFA </w:t>
      </w:r>
      <w:r w:rsidR="00C15D00" w:rsidRPr="00833484">
        <w:rPr>
          <w:rFonts w:ascii="Times New Roman" w:hAnsi="Times New Roman" w:cs="Times New Roman"/>
          <w:sz w:val="26"/>
          <w:szCs w:val="26"/>
        </w:rPr>
        <w:t xml:space="preserve">au 31 décembre 2014 </w:t>
      </w:r>
      <w:r w:rsidR="00086E16" w:rsidRPr="00833484">
        <w:rPr>
          <w:rFonts w:ascii="Times New Roman" w:hAnsi="Times New Roman" w:cs="Times New Roman"/>
          <w:sz w:val="26"/>
          <w:szCs w:val="26"/>
        </w:rPr>
        <w:t>(10,5 milliards d’euros</w:t>
      </w:r>
      <w:r w:rsidR="00FC3574" w:rsidRPr="00833484">
        <w:rPr>
          <w:rFonts w:ascii="Times New Roman" w:hAnsi="Times New Roman" w:cs="Times New Roman"/>
          <w:sz w:val="26"/>
          <w:szCs w:val="26"/>
        </w:rPr>
        <w:t xml:space="preserve"> dont la BEAC détient une part de 55%, part qui a considérablement </w:t>
      </w:r>
      <w:r w:rsidR="00FD3A5F" w:rsidRPr="00833484">
        <w:rPr>
          <w:rFonts w:ascii="Times New Roman" w:hAnsi="Times New Roman" w:cs="Times New Roman"/>
          <w:sz w:val="26"/>
          <w:szCs w:val="26"/>
        </w:rPr>
        <w:t xml:space="preserve">baissé </w:t>
      </w:r>
      <w:r w:rsidR="00FC3574" w:rsidRPr="00833484">
        <w:rPr>
          <w:rFonts w:ascii="Times New Roman" w:hAnsi="Times New Roman" w:cs="Times New Roman"/>
          <w:sz w:val="26"/>
          <w:szCs w:val="26"/>
        </w:rPr>
        <w:t>au fil des ans</w:t>
      </w:r>
      <w:r w:rsidR="00086E16" w:rsidRPr="00833484">
        <w:rPr>
          <w:rFonts w:ascii="Times New Roman" w:hAnsi="Times New Roman" w:cs="Times New Roman"/>
          <w:sz w:val="26"/>
          <w:szCs w:val="26"/>
        </w:rPr>
        <w:t>), soit une baisse de 10% entre 2013-2014</w:t>
      </w:r>
      <w:r w:rsidR="00D20782" w:rsidRPr="00833484">
        <w:rPr>
          <w:rFonts w:ascii="Times New Roman" w:hAnsi="Times New Roman" w:cs="Times New Roman"/>
          <w:sz w:val="26"/>
          <w:szCs w:val="26"/>
        </w:rPr>
        <w:t xml:space="preserve"> [3]</w:t>
      </w:r>
      <w:r w:rsidR="008F7A84" w:rsidRPr="00833484">
        <w:rPr>
          <w:rFonts w:ascii="Times New Roman" w:hAnsi="Times New Roman" w:cs="Times New Roman"/>
          <w:sz w:val="26"/>
          <w:szCs w:val="26"/>
        </w:rPr>
        <w:t>.</w:t>
      </w:r>
      <w:r w:rsidR="00920B40" w:rsidRPr="00833484">
        <w:rPr>
          <w:rFonts w:ascii="Times New Roman" w:hAnsi="Times New Roman" w:cs="Times New Roman"/>
          <w:sz w:val="26"/>
          <w:szCs w:val="26"/>
        </w:rPr>
        <w:t xml:space="preserve"> </w:t>
      </w:r>
    </w:p>
    <w:p w:rsidR="007F43FD" w:rsidRDefault="007F43FD"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sz w:val="26"/>
          <w:szCs w:val="26"/>
        </w:rPr>
        <w:t>Selon l’annuaire statistique 2014 de la BCEAO, les comptes d’opérations de la BCEAO auprès du Trésor français présentent sur les 13 dernières années (2002-2014) une valeur</w:t>
      </w:r>
      <w:r w:rsidR="00263F82" w:rsidRPr="00833484">
        <w:rPr>
          <w:rFonts w:ascii="Times New Roman" w:hAnsi="Times New Roman" w:cs="Times New Roman"/>
          <w:sz w:val="26"/>
          <w:szCs w:val="26"/>
        </w:rPr>
        <w:t xml:space="preserve"> moyenne</w:t>
      </w:r>
      <w:r w:rsidRPr="00833484">
        <w:rPr>
          <w:rFonts w:ascii="Times New Roman" w:hAnsi="Times New Roman" w:cs="Times New Roman"/>
          <w:sz w:val="26"/>
          <w:szCs w:val="26"/>
        </w:rPr>
        <w:t xml:space="preserve"> </w:t>
      </w:r>
      <w:r w:rsidR="005F0F61" w:rsidRPr="00833484">
        <w:rPr>
          <w:rFonts w:ascii="Times New Roman" w:hAnsi="Times New Roman" w:cs="Times New Roman"/>
          <w:sz w:val="26"/>
          <w:szCs w:val="26"/>
        </w:rPr>
        <w:t xml:space="preserve">créditrice </w:t>
      </w:r>
      <w:r w:rsidRPr="00833484">
        <w:rPr>
          <w:rFonts w:ascii="Times New Roman" w:hAnsi="Times New Roman" w:cs="Times New Roman"/>
          <w:sz w:val="26"/>
          <w:szCs w:val="26"/>
        </w:rPr>
        <w:t>de 2.818 milliards de franc CFA soit</w:t>
      </w:r>
      <w:r w:rsidR="00263F82" w:rsidRPr="00833484">
        <w:rPr>
          <w:rFonts w:ascii="Times New Roman" w:hAnsi="Times New Roman" w:cs="Times New Roman"/>
          <w:sz w:val="26"/>
          <w:szCs w:val="26"/>
        </w:rPr>
        <w:t xml:space="preserve"> l’équivalent de</w:t>
      </w:r>
      <w:r w:rsidRPr="00833484">
        <w:rPr>
          <w:rFonts w:ascii="Times New Roman" w:hAnsi="Times New Roman" w:cs="Times New Roman"/>
          <w:sz w:val="26"/>
          <w:szCs w:val="26"/>
        </w:rPr>
        <w:t xml:space="preserve"> 4,3 milliards d’</w:t>
      </w:r>
      <w:r w:rsidR="00263F82" w:rsidRPr="00833484">
        <w:rPr>
          <w:rFonts w:ascii="Times New Roman" w:hAnsi="Times New Roman" w:cs="Times New Roman"/>
          <w:sz w:val="26"/>
          <w:szCs w:val="26"/>
        </w:rPr>
        <w:t>euros</w:t>
      </w:r>
      <w:r w:rsidRPr="00833484">
        <w:rPr>
          <w:rFonts w:ascii="Times New Roman" w:hAnsi="Times New Roman" w:cs="Times New Roman"/>
          <w:sz w:val="26"/>
          <w:szCs w:val="26"/>
        </w:rPr>
        <w:t>.</w:t>
      </w:r>
      <w:r w:rsidR="008807D8" w:rsidRPr="00833484">
        <w:rPr>
          <w:rFonts w:ascii="Times New Roman" w:hAnsi="Times New Roman" w:cs="Times New Roman"/>
          <w:sz w:val="26"/>
          <w:szCs w:val="26"/>
        </w:rPr>
        <w:t xml:space="preserve"> </w:t>
      </w:r>
      <w:r w:rsidR="00DB58B3" w:rsidRPr="00833484">
        <w:rPr>
          <w:rFonts w:ascii="Times New Roman" w:hAnsi="Times New Roman" w:cs="Times New Roman"/>
          <w:sz w:val="26"/>
          <w:szCs w:val="26"/>
        </w:rPr>
        <w:t>Parallèlement</w:t>
      </w:r>
      <w:r w:rsidR="009E5212" w:rsidRPr="00833484">
        <w:rPr>
          <w:rFonts w:ascii="Times New Roman" w:hAnsi="Times New Roman" w:cs="Times New Roman"/>
          <w:sz w:val="26"/>
          <w:szCs w:val="26"/>
        </w:rPr>
        <w:t>, l</w:t>
      </w:r>
      <w:r w:rsidR="005141FF" w:rsidRPr="00833484">
        <w:rPr>
          <w:rFonts w:ascii="Times New Roman" w:hAnsi="Times New Roman" w:cs="Times New Roman"/>
          <w:sz w:val="26"/>
          <w:szCs w:val="26"/>
        </w:rPr>
        <w:t xml:space="preserve">es réserves </w:t>
      </w:r>
      <w:r w:rsidR="009E5212" w:rsidRPr="00833484">
        <w:rPr>
          <w:rFonts w:ascii="Times New Roman" w:hAnsi="Times New Roman" w:cs="Times New Roman"/>
          <w:sz w:val="26"/>
          <w:szCs w:val="26"/>
        </w:rPr>
        <w:t xml:space="preserve">de change de la BCEAO </w:t>
      </w:r>
      <w:r w:rsidR="005141FF" w:rsidRPr="00833484">
        <w:rPr>
          <w:rFonts w:ascii="Times New Roman" w:hAnsi="Times New Roman" w:cs="Times New Roman"/>
          <w:sz w:val="26"/>
          <w:szCs w:val="26"/>
        </w:rPr>
        <w:t xml:space="preserve">en nombre de mois d’importations de biens et services est </w:t>
      </w:r>
      <w:r w:rsidR="009E5212" w:rsidRPr="00833484">
        <w:rPr>
          <w:rFonts w:ascii="Times New Roman" w:hAnsi="Times New Roman" w:cs="Times New Roman"/>
          <w:sz w:val="26"/>
          <w:szCs w:val="26"/>
        </w:rPr>
        <w:t xml:space="preserve">seulement de </w:t>
      </w:r>
      <w:r w:rsidR="005141FF" w:rsidRPr="00833484">
        <w:rPr>
          <w:rFonts w:ascii="Times New Roman" w:hAnsi="Times New Roman" w:cs="Times New Roman"/>
          <w:sz w:val="26"/>
          <w:szCs w:val="26"/>
        </w:rPr>
        <w:t>4,9</w:t>
      </w:r>
      <w:r w:rsidR="007247DF" w:rsidRPr="00833484">
        <w:rPr>
          <w:rFonts w:ascii="Times New Roman" w:hAnsi="Times New Roman" w:cs="Times New Roman"/>
          <w:sz w:val="26"/>
          <w:szCs w:val="26"/>
        </w:rPr>
        <w:t xml:space="preserve"> mois</w:t>
      </w:r>
      <w:r w:rsidR="000C104B" w:rsidRPr="00833484">
        <w:rPr>
          <w:rFonts w:ascii="Times New Roman" w:hAnsi="Times New Roman" w:cs="Times New Roman"/>
          <w:sz w:val="26"/>
          <w:szCs w:val="26"/>
        </w:rPr>
        <w:t xml:space="preserve"> [3]</w:t>
      </w:r>
      <w:r w:rsidR="007247DF" w:rsidRPr="00833484">
        <w:rPr>
          <w:rFonts w:ascii="Times New Roman" w:hAnsi="Times New Roman" w:cs="Times New Roman"/>
          <w:sz w:val="26"/>
          <w:szCs w:val="26"/>
        </w:rPr>
        <w:t>. Est-ce</w:t>
      </w:r>
      <w:r w:rsidR="008807D8" w:rsidRPr="00833484">
        <w:rPr>
          <w:rFonts w:ascii="Times New Roman" w:hAnsi="Times New Roman" w:cs="Times New Roman"/>
          <w:sz w:val="26"/>
          <w:szCs w:val="26"/>
        </w:rPr>
        <w:t xml:space="preserve"> </w:t>
      </w:r>
      <w:r w:rsidR="00A775F8" w:rsidRPr="00833484">
        <w:rPr>
          <w:rFonts w:ascii="Times New Roman" w:hAnsi="Times New Roman" w:cs="Times New Roman"/>
          <w:sz w:val="26"/>
          <w:szCs w:val="26"/>
        </w:rPr>
        <w:t>suffisant pour mettre un</w:t>
      </w:r>
      <w:r w:rsidR="008807D8" w:rsidRPr="00833484">
        <w:rPr>
          <w:rFonts w:ascii="Times New Roman" w:hAnsi="Times New Roman" w:cs="Times New Roman"/>
          <w:sz w:val="26"/>
          <w:szCs w:val="26"/>
        </w:rPr>
        <w:t xml:space="preserve"> terme à notre coopération monétaire ?</w:t>
      </w:r>
    </w:p>
    <w:p w:rsidR="00420A1E" w:rsidRDefault="00420A1E" w:rsidP="00420A1E">
      <w:pPr>
        <w:keepNext/>
        <w:keepLines/>
        <w:suppressAutoHyphens/>
        <w:ind w:firstLine="284"/>
        <w:jc w:val="both"/>
        <w:rPr>
          <w:rFonts w:ascii="Times New Roman" w:hAnsi="Times New Roman" w:cs="Times New Roman"/>
          <w:sz w:val="26"/>
          <w:szCs w:val="26"/>
        </w:rPr>
      </w:pPr>
    </w:p>
    <w:p w:rsidR="00420A1E" w:rsidRDefault="00420A1E" w:rsidP="00420A1E">
      <w:pPr>
        <w:keepNext/>
        <w:keepLines/>
        <w:suppressAutoHyphens/>
        <w:ind w:firstLine="284"/>
        <w:jc w:val="both"/>
        <w:rPr>
          <w:rFonts w:ascii="Times New Roman" w:hAnsi="Times New Roman" w:cs="Times New Roman"/>
          <w:sz w:val="26"/>
          <w:szCs w:val="26"/>
        </w:rPr>
      </w:pPr>
    </w:p>
    <w:p w:rsidR="00420A1E" w:rsidRDefault="00420A1E" w:rsidP="00420A1E">
      <w:pPr>
        <w:keepNext/>
        <w:keepLines/>
        <w:suppressAutoHyphens/>
        <w:ind w:firstLine="284"/>
        <w:jc w:val="both"/>
        <w:rPr>
          <w:rFonts w:ascii="Times New Roman" w:hAnsi="Times New Roman" w:cs="Times New Roman"/>
          <w:sz w:val="26"/>
          <w:szCs w:val="26"/>
        </w:rPr>
      </w:pPr>
    </w:p>
    <w:p w:rsidR="00420A1E" w:rsidRDefault="00420A1E" w:rsidP="00420A1E">
      <w:pPr>
        <w:keepNext/>
        <w:keepLines/>
        <w:suppressAutoHyphens/>
        <w:ind w:firstLine="284"/>
        <w:jc w:val="both"/>
        <w:rPr>
          <w:rFonts w:ascii="Times New Roman" w:hAnsi="Times New Roman" w:cs="Times New Roman"/>
          <w:sz w:val="26"/>
          <w:szCs w:val="26"/>
        </w:rPr>
      </w:pPr>
    </w:p>
    <w:p w:rsidR="00420A1E" w:rsidRDefault="00420A1E" w:rsidP="00420A1E">
      <w:pPr>
        <w:keepNext/>
        <w:keepLines/>
        <w:suppressAutoHyphens/>
        <w:ind w:firstLine="284"/>
        <w:jc w:val="both"/>
        <w:rPr>
          <w:rFonts w:ascii="Times New Roman" w:hAnsi="Times New Roman" w:cs="Times New Roman"/>
          <w:sz w:val="26"/>
          <w:szCs w:val="26"/>
        </w:rPr>
      </w:pPr>
    </w:p>
    <w:p w:rsidR="00420A1E" w:rsidRDefault="00420A1E" w:rsidP="00420A1E">
      <w:pPr>
        <w:keepNext/>
        <w:keepLines/>
        <w:suppressAutoHyphens/>
        <w:ind w:firstLine="284"/>
        <w:jc w:val="both"/>
        <w:rPr>
          <w:rFonts w:ascii="Times New Roman" w:hAnsi="Times New Roman" w:cs="Times New Roman"/>
          <w:sz w:val="26"/>
          <w:szCs w:val="26"/>
        </w:rPr>
      </w:pPr>
    </w:p>
    <w:p w:rsidR="00420A1E" w:rsidRDefault="00420A1E" w:rsidP="00420A1E">
      <w:pPr>
        <w:keepNext/>
        <w:keepLines/>
        <w:suppressAutoHyphens/>
        <w:ind w:firstLine="284"/>
        <w:jc w:val="both"/>
        <w:rPr>
          <w:rFonts w:ascii="Times New Roman" w:hAnsi="Times New Roman" w:cs="Times New Roman"/>
          <w:sz w:val="26"/>
          <w:szCs w:val="26"/>
        </w:rPr>
      </w:pPr>
    </w:p>
    <w:p w:rsidR="00420A1E" w:rsidRDefault="00420A1E" w:rsidP="00420A1E">
      <w:pPr>
        <w:keepNext/>
        <w:keepLines/>
        <w:suppressAutoHyphens/>
        <w:ind w:firstLine="284"/>
        <w:jc w:val="both"/>
        <w:rPr>
          <w:rFonts w:ascii="Times New Roman" w:hAnsi="Times New Roman" w:cs="Times New Roman"/>
          <w:sz w:val="26"/>
          <w:szCs w:val="26"/>
        </w:rPr>
      </w:pPr>
    </w:p>
    <w:p w:rsidR="00420A1E" w:rsidRDefault="00420A1E" w:rsidP="00420A1E">
      <w:pPr>
        <w:keepNext/>
        <w:keepLines/>
        <w:suppressAutoHyphens/>
        <w:ind w:firstLine="284"/>
        <w:jc w:val="both"/>
        <w:rPr>
          <w:rFonts w:ascii="Times New Roman" w:hAnsi="Times New Roman" w:cs="Times New Roman"/>
          <w:sz w:val="26"/>
          <w:szCs w:val="26"/>
        </w:rPr>
      </w:pPr>
    </w:p>
    <w:p w:rsidR="00420A1E" w:rsidRDefault="00420A1E" w:rsidP="00420A1E">
      <w:pPr>
        <w:keepNext/>
        <w:keepLines/>
        <w:suppressAutoHyphens/>
        <w:ind w:firstLine="284"/>
        <w:jc w:val="both"/>
        <w:rPr>
          <w:rFonts w:ascii="Times New Roman" w:hAnsi="Times New Roman" w:cs="Times New Roman"/>
          <w:sz w:val="26"/>
          <w:szCs w:val="26"/>
        </w:rPr>
      </w:pPr>
    </w:p>
    <w:p w:rsidR="00420A1E" w:rsidRDefault="00420A1E" w:rsidP="00420A1E">
      <w:pPr>
        <w:keepNext/>
        <w:keepLines/>
        <w:suppressAutoHyphens/>
        <w:ind w:firstLine="284"/>
        <w:jc w:val="both"/>
        <w:rPr>
          <w:rFonts w:ascii="Times New Roman" w:hAnsi="Times New Roman" w:cs="Times New Roman"/>
          <w:sz w:val="26"/>
          <w:szCs w:val="26"/>
        </w:rPr>
      </w:pPr>
    </w:p>
    <w:p w:rsidR="0004043A" w:rsidRDefault="0004043A" w:rsidP="00420A1E">
      <w:pPr>
        <w:pStyle w:val="Paragraphedeliste"/>
        <w:keepNext/>
        <w:keepLines/>
        <w:suppressAutoHyphens/>
        <w:ind w:left="360"/>
        <w:jc w:val="both"/>
        <w:rPr>
          <w:rFonts w:ascii="Times New Roman" w:hAnsi="Times New Roman" w:cs="Times New Roman"/>
          <w:sz w:val="26"/>
          <w:szCs w:val="26"/>
        </w:rPr>
      </w:pPr>
      <w:r w:rsidRPr="001E2C42">
        <w:rPr>
          <w:rFonts w:ascii="Times New Roman" w:hAnsi="Times New Roman" w:cs="Times New Roman"/>
          <w:b/>
          <w:sz w:val="26"/>
          <w:szCs w:val="26"/>
          <w:u w:val="single"/>
        </w:rPr>
        <w:lastRenderedPageBreak/>
        <w:t>Graphique N°</w:t>
      </w:r>
      <w:r>
        <w:rPr>
          <w:rFonts w:ascii="Times New Roman" w:hAnsi="Times New Roman" w:cs="Times New Roman"/>
          <w:b/>
          <w:sz w:val="26"/>
          <w:szCs w:val="26"/>
          <w:u w:val="single"/>
        </w:rPr>
        <w:t>2</w:t>
      </w:r>
      <w:r>
        <w:rPr>
          <w:rFonts w:ascii="Times New Roman" w:hAnsi="Times New Roman" w:cs="Times New Roman"/>
          <w:sz w:val="26"/>
          <w:szCs w:val="26"/>
        </w:rPr>
        <w:t> : Evolution de la situation des comptes d’opérations 2002-2014</w:t>
      </w:r>
    </w:p>
    <w:p w:rsidR="00BB0A60" w:rsidRPr="00BB0A60" w:rsidRDefault="00BB0A60" w:rsidP="00420A1E">
      <w:pPr>
        <w:pStyle w:val="Paragraphedeliste"/>
        <w:keepNext/>
        <w:keepLines/>
        <w:suppressAutoHyphens/>
        <w:ind w:left="360"/>
        <w:jc w:val="both"/>
        <w:rPr>
          <w:rFonts w:ascii="Times New Roman" w:hAnsi="Times New Roman" w:cs="Times New Roman"/>
          <w:sz w:val="26"/>
          <w:szCs w:val="26"/>
        </w:rPr>
      </w:pPr>
      <w:r>
        <w:rPr>
          <w:rFonts w:ascii="Times New Roman" w:hAnsi="Times New Roman" w:cs="Times New Roman"/>
          <w:sz w:val="26"/>
          <w:szCs w:val="26"/>
        </w:rPr>
        <w:t xml:space="preserve">                                           </w:t>
      </w:r>
      <w:r w:rsidRPr="00BB0A60">
        <w:rPr>
          <w:rFonts w:ascii="Times New Roman" w:hAnsi="Times New Roman" w:cs="Times New Roman"/>
          <w:sz w:val="26"/>
          <w:szCs w:val="26"/>
        </w:rPr>
        <w:t>(En milliards de FCFA)</w:t>
      </w:r>
    </w:p>
    <w:p w:rsidR="0004043A" w:rsidRPr="00833484" w:rsidRDefault="0004043A" w:rsidP="00420A1E">
      <w:pPr>
        <w:keepNext/>
        <w:keepLines/>
        <w:suppressAutoHyphens/>
        <w:ind w:firstLine="284"/>
        <w:jc w:val="both"/>
        <w:rPr>
          <w:rFonts w:ascii="Times New Roman" w:hAnsi="Times New Roman" w:cs="Times New Roman"/>
          <w:sz w:val="26"/>
          <w:szCs w:val="26"/>
        </w:rPr>
      </w:pPr>
      <w:r>
        <w:rPr>
          <w:rFonts w:ascii="Times New Roman" w:hAnsi="Times New Roman" w:cs="Times New Roman"/>
          <w:sz w:val="26"/>
          <w:szCs w:val="26"/>
        </w:rPr>
        <w:object w:dxaOrig="12031" w:dyaOrig="5686">
          <v:shape id="_x0000_i1026" type="#_x0000_t75" style="width:452.55pt;height:273.95pt" o:ole="">
            <v:imagedata r:id="rId11" o:title=""/>
          </v:shape>
          <o:OLEObject Type="Link" ProgID="Excel.Sheet.12" ShapeID="_x0000_i1026" DrawAspect="Content" r:id="rId12" UpdateMode="Always">
            <o:LinkType>EnhancedMetaFile</o:LinkType>
            <o:LockedField>false</o:LockedField>
            <o:FieldCodes>\* MERGEFORMAT</o:FieldCodes>
          </o:OLEObject>
        </w:object>
      </w:r>
      <w:r>
        <w:rPr>
          <w:rFonts w:ascii="Times New Roman" w:hAnsi="Times New Roman" w:cs="Times New Roman"/>
          <w:sz w:val="26"/>
          <w:szCs w:val="26"/>
        </w:rPr>
        <w:t xml:space="preserve">      </w:t>
      </w:r>
      <w:r w:rsidRPr="0004043A">
        <w:rPr>
          <w:rFonts w:ascii="Times New Roman" w:hAnsi="Times New Roman" w:cs="Times New Roman"/>
          <w:b/>
          <w:sz w:val="26"/>
          <w:szCs w:val="26"/>
        </w:rPr>
        <w:t>Source</w:t>
      </w:r>
      <w:r>
        <w:rPr>
          <w:rFonts w:ascii="Times New Roman" w:hAnsi="Times New Roman" w:cs="Times New Roman"/>
          <w:sz w:val="26"/>
          <w:szCs w:val="26"/>
        </w:rPr>
        <w:t> : BCEAO, BEAC</w:t>
      </w:r>
      <w:r w:rsidR="009454AD">
        <w:rPr>
          <w:rFonts w:ascii="Times New Roman" w:hAnsi="Times New Roman" w:cs="Times New Roman"/>
          <w:sz w:val="26"/>
          <w:szCs w:val="26"/>
        </w:rPr>
        <w:t>.</w:t>
      </w:r>
    </w:p>
    <w:p w:rsidR="00920E89" w:rsidRDefault="00920E89" w:rsidP="00420A1E">
      <w:pPr>
        <w:keepNext/>
        <w:keepLines/>
        <w:suppressAutoHyphens/>
        <w:ind w:firstLine="284"/>
        <w:jc w:val="both"/>
        <w:rPr>
          <w:rFonts w:ascii="Times New Roman" w:hAnsi="Times New Roman" w:cs="Times New Roman"/>
          <w:sz w:val="26"/>
          <w:szCs w:val="26"/>
        </w:rPr>
      </w:pPr>
      <w:r>
        <w:rPr>
          <w:rFonts w:ascii="Times New Roman" w:hAnsi="Times New Roman" w:cs="Times New Roman"/>
          <w:sz w:val="26"/>
          <w:szCs w:val="26"/>
        </w:rPr>
        <w:t xml:space="preserve">Ce graphique illustre la suprématie de la Zone CEMAC (BEAC) </w:t>
      </w:r>
      <w:r w:rsidR="002F0AE4">
        <w:rPr>
          <w:rFonts w:ascii="Times New Roman" w:hAnsi="Times New Roman" w:cs="Times New Roman"/>
          <w:sz w:val="26"/>
          <w:szCs w:val="26"/>
        </w:rPr>
        <w:t>relative</w:t>
      </w:r>
      <w:r>
        <w:rPr>
          <w:rFonts w:ascii="Times New Roman" w:hAnsi="Times New Roman" w:cs="Times New Roman"/>
          <w:sz w:val="26"/>
          <w:szCs w:val="26"/>
        </w:rPr>
        <w:t xml:space="preserve"> aux montants déposés dans les comptes d’opérations auprès du Trésor français. En moyenne sur la période de référence, la BEAC représentait 55% des fonds bloqués. En 2008, elle avoisinait à elle seule les 75% du montant.</w:t>
      </w:r>
      <w:r w:rsidR="004376AD">
        <w:rPr>
          <w:rFonts w:ascii="Times New Roman" w:hAnsi="Times New Roman" w:cs="Times New Roman"/>
          <w:sz w:val="26"/>
          <w:szCs w:val="26"/>
        </w:rPr>
        <w:t xml:space="preserve"> La baisse tendancielle s’explique principalement par la régression progressive des fonds de la BEAC et l’effet mécanique résultant de la remise à 50% du mécanisme de blocage systématique qui accompagne le dispositif des comptes d’opérations.</w:t>
      </w:r>
    </w:p>
    <w:p w:rsidR="00344110" w:rsidRDefault="006B4001"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sz w:val="26"/>
          <w:szCs w:val="26"/>
        </w:rPr>
        <w:lastRenderedPageBreak/>
        <w:t>En remontant</w:t>
      </w:r>
      <w:r w:rsidR="002E188F" w:rsidRPr="00833484">
        <w:rPr>
          <w:rFonts w:ascii="Times New Roman" w:hAnsi="Times New Roman" w:cs="Times New Roman"/>
          <w:sz w:val="26"/>
          <w:szCs w:val="26"/>
        </w:rPr>
        <w:t>,</w:t>
      </w:r>
      <w:r w:rsidRPr="00833484">
        <w:rPr>
          <w:rFonts w:ascii="Times New Roman" w:hAnsi="Times New Roman" w:cs="Times New Roman"/>
          <w:sz w:val="26"/>
          <w:szCs w:val="26"/>
        </w:rPr>
        <w:t xml:space="preserve"> légèrement</w:t>
      </w:r>
      <w:r w:rsidR="002E188F" w:rsidRPr="00833484">
        <w:rPr>
          <w:rFonts w:ascii="Times New Roman" w:hAnsi="Times New Roman" w:cs="Times New Roman"/>
          <w:sz w:val="26"/>
          <w:szCs w:val="26"/>
        </w:rPr>
        <w:t>,</w:t>
      </w:r>
      <w:r w:rsidR="00344110" w:rsidRPr="00833484">
        <w:rPr>
          <w:rFonts w:ascii="Times New Roman" w:hAnsi="Times New Roman" w:cs="Times New Roman"/>
          <w:sz w:val="26"/>
          <w:szCs w:val="26"/>
        </w:rPr>
        <w:t xml:space="preserve"> notre passé monétaire commun</w:t>
      </w:r>
      <w:r w:rsidRPr="00833484">
        <w:rPr>
          <w:rFonts w:ascii="Times New Roman" w:hAnsi="Times New Roman" w:cs="Times New Roman"/>
          <w:sz w:val="26"/>
          <w:szCs w:val="26"/>
        </w:rPr>
        <w:t xml:space="preserve"> juste </w:t>
      </w:r>
      <w:r w:rsidR="00344110" w:rsidRPr="00833484">
        <w:rPr>
          <w:rFonts w:ascii="Times New Roman" w:hAnsi="Times New Roman" w:cs="Times New Roman"/>
          <w:sz w:val="26"/>
          <w:szCs w:val="26"/>
        </w:rPr>
        <w:t>avant la dévaluation (11 janvier 1994),</w:t>
      </w:r>
      <w:r w:rsidR="00465D57" w:rsidRPr="00833484">
        <w:rPr>
          <w:rFonts w:ascii="Times New Roman" w:hAnsi="Times New Roman" w:cs="Times New Roman"/>
          <w:sz w:val="26"/>
          <w:szCs w:val="26"/>
        </w:rPr>
        <w:t xml:space="preserve"> on constate que</w:t>
      </w:r>
      <w:r w:rsidR="00344110" w:rsidRPr="00833484">
        <w:rPr>
          <w:rFonts w:ascii="Times New Roman" w:hAnsi="Times New Roman" w:cs="Times New Roman"/>
          <w:sz w:val="26"/>
          <w:szCs w:val="26"/>
        </w:rPr>
        <w:t xml:space="preserve"> nos déficits étaient pris en charge par la France car on avait un recours accru aux comptes d’opérations en vertu de la garantie de convertibilité illimitée</w:t>
      </w:r>
      <w:r w:rsidR="003E3600" w:rsidRPr="00833484">
        <w:rPr>
          <w:rFonts w:ascii="Times New Roman" w:hAnsi="Times New Roman" w:cs="Times New Roman"/>
          <w:sz w:val="26"/>
          <w:szCs w:val="26"/>
        </w:rPr>
        <w:t xml:space="preserve"> (91-9</w:t>
      </w:r>
      <w:r w:rsidR="00D20782" w:rsidRPr="00833484">
        <w:rPr>
          <w:rFonts w:ascii="Times New Roman" w:hAnsi="Times New Roman" w:cs="Times New Roman"/>
          <w:sz w:val="26"/>
          <w:szCs w:val="26"/>
        </w:rPr>
        <w:t>4</w:t>
      </w:r>
      <w:r w:rsidR="003E3600" w:rsidRPr="00833484">
        <w:rPr>
          <w:rFonts w:ascii="Times New Roman" w:hAnsi="Times New Roman" w:cs="Times New Roman"/>
          <w:sz w:val="26"/>
          <w:szCs w:val="26"/>
        </w:rPr>
        <w:t>)</w:t>
      </w:r>
      <w:r w:rsidR="00D20782" w:rsidRPr="00833484">
        <w:rPr>
          <w:rFonts w:ascii="Times New Roman" w:hAnsi="Times New Roman" w:cs="Times New Roman"/>
          <w:sz w:val="26"/>
          <w:szCs w:val="26"/>
        </w:rPr>
        <w:t xml:space="preserve"> [4]</w:t>
      </w:r>
      <w:r w:rsidR="00344110" w:rsidRPr="00833484">
        <w:rPr>
          <w:rFonts w:ascii="Times New Roman" w:hAnsi="Times New Roman" w:cs="Times New Roman"/>
          <w:sz w:val="26"/>
          <w:szCs w:val="26"/>
        </w:rPr>
        <w:t xml:space="preserve">. Ce qui posait un problème </w:t>
      </w:r>
      <w:r w:rsidRPr="00833484">
        <w:rPr>
          <w:rFonts w:ascii="Times New Roman" w:hAnsi="Times New Roman" w:cs="Times New Roman"/>
          <w:sz w:val="26"/>
          <w:szCs w:val="26"/>
        </w:rPr>
        <w:t>d’ordre structurel</w:t>
      </w:r>
      <w:r w:rsidR="00344110" w:rsidRPr="00833484">
        <w:rPr>
          <w:rFonts w:ascii="Times New Roman" w:hAnsi="Times New Roman" w:cs="Times New Roman"/>
          <w:sz w:val="26"/>
          <w:szCs w:val="26"/>
        </w:rPr>
        <w:t xml:space="preserve">. Cette dévaluation fait suite aux pressions des institutions de Bretton Woods (FMI, Banque Mondiale) sur la France et indirectement sur la Zone franc de conditionner leurs aides dorénavant à la conclusion d’accords avec le FMI (voir la doctrine Balladur ou doctrine d’Abidjan). Cette décision avait pour but d’instaurer des règles de bonnes gouvernances en matière de finances publiques. Nos Etats étaient lourdement endettés à l’époque, conséquence des années de mauvaises années de gestion (décennies fin 80 et début 90). Cette dévaluation se justifiait plutôt sur le côté politique et financier (signature accord du FMI et limitation de l’aide financière de la France). Le côté monétaire ne tenait pas car le franc CFA n’était pas surévalué, notait l’économiste français Philippe HUGON, spécialiste de la Zone franc dans son livre intitulé : </w:t>
      </w:r>
      <w:r w:rsidR="00344110" w:rsidRPr="00833484">
        <w:rPr>
          <w:rFonts w:ascii="Times New Roman" w:hAnsi="Times New Roman" w:cs="Times New Roman"/>
          <w:i/>
          <w:sz w:val="26"/>
          <w:szCs w:val="26"/>
        </w:rPr>
        <w:t>la Zone franc à l’heure de l’euro, Karthala, Paris, 1999</w:t>
      </w:r>
      <w:r w:rsidR="00344110" w:rsidRPr="00833484">
        <w:rPr>
          <w:rFonts w:ascii="Times New Roman" w:hAnsi="Times New Roman" w:cs="Times New Roman"/>
          <w:sz w:val="26"/>
          <w:szCs w:val="26"/>
        </w:rPr>
        <w:t>. La dévaluation entrait plutôt dans une logique des programmes d’ajustement structurel (PAS), thérapie de choc du FMI visant à rétablir l’équilibre de la balance des paiements</w:t>
      </w:r>
      <w:r w:rsidR="00045E07" w:rsidRPr="00833484">
        <w:rPr>
          <w:rFonts w:ascii="Times New Roman" w:hAnsi="Times New Roman" w:cs="Times New Roman"/>
          <w:sz w:val="26"/>
          <w:szCs w:val="26"/>
        </w:rPr>
        <w:t xml:space="preserve"> </w:t>
      </w:r>
      <w:r w:rsidR="00344110" w:rsidRPr="00833484">
        <w:rPr>
          <w:rFonts w:ascii="Times New Roman" w:hAnsi="Times New Roman" w:cs="Times New Roman"/>
          <w:sz w:val="26"/>
          <w:szCs w:val="26"/>
        </w:rPr>
        <w:t>(voir les statuts du FMI en la matière).</w:t>
      </w:r>
    </w:p>
    <w:p w:rsidR="00420A1E" w:rsidRDefault="00420A1E" w:rsidP="00420A1E">
      <w:pPr>
        <w:pStyle w:val="Paragraphedeliste"/>
        <w:keepNext/>
        <w:keepLines/>
        <w:suppressAutoHyphens/>
        <w:ind w:left="360"/>
        <w:jc w:val="both"/>
        <w:rPr>
          <w:rFonts w:ascii="Times New Roman" w:hAnsi="Times New Roman" w:cs="Times New Roman"/>
          <w:b/>
          <w:sz w:val="26"/>
          <w:szCs w:val="26"/>
          <w:u w:val="single"/>
        </w:rPr>
      </w:pPr>
    </w:p>
    <w:p w:rsidR="00420A1E" w:rsidRDefault="00420A1E" w:rsidP="00420A1E">
      <w:pPr>
        <w:pStyle w:val="Paragraphedeliste"/>
        <w:keepNext/>
        <w:keepLines/>
        <w:suppressAutoHyphens/>
        <w:ind w:left="360"/>
        <w:jc w:val="both"/>
        <w:rPr>
          <w:rFonts w:ascii="Times New Roman" w:hAnsi="Times New Roman" w:cs="Times New Roman"/>
          <w:b/>
          <w:sz w:val="26"/>
          <w:szCs w:val="26"/>
          <w:u w:val="single"/>
        </w:rPr>
      </w:pPr>
    </w:p>
    <w:p w:rsidR="00420A1E" w:rsidRDefault="00420A1E" w:rsidP="00420A1E">
      <w:pPr>
        <w:pStyle w:val="Paragraphedeliste"/>
        <w:keepNext/>
        <w:keepLines/>
        <w:suppressAutoHyphens/>
        <w:ind w:left="360"/>
        <w:jc w:val="both"/>
        <w:rPr>
          <w:rFonts w:ascii="Times New Roman" w:hAnsi="Times New Roman" w:cs="Times New Roman"/>
          <w:b/>
          <w:sz w:val="26"/>
          <w:szCs w:val="26"/>
          <w:u w:val="single"/>
        </w:rPr>
      </w:pPr>
    </w:p>
    <w:p w:rsidR="00420A1E" w:rsidRDefault="00420A1E" w:rsidP="00420A1E">
      <w:pPr>
        <w:pStyle w:val="Paragraphedeliste"/>
        <w:keepNext/>
        <w:keepLines/>
        <w:suppressAutoHyphens/>
        <w:ind w:left="360"/>
        <w:jc w:val="both"/>
        <w:rPr>
          <w:rFonts w:ascii="Times New Roman" w:hAnsi="Times New Roman" w:cs="Times New Roman"/>
          <w:b/>
          <w:sz w:val="26"/>
          <w:szCs w:val="26"/>
          <w:u w:val="single"/>
        </w:rPr>
      </w:pPr>
    </w:p>
    <w:p w:rsidR="00420A1E" w:rsidRDefault="00420A1E" w:rsidP="00420A1E">
      <w:pPr>
        <w:pStyle w:val="Paragraphedeliste"/>
        <w:keepNext/>
        <w:keepLines/>
        <w:suppressAutoHyphens/>
        <w:ind w:left="360"/>
        <w:jc w:val="both"/>
        <w:rPr>
          <w:rFonts w:ascii="Times New Roman" w:hAnsi="Times New Roman" w:cs="Times New Roman"/>
          <w:b/>
          <w:sz w:val="26"/>
          <w:szCs w:val="26"/>
          <w:u w:val="single"/>
        </w:rPr>
      </w:pPr>
    </w:p>
    <w:p w:rsidR="00420A1E" w:rsidRDefault="00420A1E" w:rsidP="00420A1E">
      <w:pPr>
        <w:pStyle w:val="Paragraphedeliste"/>
        <w:keepNext/>
        <w:keepLines/>
        <w:suppressAutoHyphens/>
        <w:ind w:left="360"/>
        <w:jc w:val="both"/>
        <w:rPr>
          <w:rFonts w:ascii="Times New Roman" w:hAnsi="Times New Roman" w:cs="Times New Roman"/>
          <w:b/>
          <w:sz w:val="26"/>
          <w:szCs w:val="26"/>
          <w:u w:val="single"/>
        </w:rPr>
      </w:pPr>
    </w:p>
    <w:p w:rsidR="00420A1E" w:rsidRDefault="00420A1E" w:rsidP="00420A1E">
      <w:pPr>
        <w:pStyle w:val="Paragraphedeliste"/>
        <w:keepNext/>
        <w:keepLines/>
        <w:suppressAutoHyphens/>
        <w:ind w:left="360"/>
        <w:jc w:val="both"/>
        <w:rPr>
          <w:rFonts w:ascii="Times New Roman" w:hAnsi="Times New Roman" w:cs="Times New Roman"/>
          <w:b/>
          <w:sz w:val="26"/>
          <w:szCs w:val="26"/>
          <w:u w:val="single"/>
        </w:rPr>
      </w:pPr>
    </w:p>
    <w:p w:rsidR="00420A1E" w:rsidRDefault="00420A1E" w:rsidP="00420A1E">
      <w:pPr>
        <w:pStyle w:val="Paragraphedeliste"/>
        <w:keepNext/>
        <w:keepLines/>
        <w:suppressAutoHyphens/>
        <w:ind w:left="360"/>
        <w:jc w:val="both"/>
        <w:rPr>
          <w:rFonts w:ascii="Times New Roman" w:hAnsi="Times New Roman" w:cs="Times New Roman"/>
          <w:b/>
          <w:sz w:val="26"/>
          <w:szCs w:val="26"/>
          <w:u w:val="single"/>
        </w:rPr>
      </w:pPr>
    </w:p>
    <w:p w:rsidR="00420A1E" w:rsidRDefault="00420A1E" w:rsidP="00420A1E">
      <w:pPr>
        <w:pStyle w:val="Paragraphedeliste"/>
        <w:keepNext/>
        <w:keepLines/>
        <w:suppressAutoHyphens/>
        <w:ind w:left="360"/>
        <w:jc w:val="both"/>
        <w:rPr>
          <w:rFonts w:ascii="Times New Roman" w:hAnsi="Times New Roman" w:cs="Times New Roman"/>
          <w:b/>
          <w:sz w:val="26"/>
          <w:szCs w:val="26"/>
          <w:u w:val="single"/>
        </w:rPr>
      </w:pPr>
    </w:p>
    <w:p w:rsidR="00420A1E" w:rsidRDefault="00420A1E" w:rsidP="00420A1E">
      <w:pPr>
        <w:pStyle w:val="Paragraphedeliste"/>
        <w:keepNext/>
        <w:keepLines/>
        <w:suppressAutoHyphens/>
        <w:ind w:left="360"/>
        <w:jc w:val="both"/>
        <w:rPr>
          <w:rFonts w:ascii="Times New Roman" w:hAnsi="Times New Roman" w:cs="Times New Roman"/>
          <w:b/>
          <w:sz w:val="26"/>
          <w:szCs w:val="26"/>
          <w:u w:val="single"/>
        </w:rPr>
      </w:pPr>
    </w:p>
    <w:p w:rsidR="00420A1E" w:rsidRDefault="00420A1E" w:rsidP="00420A1E">
      <w:pPr>
        <w:pStyle w:val="Paragraphedeliste"/>
        <w:keepNext/>
        <w:keepLines/>
        <w:suppressAutoHyphens/>
        <w:ind w:left="360"/>
        <w:jc w:val="both"/>
        <w:rPr>
          <w:rFonts w:ascii="Times New Roman" w:hAnsi="Times New Roman" w:cs="Times New Roman"/>
          <w:b/>
          <w:sz w:val="26"/>
          <w:szCs w:val="26"/>
          <w:u w:val="single"/>
        </w:rPr>
      </w:pPr>
    </w:p>
    <w:p w:rsidR="00420A1E" w:rsidRDefault="00420A1E" w:rsidP="00420A1E">
      <w:pPr>
        <w:pStyle w:val="Paragraphedeliste"/>
        <w:keepNext/>
        <w:keepLines/>
        <w:suppressAutoHyphens/>
        <w:ind w:left="360"/>
        <w:jc w:val="both"/>
        <w:rPr>
          <w:rFonts w:ascii="Times New Roman" w:hAnsi="Times New Roman" w:cs="Times New Roman"/>
          <w:b/>
          <w:sz w:val="26"/>
          <w:szCs w:val="26"/>
          <w:u w:val="single"/>
        </w:rPr>
      </w:pPr>
    </w:p>
    <w:p w:rsidR="00420A1E" w:rsidRDefault="00420A1E" w:rsidP="00420A1E">
      <w:pPr>
        <w:pStyle w:val="Paragraphedeliste"/>
        <w:keepNext/>
        <w:keepLines/>
        <w:suppressAutoHyphens/>
        <w:ind w:left="360"/>
        <w:jc w:val="both"/>
        <w:rPr>
          <w:rFonts w:ascii="Times New Roman" w:hAnsi="Times New Roman" w:cs="Times New Roman"/>
          <w:b/>
          <w:sz w:val="26"/>
          <w:szCs w:val="26"/>
          <w:u w:val="single"/>
        </w:rPr>
      </w:pPr>
    </w:p>
    <w:p w:rsidR="00420A1E" w:rsidRDefault="00420A1E" w:rsidP="00420A1E">
      <w:pPr>
        <w:pStyle w:val="Paragraphedeliste"/>
        <w:keepNext/>
        <w:keepLines/>
        <w:suppressAutoHyphens/>
        <w:ind w:left="360"/>
        <w:jc w:val="both"/>
        <w:rPr>
          <w:rFonts w:ascii="Times New Roman" w:hAnsi="Times New Roman" w:cs="Times New Roman"/>
          <w:b/>
          <w:sz w:val="26"/>
          <w:szCs w:val="26"/>
          <w:u w:val="single"/>
        </w:rPr>
      </w:pPr>
    </w:p>
    <w:p w:rsidR="00420A1E" w:rsidRDefault="00420A1E" w:rsidP="00420A1E">
      <w:pPr>
        <w:pStyle w:val="Paragraphedeliste"/>
        <w:keepNext/>
        <w:keepLines/>
        <w:suppressAutoHyphens/>
        <w:ind w:left="360"/>
        <w:jc w:val="both"/>
        <w:rPr>
          <w:rFonts w:ascii="Times New Roman" w:hAnsi="Times New Roman" w:cs="Times New Roman"/>
          <w:b/>
          <w:sz w:val="26"/>
          <w:szCs w:val="26"/>
          <w:u w:val="single"/>
        </w:rPr>
      </w:pPr>
    </w:p>
    <w:p w:rsidR="00420A1E" w:rsidRDefault="00420A1E" w:rsidP="00420A1E">
      <w:pPr>
        <w:pStyle w:val="Paragraphedeliste"/>
        <w:keepNext/>
        <w:keepLines/>
        <w:suppressAutoHyphens/>
        <w:ind w:left="360"/>
        <w:jc w:val="both"/>
        <w:rPr>
          <w:rFonts w:ascii="Times New Roman" w:hAnsi="Times New Roman" w:cs="Times New Roman"/>
          <w:b/>
          <w:sz w:val="26"/>
          <w:szCs w:val="26"/>
          <w:u w:val="single"/>
        </w:rPr>
      </w:pPr>
    </w:p>
    <w:p w:rsidR="00420A1E" w:rsidRDefault="00420A1E" w:rsidP="00420A1E">
      <w:pPr>
        <w:pStyle w:val="Paragraphedeliste"/>
        <w:keepNext/>
        <w:keepLines/>
        <w:suppressAutoHyphens/>
        <w:ind w:left="360"/>
        <w:jc w:val="both"/>
        <w:rPr>
          <w:rFonts w:ascii="Times New Roman" w:hAnsi="Times New Roman" w:cs="Times New Roman"/>
          <w:b/>
          <w:sz w:val="26"/>
          <w:szCs w:val="26"/>
          <w:u w:val="single"/>
        </w:rPr>
      </w:pPr>
    </w:p>
    <w:p w:rsidR="00420A1E" w:rsidRDefault="00420A1E" w:rsidP="00420A1E">
      <w:pPr>
        <w:pStyle w:val="Paragraphedeliste"/>
        <w:keepNext/>
        <w:keepLines/>
        <w:suppressAutoHyphens/>
        <w:ind w:left="360"/>
        <w:jc w:val="both"/>
        <w:rPr>
          <w:rFonts w:ascii="Times New Roman" w:hAnsi="Times New Roman" w:cs="Times New Roman"/>
          <w:b/>
          <w:sz w:val="26"/>
          <w:szCs w:val="26"/>
          <w:u w:val="single"/>
        </w:rPr>
      </w:pPr>
    </w:p>
    <w:p w:rsidR="00420A1E" w:rsidRDefault="00420A1E" w:rsidP="00420A1E">
      <w:pPr>
        <w:pStyle w:val="Paragraphedeliste"/>
        <w:keepNext/>
        <w:keepLines/>
        <w:suppressAutoHyphens/>
        <w:ind w:left="360"/>
        <w:jc w:val="both"/>
        <w:rPr>
          <w:rFonts w:ascii="Times New Roman" w:hAnsi="Times New Roman" w:cs="Times New Roman"/>
          <w:b/>
          <w:sz w:val="26"/>
          <w:szCs w:val="26"/>
          <w:u w:val="single"/>
        </w:rPr>
      </w:pPr>
    </w:p>
    <w:p w:rsidR="00420A1E" w:rsidRDefault="00420A1E" w:rsidP="00420A1E">
      <w:pPr>
        <w:pStyle w:val="Paragraphedeliste"/>
        <w:keepNext/>
        <w:keepLines/>
        <w:suppressAutoHyphens/>
        <w:ind w:left="360"/>
        <w:jc w:val="both"/>
        <w:rPr>
          <w:rFonts w:ascii="Times New Roman" w:hAnsi="Times New Roman" w:cs="Times New Roman"/>
          <w:b/>
          <w:sz w:val="26"/>
          <w:szCs w:val="26"/>
          <w:u w:val="single"/>
        </w:rPr>
      </w:pPr>
    </w:p>
    <w:p w:rsidR="00420A1E" w:rsidRDefault="00420A1E" w:rsidP="00420A1E">
      <w:pPr>
        <w:pStyle w:val="Paragraphedeliste"/>
        <w:keepNext/>
        <w:keepLines/>
        <w:suppressAutoHyphens/>
        <w:ind w:left="360"/>
        <w:jc w:val="both"/>
        <w:rPr>
          <w:rFonts w:ascii="Times New Roman" w:hAnsi="Times New Roman" w:cs="Times New Roman"/>
          <w:b/>
          <w:sz w:val="26"/>
          <w:szCs w:val="26"/>
          <w:u w:val="single"/>
        </w:rPr>
      </w:pPr>
    </w:p>
    <w:p w:rsidR="00420A1E" w:rsidRDefault="00420A1E" w:rsidP="00420A1E">
      <w:pPr>
        <w:pStyle w:val="Paragraphedeliste"/>
        <w:keepNext/>
        <w:keepLines/>
        <w:suppressAutoHyphens/>
        <w:ind w:left="360"/>
        <w:jc w:val="both"/>
        <w:rPr>
          <w:rFonts w:ascii="Times New Roman" w:hAnsi="Times New Roman" w:cs="Times New Roman"/>
          <w:b/>
          <w:sz w:val="26"/>
          <w:szCs w:val="26"/>
          <w:u w:val="single"/>
        </w:rPr>
      </w:pPr>
    </w:p>
    <w:p w:rsidR="009454AD" w:rsidRDefault="009454AD" w:rsidP="00420A1E">
      <w:pPr>
        <w:pStyle w:val="Paragraphedeliste"/>
        <w:keepNext/>
        <w:keepLines/>
        <w:suppressAutoHyphens/>
        <w:ind w:left="360"/>
        <w:jc w:val="both"/>
        <w:rPr>
          <w:rFonts w:ascii="Times New Roman" w:hAnsi="Times New Roman" w:cs="Times New Roman"/>
          <w:sz w:val="26"/>
          <w:szCs w:val="26"/>
        </w:rPr>
      </w:pPr>
      <w:r w:rsidRPr="001E2C42">
        <w:rPr>
          <w:rFonts w:ascii="Times New Roman" w:hAnsi="Times New Roman" w:cs="Times New Roman"/>
          <w:b/>
          <w:sz w:val="26"/>
          <w:szCs w:val="26"/>
          <w:u w:val="single"/>
        </w:rPr>
        <w:lastRenderedPageBreak/>
        <w:t>Graphique N°</w:t>
      </w:r>
      <w:r>
        <w:rPr>
          <w:rFonts w:ascii="Times New Roman" w:hAnsi="Times New Roman" w:cs="Times New Roman"/>
          <w:b/>
          <w:sz w:val="26"/>
          <w:szCs w:val="26"/>
          <w:u w:val="single"/>
        </w:rPr>
        <w:t>3</w:t>
      </w:r>
      <w:r>
        <w:rPr>
          <w:rFonts w:ascii="Times New Roman" w:hAnsi="Times New Roman" w:cs="Times New Roman"/>
          <w:sz w:val="26"/>
          <w:szCs w:val="26"/>
        </w:rPr>
        <w:t xml:space="preserve"> : Evolution de la situation des Avoirs Extérieurs </w:t>
      </w:r>
      <w:r w:rsidR="00BB0A60">
        <w:rPr>
          <w:rFonts w:ascii="Times New Roman" w:hAnsi="Times New Roman" w:cs="Times New Roman"/>
          <w:sz w:val="26"/>
          <w:szCs w:val="26"/>
        </w:rPr>
        <w:t>Nets (AEN)</w:t>
      </w:r>
    </w:p>
    <w:p w:rsidR="00BB0A60" w:rsidRPr="00BB0A60" w:rsidRDefault="00BB0A60" w:rsidP="00420A1E">
      <w:pPr>
        <w:pStyle w:val="Paragraphedeliste"/>
        <w:keepNext/>
        <w:keepLines/>
        <w:suppressAutoHyphens/>
        <w:ind w:left="360"/>
        <w:jc w:val="both"/>
        <w:rPr>
          <w:rFonts w:ascii="Times New Roman" w:hAnsi="Times New Roman" w:cs="Times New Roman"/>
          <w:sz w:val="26"/>
          <w:szCs w:val="26"/>
        </w:rPr>
      </w:pPr>
      <w:r>
        <w:rPr>
          <w:rFonts w:ascii="Times New Roman" w:hAnsi="Times New Roman" w:cs="Times New Roman"/>
          <w:sz w:val="26"/>
          <w:szCs w:val="26"/>
        </w:rPr>
        <w:t xml:space="preserve">                                           </w:t>
      </w:r>
      <w:r w:rsidRPr="00BB0A60">
        <w:rPr>
          <w:rFonts w:ascii="Times New Roman" w:hAnsi="Times New Roman" w:cs="Times New Roman"/>
          <w:sz w:val="26"/>
          <w:szCs w:val="26"/>
        </w:rPr>
        <w:t>(En milliards de FCFA)</w:t>
      </w:r>
    </w:p>
    <w:p w:rsidR="0056059B" w:rsidRDefault="0056059B" w:rsidP="00420A1E">
      <w:pPr>
        <w:keepNext/>
        <w:keepLines/>
        <w:suppressAutoHyphens/>
        <w:ind w:firstLine="284"/>
        <w:jc w:val="both"/>
        <w:rPr>
          <w:rFonts w:ascii="Times New Roman" w:hAnsi="Times New Roman" w:cs="Times New Roman"/>
          <w:sz w:val="26"/>
          <w:szCs w:val="26"/>
        </w:rPr>
      </w:pPr>
      <w:r>
        <w:rPr>
          <w:rFonts w:ascii="Times New Roman" w:hAnsi="Times New Roman" w:cs="Times New Roman"/>
          <w:sz w:val="26"/>
          <w:szCs w:val="26"/>
        </w:rPr>
        <w:object w:dxaOrig="11985" w:dyaOrig="6406">
          <v:shape id="_x0000_i1027" type="#_x0000_t75" style="width:438.55pt;height:320.75pt" o:ole="">
            <v:imagedata r:id="rId13" o:title=""/>
          </v:shape>
          <o:OLEObject Type="Link" ProgID="Excel.Sheet.12" ShapeID="_x0000_i1027" DrawAspect="Content" r:id="rId14" UpdateMode="Always">
            <o:LinkType>EnhancedMetaFile</o:LinkType>
            <o:LockedField>false</o:LockedField>
          </o:OLEObject>
        </w:object>
      </w:r>
      <w:r w:rsidR="00BB0A60">
        <w:rPr>
          <w:rFonts w:ascii="Times New Roman" w:hAnsi="Times New Roman" w:cs="Times New Roman"/>
          <w:sz w:val="26"/>
          <w:szCs w:val="26"/>
        </w:rPr>
        <w:t xml:space="preserve"> </w:t>
      </w:r>
    </w:p>
    <w:p w:rsidR="0056059B" w:rsidRPr="00833484" w:rsidRDefault="0056059B" w:rsidP="00420A1E">
      <w:pPr>
        <w:keepNext/>
        <w:keepLines/>
        <w:suppressAutoHyphens/>
        <w:ind w:firstLine="284"/>
        <w:jc w:val="both"/>
        <w:rPr>
          <w:rFonts w:ascii="Times New Roman" w:hAnsi="Times New Roman" w:cs="Times New Roman"/>
          <w:sz w:val="26"/>
          <w:szCs w:val="26"/>
        </w:rPr>
      </w:pPr>
      <w:r>
        <w:rPr>
          <w:rFonts w:ascii="Times New Roman" w:hAnsi="Times New Roman" w:cs="Times New Roman"/>
          <w:b/>
          <w:sz w:val="26"/>
          <w:szCs w:val="26"/>
        </w:rPr>
        <w:t xml:space="preserve">           </w:t>
      </w:r>
      <w:r w:rsidRPr="0004043A">
        <w:rPr>
          <w:rFonts w:ascii="Times New Roman" w:hAnsi="Times New Roman" w:cs="Times New Roman"/>
          <w:b/>
          <w:sz w:val="26"/>
          <w:szCs w:val="26"/>
        </w:rPr>
        <w:t>Source</w:t>
      </w:r>
      <w:r>
        <w:rPr>
          <w:rFonts w:ascii="Times New Roman" w:hAnsi="Times New Roman" w:cs="Times New Roman"/>
          <w:sz w:val="26"/>
          <w:szCs w:val="26"/>
        </w:rPr>
        <w:t> : BCEAO, BEAC, Banque de France.</w:t>
      </w:r>
    </w:p>
    <w:p w:rsidR="009454AD" w:rsidRPr="00833484" w:rsidRDefault="00BB0A60" w:rsidP="00420A1E">
      <w:pPr>
        <w:keepNext/>
        <w:keepLines/>
        <w:suppressAutoHyphens/>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BB0A60">
        <w:rPr>
          <w:rFonts w:ascii="Times New Roman" w:hAnsi="Times New Roman" w:cs="Times New Roman"/>
          <w:b/>
          <w:sz w:val="26"/>
          <w:szCs w:val="26"/>
        </w:rPr>
        <w:t xml:space="preserve"> </w:t>
      </w:r>
      <w:r w:rsidR="0056059B">
        <w:rPr>
          <w:rFonts w:ascii="Times New Roman" w:hAnsi="Times New Roman" w:cs="Times New Roman"/>
          <w:b/>
          <w:sz w:val="26"/>
          <w:szCs w:val="26"/>
        </w:rPr>
        <w:t xml:space="preserve">           </w:t>
      </w:r>
    </w:p>
    <w:p w:rsidR="000429D4" w:rsidRDefault="00375EE6" w:rsidP="00420A1E">
      <w:pPr>
        <w:keepNext/>
        <w:keepLines/>
        <w:suppressAutoHyphens/>
        <w:ind w:firstLine="284"/>
        <w:jc w:val="both"/>
        <w:rPr>
          <w:rFonts w:ascii="Times New Roman" w:hAnsi="Times New Roman" w:cs="Times New Roman"/>
          <w:sz w:val="26"/>
          <w:szCs w:val="26"/>
        </w:rPr>
      </w:pPr>
      <w:r>
        <w:rPr>
          <w:rFonts w:ascii="Times New Roman" w:hAnsi="Times New Roman" w:cs="Times New Roman"/>
          <w:sz w:val="26"/>
          <w:szCs w:val="26"/>
        </w:rPr>
        <w:t>A l’analyse de ce graphique, on constate qu’a</w:t>
      </w:r>
      <w:r w:rsidR="000429D4">
        <w:rPr>
          <w:rFonts w:ascii="Times New Roman" w:hAnsi="Times New Roman" w:cs="Times New Roman"/>
          <w:sz w:val="26"/>
          <w:szCs w:val="26"/>
        </w:rPr>
        <w:t xml:space="preserve">vant la dévaluation (91-94) les AEN de la Zone franc </w:t>
      </w:r>
      <w:r w:rsidR="007270FB">
        <w:rPr>
          <w:rFonts w:ascii="Times New Roman" w:hAnsi="Times New Roman" w:cs="Times New Roman"/>
          <w:sz w:val="26"/>
          <w:szCs w:val="26"/>
        </w:rPr>
        <w:t>étaient</w:t>
      </w:r>
      <w:r w:rsidR="000429D4">
        <w:rPr>
          <w:rFonts w:ascii="Times New Roman" w:hAnsi="Times New Roman" w:cs="Times New Roman"/>
          <w:sz w:val="26"/>
          <w:szCs w:val="26"/>
        </w:rPr>
        <w:t xml:space="preserve"> négatifs. Cette négativité était essentiellement tirée par les deux pays phares (</w:t>
      </w:r>
      <w:r w:rsidR="007270FB">
        <w:rPr>
          <w:rFonts w:ascii="Times New Roman" w:hAnsi="Times New Roman" w:cs="Times New Roman"/>
          <w:sz w:val="26"/>
          <w:szCs w:val="26"/>
        </w:rPr>
        <w:t xml:space="preserve">la </w:t>
      </w:r>
      <w:r w:rsidR="000429D4">
        <w:rPr>
          <w:rFonts w:ascii="Times New Roman" w:hAnsi="Times New Roman" w:cs="Times New Roman"/>
          <w:sz w:val="26"/>
          <w:szCs w:val="26"/>
        </w:rPr>
        <w:t>Côte d’</w:t>
      </w:r>
      <w:r w:rsidR="007270FB">
        <w:rPr>
          <w:rFonts w:ascii="Times New Roman" w:hAnsi="Times New Roman" w:cs="Times New Roman"/>
          <w:sz w:val="26"/>
          <w:szCs w:val="26"/>
        </w:rPr>
        <w:t>Ivoire en zone UMOA et le C</w:t>
      </w:r>
      <w:r w:rsidR="000429D4">
        <w:rPr>
          <w:rFonts w:ascii="Times New Roman" w:hAnsi="Times New Roman" w:cs="Times New Roman"/>
          <w:sz w:val="26"/>
          <w:szCs w:val="26"/>
        </w:rPr>
        <w:t>ameroun</w:t>
      </w:r>
      <w:r w:rsidR="007270FB">
        <w:rPr>
          <w:rFonts w:ascii="Times New Roman" w:hAnsi="Times New Roman" w:cs="Times New Roman"/>
          <w:sz w:val="26"/>
          <w:szCs w:val="26"/>
        </w:rPr>
        <w:t xml:space="preserve"> en zone CEMAC</w:t>
      </w:r>
      <w:r w:rsidR="000429D4">
        <w:rPr>
          <w:rFonts w:ascii="Times New Roman" w:hAnsi="Times New Roman" w:cs="Times New Roman"/>
          <w:sz w:val="26"/>
          <w:szCs w:val="26"/>
        </w:rPr>
        <w:t xml:space="preserve">). </w:t>
      </w:r>
      <w:r w:rsidR="00D52EC0">
        <w:rPr>
          <w:rFonts w:ascii="Times New Roman" w:hAnsi="Times New Roman" w:cs="Times New Roman"/>
          <w:sz w:val="26"/>
          <w:szCs w:val="26"/>
        </w:rPr>
        <w:t xml:space="preserve">       </w:t>
      </w:r>
      <w:r w:rsidR="000429D4">
        <w:rPr>
          <w:rFonts w:ascii="Times New Roman" w:hAnsi="Times New Roman" w:cs="Times New Roman"/>
          <w:sz w:val="26"/>
          <w:szCs w:val="26"/>
        </w:rPr>
        <w:t>A partir de 1995 jusqu’en 2014, le taux d’accroissant annuel moyen des AEN est de 24% pour la Zone franc (BCEAO+ BEAC) hors les Comores.</w:t>
      </w:r>
      <w:r w:rsidR="002C132D">
        <w:rPr>
          <w:rFonts w:ascii="Times New Roman" w:hAnsi="Times New Roman" w:cs="Times New Roman"/>
          <w:sz w:val="26"/>
          <w:szCs w:val="26"/>
        </w:rPr>
        <w:t xml:space="preserve"> En 1996, les AEN ont augmenté de 145% par rapport à l’année d’avant ; cette situation s’explique par les effets positifs de la dévaluation sur nos comptes extérieurs à travers des gains de compétitivité avérés. </w:t>
      </w:r>
    </w:p>
    <w:p w:rsidR="006B4001" w:rsidRPr="00833484" w:rsidRDefault="006B4001"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sz w:val="26"/>
          <w:szCs w:val="26"/>
        </w:rPr>
        <w:lastRenderedPageBreak/>
        <w:t>Aujourd’hui, vu le niveau de nos réserves de change ces dernières décennies, cela amène certains économistes et hommes politiques à dire qu</w:t>
      </w:r>
      <w:r w:rsidR="00F65A10" w:rsidRPr="00833484">
        <w:rPr>
          <w:rFonts w:ascii="Times New Roman" w:hAnsi="Times New Roman" w:cs="Times New Roman"/>
          <w:sz w:val="26"/>
          <w:szCs w:val="26"/>
        </w:rPr>
        <w:t>e l</w:t>
      </w:r>
      <w:r w:rsidRPr="00833484">
        <w:rPr>
          <w:rFonts w:ascii="Times New Roman" w:hAnsi="Times New Roman" w:cs="Times New Roman"/>
          <w:sz w:val="26"/>
          <w:szCs w:val="26"/>
        </w:rPr>
        <w:t>’on peut se passer de la garantie</w:t>
      </w:r>
      <w:r w:rsidR="00C51519" w:rsidRPr="00833484">
        <w:rPr>
          <w:rFonts w:ascii="Times New Roman" w:hAnsi="Times New Roman" w:cs="Times New Roman"/>
          <w:sz w:val="26"/>
          <w:szCs w:val="26"/>
        </w:rPr>
        <w:t xml:space="preserve"> de la France</w:t>
      </w:r>
      <w:r w:rsidRPr="00833484">
        <w:rPr>
          <w:rFonts w:ascii="Times New Roman" w:hAnsi="Times New Roman" w:cs="Times New Roman"/>
          <w:sz w:val="26"/>
          <w:szCs w:val="26"/>
        </w:rPr>
        <w:t xml:space="preserve"> pour assurer nous-mêmes la convertibilité du franc CFA</w:t>
      </w:r>
      <w:r w:rsidR="00F65A10" w:rsidRPr="00833484">
        <w:rPr>
          <w:rFonts w:ascii="Times New Roman" w:hAnsi="Times New Roman" w:cs="Times New Roman"/>
          <w:sz w:val="26"/>
          <w:szCs w:val="26"/>
        </w:rPr>
        <w:t xml:space="preserve"> comme illustrent bien en substance </w:t>
      </w:r>
      <w:r w:rsidRPr="00833484">
        <w:rPr>
          <w:rFonts w:ascii="Times New Roman" w:hAnsi="Times New Roman" w:cs="Times New Roman"/>
          <w:sz w:val="26"/>
          <w:szCs w:val="26"/>
        </w:rPr>
        <w:t>les propos du Président tcha</w:t>
      </w:r>
      <w:r w:rsidR="00F65A10" w:rsidRPr="00833484">
        <w:rPr>
          <w:rFonts w:ascii="Times New Roman" w:hAnsi="Times New Roman" w:cs="Times New Roman"/>
          <w:sz w:val="26"/>
          <w:szCs w:val="26"/>
        </w:rPr>
        <w:t>dien</w:t>
      </w:r>
      <w:r w:rsidRPr="00833484">
        <w:rPr>
          <w:rFonts w:ascii="Times New Roman" w:hAnsi="Times New Roman" w:cs="Times New Roman"/>
          <w:sz w:val="26"/>
          <w:szCs w:val="26"/>
        </w:rPr>
        <w:t>. Et</w:t>
      </w:r>
      <w:r w:rsidR="00821062" w:rsidRPr="00833484">
        <w:rPr>
          <w:rFonts w:ascii="Times New Roman" w:hAnsi="Times New Roman" w:cs="Times New Roman"/>
          <w:sz w:val="26"/>
          <w:szCs w:val="26"/>
        </w:rPr>
        <w:t>,</w:t>
      </w:r>
      <w:r w:rsidRPr="00833484">
        <w:rPr>
          <w:rFonts w:ascii="Times New Roman" w:hAnsi="Times New Roman" w:cs="Times New Roman"/>
          <w:sz w:val="26"/>
          <w:szCs w:val="26"/>
        </w:rPr>
        <w:t xml:space="preserve"> du coup la question de la pertinence des accords monétaires se posent. Cependant, c’est encore plus complexe et compliqué que tout ça. Effet, on ne doit pas perdre de vue que la question de notre souveraineté monétaire dépasse le seul cadre monétaire car la stabilité politique et sociale étant des prérequis importants. </w:t>
      </w:r>
      <w:r w:rsidR="00DF3928" w:rsidRPr="00833484">
        <w:rPr>
          <w:rFonts w:ascii="Times New Roman" w:hAnsi="Times New Roman" w:cs="Times New Roman"/>
          <w:sz w:val="26"/>
          <w:szCs w:val="26"/>
        </w:rPr>
        <w:t xml:space="preserve">Aussi, bien que la monnaie puisse être un outil de développement, le ciblage d’inflation domine la plupart des stratégies de politique monétaire. </w:t>
      </w:r>
      <w:r w:rsidRPr="00833484">
        <w:rPr>
          <w:rFonts w:ascii="Times New Roman" w:hAnsi="Times New Roman" w:cs="Times New Roman"/>
          <w:sz w:val="26"/>
          <w:szCs w:val="26"/>
        </w:rPr>
        <w:t>En plus, nos économies se caractérisent par un faible niveau d’industrialisation, une faible diversification de la base productive, un développement précoce du secteur des services, une forte dépendance technologique et aux produits de base.</w:t>
      </w:r>
    </w:p>
    <w:p w:rsidR="00C935A5" w:rsidRDefault="00677A8A"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sz w:val="26"/>
          <w:szCs w:val="26"/>
        </w:rPr>
        <w:t>Qu’à cela ne tienne, f</w:t>
      </w:r>
      <w:r w:rsidR="00617141" w:rsidRPr="00833484">
        <w:rPr>
          <w:rFonts w:ascii="Times New Roman" w:hAnsi="Times New Roman" w:cs="Times New Roman"/>
          <w:sz w:val="26"/>
          <w:szCs w:val="26"/>
        </w:rPr>
        <w:t>aisons un exercice de synthétiser les avantages et coûts de cette coopération monétaire.</w:t>
      </w:r>
    </w:p>
    <w:p w:rsidR="005351E2" w:rsidRPr="005351E2" w:rsidRDefault="005351E2" w:rsidP="00420A1E">
      <w:pPr>
        <w:pStyle w:val="Titre1"/>
        <w:keepNext/>
        <w:keepLines/>
        <w:numPr>
          <w:ilvl w:val="0"/>
          <w:numId w:val="5"/>
        </w:numPr>
        <w:suppressAutoHyphens/>
        <w:rPr>
          <w:sz w:val="32"/>
        </w:rPr>
      </w:pPr>
      <w:bookmarkStart w:id="6" w:name="_Toc428947867"/>
      <w:r>
        <w:rPr>
          <w:sz w:val="32"/>
        </w:rPr>
        <w:t>Avantages et Coûts</w:t>
      </w:r>
      <w:r w:rsidRPr="005351E2">
        <w:rPr>
          <w:sz w:val="32"/>
        </w:rPr>
        <w:t> :</w:t>
      </w:r>
      <w:bookmarkEnd w:id="6"/>
    </w:p>
    <w:p w:rsidR="00C3230A" w:rsidRPr="00600C98" w:rsidRDefault="00617141" w:rsidP="00420A1E">
      <w:pPr>
        <w:pStyle w:val="Titre2"/>
        <w:numPr>
          <w:ilvl w:val="0"/>
          <w:numId w:val="10"/>
        </w:numPr>
        <w:suppressAutoHyphens/>
        <w:rPr>
          <w:color w:val="auto"/>
        </w:rPr>
      </w:pPr>
      <w:bookmarkStart w:id="7" w:name="_Toc428947868"/>
      <w:r w:rsidRPr="00600C98">
        <w:rPr>
          <w:color w:val="auto"/>
        </w:rPr>
        <w:t xml:space="preserve">Au titre des </w:t>
      </w:r>
      <w:r w:rsidR="009159ED" w:rsidRPr="00600C98">
        <w:rPr>
          <w:color w:val="auto"/>
        </w:rPr>
        <w:t>avantages</w:t>
      </w:r>
      <w:r w:rsidRPr="00600C98">
        <w:rPr>
          <w:color w:val="auto"/>
        </w:rPr>
        <w:t xml:space="preserve"> on peut retenir</w:t>
      </w:r>
      <w:r w:rsidR="00BC0050" w:rsidRPr="00600C98">
        <w:rPr>
          <w:color w:val="auto"/>
        </w:rPr>
        <w:t> :</w:t>
      </w:r>
      <w:bookmarkEnd w:id="7"/>
    </w:p>
    <w:p w:rsidR="00BC0050" w:rsidRPr="00833484" w:rsidRDefault="00BC0050" w:rsidP="00420A1E">
      <w:pPr>
        <w:pStyle w:val="Paragraphedeliste"/>
        <w:keepNext/>
        <w:keepLines/>
        <w:numPr>
          <w:ilvl w:val="0"/>
          <w:numId w:val="3"/>
        </w:numPr>
        <w:suppressAutoHyphens/>
        <w:jc w:val="both"/>
        <w:rPr>
          <w:rFonts w:ascii="Times New Roman" w:hAnsi="Times New Roman" w:cs="Times New Roman"/>
          <w:i/>
          <w:sz w:val="26"/>
          <w:szCs w:val="26"/>
        </w:rPr>
      </w:pPr>
      <w:r w:rsidRPr="00833484">
        <w:rPr>
          <w:rFonts w:ascii="Times New Roman" w:hAnsi="Times New Roman" w:cs="Times New Roman"/>
          <w:sz w:val="26"/>
          <w:szCs w:val="26"/>
        </w:rPr>
        <w:t>La fixité de la parité et l’arrimage à la zone euro : suppression du risque de change,</w:t>
      </w:r>
      <w:r w:rsidR="00330871" w:rsidRPr="00833484">
        <w:rPr>
          <w:rFonts w:ascii="Times New Roman" w:hAnsi="Times New Roman" w:cs="Times New Roman"/>
          <w:sz w:val="26"/>
          <w:szCs w:val="26"/>
        </w:rPr>
        <w:t xml:space="preserve"> pas de crise de change, intégration au système monétaire international via l’euro,</w:t>
      </w:r>
      <w:r w:rsidRPr="00833484">
        <w:rPr>
          <w:rFonts w:ascii="Times New Roman" w:hAnsi="Times New Roman" w:cs="Times New Roman"/>
          <w:sz w:val="26"/>
          <w:szCs w:val="26"/>
        </w:rPr>
        <w:t xml:space="preserve"> stabilité monétaire et financière</w:t>
      </w:r>
      <w:r w:rsidR="00EE2395" w:rsidRPr="00833484">
        <w:rPr>
          <w:rFonts w:ascii="Times New Roman" w:hAnsi="Times New Roman" w:cs="Times New Roman"/>
          <w:sz w:val="26"/>
          <w:szCs w:val="26"/>
        </w:rPr>
        <w:t xml:space="preserve">. A ce niveau, le rapport </w:t>
      </w:r>
      <w:r w:rsidR="00936E29" w:rsidRPr="00833484">
        <w:rPr>
          <w:rFonts w:ascii="Times New Roman" w:hAnsi="Times New Roman" w:cs="Times New Roman"/>
          <w:sz w:val="26"/>
          <w:szCs w:val="26"/>
        </w:rPr>
        <w:t xml:space="preserve">de la </w:t>
      </w:r>
      <w:r w:rsidR="00EE2395" w:rsidRPr="00833484">
        <w:rPr>
          <w:rFonts w:ascii="Times New Roman" w:hAnsi="Times New Roman" w:cs="Times New Roman"/>
          <w:sz w:val="26"/>
          <w:szCs w:val="26"/>
        </w:rPr>
        <w:t>BCEAO  sur la compétitivité des économies de l’UEMOA</w:t>
      </w:r>
      <w:r w:rsidR="00936E29" w:rsidRPr="00833484">
        <w:rPr>
          <w:rFonts w:ascii="Times New Roman" w:hAnsi="Times New Roman" w:cs="Times New Roman"/>
          <w:sz w:val="26"/>
          <w:szCs w:val="26"/>
        </w:rPr>
        <w:t xml:space="preserve"> (2012)</w:t>
      </w:r>
      <w:r w:rsidR="00EE2395" w:rsidRPr="00833484">
        <w:rPr>
          <w:rFonts w:ascii="Times New Roman" w:hAnsi="Times New Roman" w:cs="Times New Roman"/>
          <w:sz w:val="26"/>
          <w:szCs w:val="26"/>
        </w:rPr>
        <w:t xml:space="preserve"> montre une </w:t>
      </w:r>
      <w:r w:rsidR="00936E29" w:rsidRPr="00833484">
        <w:rPr>
          <w:rFonts w:ascii="Times New Roman" w:hAnsi="Times New Roman" w:cs="Times New Roman"/>
          <w:sz w:val="26"/>
          <w:szCs w:val="26"/>
        </w:rPr>
        <w:t>amélioration</w:t>
      </w:r>
      <w:r w:rsidR="00EE2395" w:rsidRPr="00833484">
        <w:rPr>
          <w:rFonts w:ascii="Times New Roman" w:hAnsi="Times New Roman" w:cs="Times New Roman"/>
          <w:sz w:val="26"/>
          <w:szCs w:val="26"/>
        </w:rPr>
        <w:t xml:space="preserve"> de la compétitivité globale des écon</w:t>
      </w:r>
      <w:r w:rsidR="00936E29" w:rsidRPr="00833484">
        <w:rPr>
          <w:rFonts w:ascii="Times New Roman" w:hAnsi="Times New Roman" w:cs="Times New Roman"/>
          <w:sz w:val="26"/>
          <w:szCs w:val="26"/>
        </w:rPr>
        <w:t>omies des pays de l’</w:t>
      </w:r>
      <w:r w:rsidR="00746C57" w:rsidRPr="00833484">
        <w:rPr>
          <w:rFonts w:ascii="Times New Roman" w:hAnsi="Times New Roman" w:cs="Times New Roman"/>
          <w:sz w:val="26"/>
          <w:szCs w:val="26"/>
        </w:rPr>
        <w:t>U</w:t>
      </w:r>
      <w:r w:rsidR="00936E29" w:rsidRPr="00833484">
        <w:rPr>
          <w:rFonts w:ascii="Times New Roman" w:hAnsi="Times New Roman" w:cs="Times New Roman"/>
          <w:sz w:val="26"/>
          <w:szCs w:val="26"/>
        </w:rPr>
        <w:t>nion à cause d’une baisse de 3% du taux de change effectif réel dont l’évolution est très souvent utilisée pour apprécier la compétitivité d’une économie.</w:t>
      </w:r>
      <w:r w:rsidR="006D5C00" w:rsidRPr="00833484">
        <w:rPr>
          <w:rFonts w:ascii="Times New Roman" w:hAnsi="Times New Roman" w:cs="Times New Roman"/>
          <w:sz w:val="26"/>
          <w:szCs w:val="26"/>
        </w:rPr>
        <w:t xml:space="preserve"> </w:t>
      </w:r>
      <w:r w:rsidR="006D5C00" w:rsidRPr="00833484">
        <w:rPr>
          <w:rFonts w:ascii="Times New Roman" w:hAnsi="Times New Roman" w:cs="Times New Roman"/>
          <w:i/>
          <w:sz w:val="26"/>
          <w:szCs w:val="26"/>
        </w:rPr>
        <w:t>« …L’Union continue de conserver l’essentiel des acquis du changement de parité intervenu en janvier 1994... » ;  « … le taux de change effectif réel en 2012 ne s'est pas écarté significativement de son niveau d'équilibre, traduisant un bon niveau de la parité du franc CFA par rapport aux monnaies des pays partenaires… </w:t>
      </w:r>
      <w:r w:rsidR="00DE6A00" w:rsidRPr="00833484">
        <w:rPr>
          <w:rFonts w:ascii="Times New Roman" w:hAnsi="Times New Roman" w:cs="Times New Roman"/>
          <w:i/>
          <w:sz w:val="26"/>
          <w:szCs w:val="26"/>
        </w:rPr>
        <w:t>cette situation traduit l’absence de sous-évaluation ou de surévaluation du franc CFA</w:t>
      </w:r>
      <w:r w:rsidR="006D5C00" w:rsidRPr="00833484">
        <w:rPr>
          <w:rFonts w:ascii="Times New Roman" w:hAnsi="Times New Roman" w:cs="Times New Roman"/>
          <w:i/>
          <w:sz w:val="26"/>
          <w:szCs w:val="26"/>
        </w:rPr>
        <w:t xml:space="preserve">» </w:t>
      </w:r>
      <w:r w:rsidR="000C104B" w:rsidRPr="00833484">
        <w:rPr>
          <w:rFonts w:ascii="Times New Roman" w:hAnsi="Times New Roman" w:cs="Times New Roman"/>
          <w:i/>
          <w:sz w:val="26"/>
          <w:szCs w:val="26"/>
        </w:rPr>
        <w:t xml:space="preserve">[5] </w:t>
      </w:r>
      <w:r w:rsidR="006D5C00" w:rsidRPr="00833484">
        <w:rPr>
          <w:rFonts w:ascii="Times New Roman" w:hAnsi="Times New Roman" w:cs="Times New Roman"/>
          <w:sz w:val="26"/>
          <w:szCs w:val="26"/>
        </w:rPr>
        <w:t>avance le même rapport BCEAO.</w:t>
      </w:r>
      <w:r w:rsidR="00DE6A00" w:rsidRPr="00833484">
        <w:rPr>
          <w:rFonts w:ascii="Times New Roman" w:hAnsi="Times New Roman" w:cs="Times New Roman"/>
          <w:sz w:val="26"/>
          <w:szCs w:val="26"/>
        </w:rPr>
        <w:t xml:space="preserve"> Pour le Mali, la détérioration de la position concurrentielle en 2012 est la conséquence de tensions inflationnistes issues de la crise socio-politique (Rapport BCEAO 2012).</w:t>
      </w:r>
      <w:r w:rsidR="00002278" w:rsidRPr="00833484">
        <w:rPr>
          <w:rFonts w:ascii="Times New Roman" w:hAnsi="Times New Roman" w:cs="Times New Roman"/>
          <w:sz w:val="26"/>
          <w:szCs w:val="26"/>
        </w:rPr>
        <w:t xml:space="preserve"> </w:t>
      </w:r>
      <w:r w:rsidR="00AC7B86" w:rsidRPr="00833484">
        <w:rPr>
          <w:rFonts w:ascii="Times New Roman" w:hAnsi="Times New Roman" w:cs="Times New Roman"/>
          <w:sz w:val="26"/>
          <w:szCs w:val="26"/>
        </w:rPr>
        <w:t>Toutefois</w:t>
      </w:r>
      <w:r w:rsidR="00002278" w:rsidRPr="00833484">
        <w:rPr>
          <w:rFonts w:ascii="Times New Roman" w:hAnsi="Times New Roman" w:cs="Times New Roman"/>
          <w:sz w:val="26"/>
          <w:szCs w:val="26"/>
        </w:rPr>
        <w:t xml:space="preserve">, la même année, </w:t>
      </w:r>
      <w:r w:rsidR="00EC0CA0" w:rsidRPr="00833484">
        <w:rPr>
          <w:rFonts w:ascii="Times New Roman" w:hAnsi="Times New Roman" w:cs="Times New Roman"/>
          <w:sz w:val="26"/>
          <w:szCs w:val="26"/>
        </w:rPr>
        <w:t>le rapport « D</w:t>
      </w:r>
      <w:r w:rsidR="00002278" w:rsidRPr="00833484">
        <w:rPr>
          <w:rFonts w:ascii="Times New Roman" w:hAnsi="Times New Roman" w:cs="Times New Roman"/>
          <w:sz w:val="26"/>
          <w:szCs w:val="26"/>
        </w:rPr>
        <w:t xml:space="preserve">oing </w:t>
      </w:r>
      <w:r w:rsidR="00EC0CA0" w:rsidRPr="00833484">
        <w:rPr>
          <w:rFonts w:ascii="Times New Roman" w:hAnsi="Times New Roman" w:cs="Times New Roman"/>
          <w:sz w:val="26"/>
          <w:szCs w:val="26"/>
        </w:rPr>
        <w:t>B</w:t>
      </w:r>
      <w:r w:rsidR="00002278" w:rsidRPr="00833484">
        <w:rPr>
          <w:rFonts w:ascii="Times New Roman" w:hAnsi="Times New Roman" w:cs="Times New Roman"/>
          <w:sz w:val="26"/>
          <w:szCs w:val="26"/>
        </w:rPr>
        <w:t>usiness</w:t>
      </w:r>
      <w:r w:rsidR="00EC0CA0" w:rsidRPr="00833484">
        <w:rPr>
          <w:rFonts w:ascii="Times New Roman" w:hAnsi="Times New Roman" w:cs="Times New Roman"/>
          <w:sz w:val="26"/>
          <w:szCs w:val="26"/>
        </w:rPr>
        <w:t> »</w:t>
      </w:r>
      <w:r w:rsidR="00002278" w:rsidRPr="00833484">
        <w:rPr>
          <w:rFonts w:ascii="Times New Roman" w:hAnsi="Times New Roman" w:cs="Times New Roman"/>
          <w:sz w:val="26"/>
          <w:szCs w:val="26"/>
        </w:rPr>
        <w:t xml:space="preserve"> de la Banque Mondiale recommande à la plupart des pays de l’UEMOA d’améliorer </w:t>
      </w:r>
      <w:r w:rsidR="00A012A1" w:rsidRPr="00833484">
        <w:rPr>
          <w:rFonts w:ascii="Times New Roman" w:hAnsi="Times New Roman" w:cs="Times New Roman"/>
          <w:sz w:val="26"/>
          <w:szCs w:val="26"/>
        </w:rPr>
        <w:t xml:space="preserve">leur </w:t>
      </w:r>
      <w:r w:rsidR="00002278" w:rsidRPr="00833484">
        <w:rPr>
          <w:rFonts w:ascii="Times New Roman" w:hAnsi="Times New Roman" w:cs="Times New Roman"/>
          <w:sz w:val="26"/>
          <w:szCs w:val="26"/>
        </w:rPr>
        <w:t>« l’indicateur de facilité de faire des affaires »</w:t>
      </w:r>
      <w:r w:rsidR="00DA01C4" w:rsidRPr="00833484">
        <w:rPr>
          <w:rFonts w:ascii="Times New Roman" w:hAnsi="Times New Roman" w:cs="Times New Roman"/>
          <w:sz w:val="26"/>
          <w:szCs w:val="26"/>
        </w:rPr>
        <w:t xml:space="preserve"> [6]</w:t>
      </w:r>
      <w:r w:rsidR="00002278" w:rsidRPr="00833484">
        <w:rPr>
          <w:rFonts w:ascii="Times New Roman" w:hAnsi="Times New Roman" w:cs="Times New Roman"/>
          <w:sz w:val="26"/>
          <w:szCs w:val="26"/>
        </w:rPr>
        <w:t>.</w:t>
      </w:r>
      <w:r w:rsidR="00A86AE7" w:rsidRPr="00833484">
        <w:rPr>
          <w:rFonts w:ascii="Times New Roman" w:hAnsi="Times New Roman" w:cs="Times New Roman"/>
          <w:sz w:val="26"/>
          <w:szCs w:val="26"/>
        </w:rPr>
        <w:t xml:space="preserve"> La mise en place récente des Bureaux d’Information sur le Crédit (BIC) </w:t>
      </w:r>
      <w:r w:rsidR="00A06FA9" w:rsidRPr="00833484">
        <w:rPr>
          <w:rFonts w:ascii="Times New Roman" w:hAnsi="Times New Roman" w:cs="Times New Roman"/>
          <w:sz w:val="26"/>
          <w:szCs w:val="26"/>
        </w:rPr>
        <w:t xml:space="preserve">en Zone UEMOA </w:t>
      </w:r>
      <w:r w:rsidR="00A86AE7" w:rsidRPr="00833484">
        <w:rPr>
          <w:rFonts w:ascii="Times New Roman" w:hAnsi="Times New Roman" w:cs="Times New Roman"/>
          <w:sz w:val="26"/>
          <w:szCs w:val="26"/>
        </w:rPr>
        <w:t>concourt à l’amélioration de cet indicateur</w:t>
      </w:r>
      <w:r w:rsidR="00A06FA9" w:rsidRPr="00833484">
        <w:rPr>
          <w:rFonts w:ascii="Times New Roman" w:hAnsi="Times New Roman" w:cs="Times New Roman"/>
          <w:sz w:val="26"/>
          <w:szCs w:val="26"/>
        </w:rPr>
        <w:t xml:space="preserve"> (climat des affaires)</w:t>
      </w:r>
      <w:r w:rsidR="00A86AE7" w:rsidRPr="00833484">
        <w:rPr>
          <w:rFonts w:ascii="Times New Roman" w:hAnsi="Times New Roman" w:cs="Times New Roman"/>
          <w:sz w:val="26"/>
          <w:szCs w:val="26"/>
        </w:rPr>
        <w:t>.</w:t>
      </w:r>
    </w:p>
    <w:p w:rsidR="00BC0050" w:rsidRPr="00833484" w:rsidRDefault="00BC0050" w:rsidP="00420A1E">
      <w:pPr>
        <w:pStyle w:val="Paragraphedeliste"/>
        <w:keepNext/>
        <w:keepLines/>
        <w:numPr>
          <w:ilvl w:val="0"/>
          <w:numId w:val="3"/>
        </w:numPr>
        <w:suppressAutoHyphens/>
        <w:jc w:val="both"/>
        <w:rPr>
          <w:rFonts w:ascii="Times New Roman" w:hAnsi="Times New Roman" w:cs="Times New Roman"/>
          <w:sz w:val="26"/>
          <w:szCs w:val="26"/>
        </w:rPr>
      </w:pPr>
      <w:r w:rsidRPr="00833484">
        <w:rPr>
          <w:rFonts w:ascii="Times New Roman" w:hAnsi="Times New Roman" w:cs="Times New Roman"/>
          <w:sz w:val="26"/>
          <w:szCs w:val="26"/>
        </w:rPr>
        <w:lastRenderedPageBreak/>
        <w:t>Rigueur de la politique monétaire</w:t>
      </w:r>
      <w:r w:rsidR="0023736A" w:rsidRPr="00833484">
        <w:rPr>
          <w:rFonts w:ascii="Times New Roman" w:hAnsi="Times New Roman" w:cs="Times New Roman"/>
          <w:sz w:val="26"/>
          <w:szCs w:val="26"/>
        </w:rPr>
        <w:t xml:space="preserve"> (BCEAO)</w:t>
      </w:r>
      <w:r w:rsidRPr="00833484">
        <w:rPr>
          <w:rFonts w:ascii="Times New Roman" w:hAnsi="Times New Roman" w:cs="Times New Roman"/>
          <w:sz w:val="26"/>
          <w:szCs w:val="26"/>
        </w:rPr>
        <w:t> : inflation historiquement</w:t>
      </w:r>
      <w:r w:rsidR="00115621" w:rsidRPr="00833484">
        <w:rPr>
          <w:rFonts w:ascii="Times New Roman" w:hAnsi="Times New Roman" w:cs="Times New Roman"/>
          <w:sz w:val="26"/>
          <w:szCs w:val="26"/>
        </w:rPr>
        <w:t>,</w:t>
      </w:r>
      <w:r w:rsidRPr="00833484">
        <w:rPr>
          <w:rFonts w:ascii="Times New Roman" w:hAnsi="Times New Roman" w:cs="Times New Roman"/>
          <w:sz w:val="26"/>
          <w:szCs w:val="26"/>
        </w:rPr>
        <w:t xml:space="preserve"> mieux maitrisée et bas</w:t>
      </w:r>
      <w:r w:rsidR="00892424" w:rsidRPr="00833484">
        <w:rPr>
          <w:rFonts w:ascii="Times New Roman" w:hAnsi="Times New Roman" w:cs="Times New Roman"/>
          <w:sz w:val="26"/>
          <w:szCs w:val="26"/>
        </w:rPr>
        <w:t xml:space="preserve">. Poursuite d’une politique monétaire quasiment axée sur la stratégie de ciblage d’inflation </w:t>
      </w:r>
      <w:r w:rsidR="006D7E53" w:rsidRPr="00833484">
        <w:rPr>
          <w:rFonts w:ascii="Times New Roman" w:hAnsi="Times New Roman" w:cs="Times New Roman"/>
          <w:sz w:val="26"/>
          <w:szCs w:val="26"/>
        </w:rPr>
        <w:t>aux fins de</w:t>
      </w:r>
      <w:r w:rsidR="00892424" w:rsidRPr="00833484">
        <w:rPr>
          <w:rFonts w:ascii="Times New Roman" w:hAnsi="Times New Roman" w:cs="Times New Roman"/>
          <w:sz w:val="26"/>
          <w:szCs w:val="26"/>
        </w:rPr>
        <w:t xml:space="preserve"> s’aligner derrière les standards internationaux.</w:t>
      </w:r>
    </w:p>
    <w:p w:rsidR="00BC0050" w:rsidRPr="00833484" w:rsidRDefault="00BC0050" w:rsidP="00420A1E">
      <w:pPr>
        <w:pStyle w:val="Paragraphedeliste"/>
        <w:keepNext/>
        <w:keepLines/>
        <w:numPr>
          <w:ilvl w:val="0"/>
          <w:numId w:val="3"/>
        </w:numPr>
        <w:suppressAutoHyphens/>
        <w:jc w:val="both"/>
        <w:rPr>
          <w:rFonts w:ascii="Times New Roman" w:hAnsi="Times New Roman" w:cs="Times New Roman"/>
          <w:sz w:val="26"/>
          <w:szCs w:val="26"/>
        </w:rPr>
      </w:pPr>
      <w:r w:rsidRPr="00833484">
        <w:rPr>
          <w:rFonts w:ascii="Times New Roman" w:hAnsi="Times New Roman" w:cs="Times New Roman"/>
          <w:sz w:val="26"/>
          <w:szCs w:val="26"/>
        </w:rPr>
        <w:t>Crédibilité de la monnaie (confiance) : La garantie de la convertibilité illimitée à travers le mécanisme de compte d’opération</w:t>
      </w:r>
    </w:p>
    <w:p w:rsidR="00BC0050" w:rsidRPr="00833484" w:rsidRDefault="00BC0050" w:rsidP="00420A1E">
      <w:pPr>
        <w:pStyle w:val="Paragraphedeliste"/>
        <w:keepNext/>
        <w:keepLines/>
        <w:numPr>
          <w:ilvl w:val="0"/>
          <w:numId w:val="3"/>
        </w:numPr>
        <w:suppressAutoHyphens/>
        <w:jc w:val="both"/>
        <w:rPr>
          <w:rFonts w:ascii="Times New Roman" w:hAnsi="Times New Roman" w:cs="Times New Roman"/>
          <w:sz w:val="26"/>
          <w:szCs w:val="26"/>
        </w:rPr>
      </w:pPr>
      <w:r w:rsidRPr="00833484">
        <w:rPr>
          <w:rFonts w:ascii="Times New Roman" w:hAnsi="Times New Roman" w:cs="Times New Roman"/>
          <w:sz w:val="26"/>
          <w:szCs w:val="26"/>
        </w:rPr>
        <w:t>Processus d’intégration économique et de convergence macroéconomiques des économi</w:t>
      </w:r>
      <w:r w:rsidR="00985DC9" w:rsidRPr="00833484">
        <w:rPr>
          <w:rFonts w:ascii="Times New Roman" w:hAnsi="Times New Roman" w:cs="Times New Roman"/>
          <w:sz w:val="26"/>
          <w:szCs w:val="26"/>
        </w:rPr>
        <w:t xml:space="preserve">es de la Zone franc </w:t>
      </w:r>
      <w:r w:rsidR="00070342" w:rsidRPr="00833484">
        <w:rPr>
          <w:rFonts w:ascii="Times New Roman" w:hAnsi="Times New Roman" w:cs="Times New Roman"/>
          <w:sz w:val="26"/>
          <w:szCs w:val="26"/>
        </w:rPr>
        <w:t xml:space="preserve">est en marche </w:t>
      </w:r>
      <w:r w:rsidR="00985DC9" w:rsidRPr="00833484">
        <w:rPr>
          <w:rFonts w:ascii="Times New Roman" w:hAnsi="Times New Roman" w:cs="Times New Roman"/>
          <w:sz w:val="26"/>
          <w:szCs w:val="26"/>
        </w:rPr>
        <w:t xml:space="preserve">depuis 1994 pour intensifier le commerce </w:t>
      </w:r>
      <w:r w:rsidR="00070342" w:rsidRPr="00833484">
        <w:rPr>
          <w:rFonts w:ascii="Times New Roman" w:hAnsi="Times New Roman" w:cs="Times New Roman"/>
          <w:sz w:val="26"/>
          <w:szCs w:val="26"/>
        </w:rPr>
        <w:t>sous-</w:t>
      </w:r>
      <w:r w:rsidR="00770F9D" w:rsidRPr="00833484">
        <w:rPr>
          <w:rFonts w:ascii="Times New Roman" w:hAnsi="Times New Roman" w:cs="Times New Roman"/>
          <w:sz w:val="26"/>
          <w:szCs w:val="26"/>
        </w:rPr>
        <w:t>régional.</w:t>
      </w:r>
    </w:p>
    <w:p w:rsidR="000E0C50" w:rsidRPr="00833484" w:rsidRDefault="000E0C50" w:rsidP="00420A1E">
      <w:pPr>
        <w:pStyle w:val="Paragraphedeliste"/>
        <w:keepNext/>
        <w:keepLines/>
        <w:numPr>
          <w:ilvl w:val="0"/>
          <w:numId w:val="3"/>
        </w:numPr>
        <w:suppressAutoHyphens/>
        <w:jc w:val="both"/>
        <w:rPr>
          <w:rFonts w:ascii="Times New Roman" w:hAnsi="Times New Roman" w:cs="Times New Roman"/>
          <w:sz w:val="26"/>
          <w:szCs w:val="26"/>
        </w:rPr>
      </w:pPr>
      <w:r w:rsidRPr="00833484">
        <w:rPr>
          <w:rFonts w:ascii="Times New Roman" w:hAnsi="Times New Roman" w:cs="Times New Roman"/>
          <w:sz w:val="26"/>
          <w:szCs w:val="26"/>
        </w:rPr>
        <w:t xml:space="preserve">Le produit des intérêts </w:t>
      </w:r>
      <w:r w:rsidR="00183111" w:rsidRPr="00833484">
        <w:rPr>
          <w:rFonts w:ascii="Times New Roman" w:hAnsi="Times New Roman" w:cs="Times New Roman"/>
          <w:sz w:val="26"/>
          <w:szCs w:val="26"/>
        </w:rPr>
        <w:t xml:space="preserve">versés par la France </w:t>
      </w:r>
      <w:r w:rsidRPr="00833484">
        <w:rPr>
          <w:rFonts w:ascii="Times New Roman" w:hAnsi="Times New Roman" w:cs="Times New Roman"/>
          <w:sz w:val="26"/>
          <w:szCs w:val="26"/>
        </w:rPr>
        <w:t>sur les comptes d’opérations</w:t>
      </w:r>
    </w:p>
    <w:p w:rsidR="000E0C50" w:rsidRPr="00833484" w:rsidRDefault="000E0C50" w:rsidP="00420A1E">
      <w:pPr>
        <w:pStyle w:val="Paragraphedeliste"/>
        <w:keepNext/>
        <w:keepLines/>
        <w:numPr>
          <w:ilvl w:val="0"/>
          <w:numId w:val="3"/>
        </w:numPr>
        <w:suppressAutoHyphens/>
        <w:jc w:val="both"/>
        <w:rPr>
          <w:rFonts w:ascii="Times New Roman" w:hAnsi="Times New Roman" w:cs="Times New Roman"/>
          <w:sz w:val="26"/>
          <w:szCs w:val="26"/>
        </w:rPr>
      </w:pPr>
      <w:r w:rsidRPr="00833484">
        <w:rPr>
          <w:rFonts w:ascii="Times New Roman" w:hAnsi="Times New Roman" w:cs="Times New Roman"/>
          <w:sz w:val="26"/>
          <w:szCs w:val="26"/>
        </w:rPr>
        <w:t>Le produit des placements à travers des véhicules dédiés (fonds) du reste des réserves de change.</w:t>
      </w:r>
    </w:p>
    <w:p w:rsidR="00697736" w:rsidRPr="00833484" w:rsidRDefault="00697736" w:rsidP="00420A1E">
      <w:pPr>
        <w:pStyle w:val="Paragraphedeliste"/>
        <w:keepNext/>
        <w:keepLines/>
        <w:numPr>
          <w:ilvl w:val="0"/>
          <w:numId w:val="3"/>
        </w:numPr>
        <w:suppressAutoHyphens/>
        <w:spacing w:line="360" w:lineRule="auto"/>
        <w:jc w:val="both"/>
        <w:rPr>
          <w:rFonts w:ascii="Times New Roman" w:hAnsi="Times New Roman" w:cs="Times New Roman"/>
          <w:sz w:val="26"/>
          <w:szCs w:val="26"/>
        </w:rPr>
      </w:pPr>
      <w:r w:rsidRPr="00833484">
        <w:rPr>
          <w:rFonts w:ascii="Times New Roman" w:hAnsi="Times New Roman" w:cs="Times New Roman"/>
          <w:sz w:val="26"/>
          <w:szCs w:val="26"/>
        </w:rPr>
        <w:t>La part d’intérêts</w:t>
      </w:r>
      <w:r w:rsidR="00812380" w:rsidRPr="00833484">
        <w:rPr>
          <w:rFonts w:ascii="Times New Roman" w:hAnsi="Times New Roman" w:cs="Times New Roman"/>
          <w:sz w:val="26"/>
          <w:szCs w:val="26"/>
        </w:rPr>
        <w:t xml:space="preserve"> issue des comptes d’opérations</w:t>
      </w:r>
      <w:r w:rsidRPr="00833484">
        <w:rPr>
          <w:rFonts w:ascii="Times New Roman" w:hAnsi="Times New Roman" w:cs="Times New Roman"/>
          <w:sz w:val="26"/>
          <w:szCs w:val="26"/>
        </w:rPr>
        <w:t xml:space="preserve"> </w:t>
      </w:r>
      <w:r w:rsidR="00CD6A0B" w:rsidRPr="00833484">
        <w:rPr>
          <w:rFonts w:ascii="Times New Roman" w:hAnsi="Times New Roman" w:cs="Times New Roman"/>
          <w:sz w:val="26"/>
          <w:szCs w:val="26"/>
        </w:rPr>
        <w:t>est</w:t>
      </w:r>
      <w:r w:rsidRPr="00833484">
        <w:rPr>
          <w:rFonts w:ascii="Times New Roman" w:hAnsi="Times New Roman" w:cs="Times New Roman"/>
          <w:sz w:val="26"/>
          <w:szCs w:val="26"/>
        </w:rPr>
        <w:t xml:space="preserve"> versée aux banques centrales </w:t>
      </w:r>
      <w:r w:rsidR="00812380" w:rsidRPr="00833484">
        <w:rPr>
          <w:rFonts w:ascii="Times New Roman" w:hAnsi="Times New Roman" w:cs="Times New Roman"/>
          <w:sz w:val="26"/>
          <w:szCs w:val="26"/>
        </w:rPr>
        <w:t xml:space="preserve">Zone franc </w:t>
      </w:r>
      <w:r w:rsidRPr="00833484">
        <w:rPr>
          <w:rFonts w:ascii="Times New Roman" w:hAnsi="Times New Roman" w:cs="Times New Roman"/>
          <w:sz w:val="26"/>
          <w:szCs w:val="26"/>
        </w:rPr>
        <w:t>sans être comptabilisée dans l’Aide Publique au Développement</w:t>
      </w:r>
      <w:r w:rsidR="00511624">
        <w:rPr>
          <w:rFonts w:ascii="Times New Roman" w:hAnsi="Times New Roman" w:cs="Times New Roman"/>
          <w:sz w:val="26"/>
          <w:szCs w:val="26"/>
        </w:rPr>
        <w:t xml:space="preserve"> (APD)</w:t>
      </w:r>
      <w:r w:rsidRPr="00833484">
        <w:rPr>
          <w:rFonts w:ascii="Times New Roman" w:hAnsi="Times New Roman" w:cs="Times New Roman"/>
          <w:sz w:val="26"/>
          <w:szCs w:val="26"/>
        </w:rPr>
        <w:t>.</w:t>
      </w:r>
      <w:r w:rsidR="00E85038">
        <w:rPr>
          <w:rFonts w:ascii="Times New Roman" w:hAnsi="Times New Roman" w:cs="Times New Roman"/>
          <w:sz w:val="26"/>
          <w:szCs w:val="26"/>
        </w:rPr>
        <w:t xml:space="preserve"> A ce titre, les notes de présentation du projet de loi de finances 2006 sous la férule de Michel CHARASSE</w:t>
      </w:r>
      <w:r w:rsidR="00511624">
        <w:rPr>
          <w:rFonts w:ascii="Times New Roman" w:hAnsi="Times New Roman" w:cs="Times New Roman"/>
          <w:sz w:val="26"/>
          <w:szCs w:val="26"/>
        </w:rPr>
        <w:t xml:space="preserve"> disaient ceci : « </w:t>
      </w:r>
      <w:r w:rsidR="00511624" w:rsidRPr="00511624">
        <w:rPr>
          <w:rFonts w:ascii="Times New Roman" w:hAnsi="Times New Roman" w:cs="Times New Roman"/>
          <w:i/>
          <w:sz w:val="26"/>
          <w:szCs w:val="26"/>
        </w:rPr>
        <w:t>Il importe également de relever que même dans l'hypothèse où les comptes d'opérations deviendraient déficitaires,</w:t>
      </w:r>
      <w:r w:rsidR="00511624" w:rsidRPr="00511624">
        <w:rPr>
          <w:rFonts w:ascii="Times New Roman" w:hAnsi="Times New Roman" w:cs="Times New Roman"/>
          <w:b/>
          <w:bCs/>
          <w:i/>
          <w:sz w:val="26"/>
          <w:szCs w:val="26"/>
        </w:rPr>
        <w:t xml:space="preserve"> les sommes versées par la France ne seraient pas comptabilisables en APD</w:t>
      </w:r>
      <w:r w:rsidR="00511624">
        <w:rPr>
          <w:rFonts w:ascii="Times New Roman" w:hAnsi="Times New Roman" w:cs="Times New Roman"/>
          <w:b/>
          <w:bCs/>
          <w:i/>
          <w:sz w:val="26"/>
          <w:szCs w:val="26"/>
        </w:rPr>
        <w:t> »</w:t>
      </w:r>
      <w:r w:rsidR="00423A0E">
        <w:rPr>
          <w:rFonts w:ascii="Times New Roman" w:hAnsi="Times New Roman" w:cs="Times New Roman"/>
          <w:b/>
          <w:bCs/>
          <w:i/>
          <w:sz w:val="26"/>
          <w:szCs w:val="26"/>
        </w:rPr>
        <w:t>[7]</w:t>
      </w:r>
      <w:r w:rsidR="00511624" w:rsidRPr="00511624">
        <w:rPr>
          <w:rFonts w:ascii="Times New Roman" w:hAnsi="Times New Roman" w:cs="Times New Roman"/>
          <w:b/>
          <w:bCs/>
          <w:i/>
          <w:sz w:val="26"/>
          <w:szCs w:val="26"/>
        </w:rPr>
        <w:t>.</w:t>
      </w:r>
    </w:p>
    <w:p w:rsidR="00704BD5" w:rsidRPr="00833484" w:rsidRDefault="00704BD5" w:rsidP="00420A1E">
      <w:pPr>
        <w:pStyle w:val="Paragraphedeliste"/>
        <w:keepNext/>
        <w:keepLines/>
        <w:numPr>
          <w:ilvl w:val="0"/>
          <w:numId w:val="3"/>
        </w:numPr>
        <w:suppressAutoHyphens/>
        <w:jc w:val="both"/>
        <w:rPr>
          <w:rFonts w:ascii="Times New Roman" w:hAnsi="Times New Roman" w:cs="Times New Roman"/>
          <w:sz w:val="26"/>
          <w:szCs w:val="26"/>
        </w:rPr>
      </w:pPr>
      <w:r w:rsidRPr="00833484">
        <w:rPr>
          <w:rFonts w:ascii="Times New Roman" w:hAnsi="Times New Roman" w:cs="Times New Roman"/>
          <w:sz w:val="26"/>
          <w:szCs w:val="26"/>
        </w:rPr>
        <w:t>Les comptes d’opération rassurent les investisseurs sur leurs rapatriements de capitaux, donc favorise le climat des affaires en matière d’investissement surtout avec l’euro.</w:t>
      </w:r>
    </w:p>
    <w:p w:rsidR="007F070D" w:rsidRPr="00833484" w:rsidRDefault="007F070D" w:rsidP="00420A1E">
      <w:pPr>
        <w:pStyle w:val="Paragraphedeliste"/>
        <w:keepNext/>
        <w:keepLines/>
        <w:numPr>
          <w:ilvl w:val="0"/>
          <w:numId w:val="3"/>
        </w:numPr>
        <w:suppressAutoHyphens/>
        <w:jc w:val="both"/>
        <w:rPr>
          <w:rFonts w:ascii="Times New Roman" w:hAnsi="Times New Roman" w:cs="Times New Roman"/>
          <w:sz w:val="26"/>
          <w:szCs w:val="26"/>
        </w:rPr>
      </w:pPr>
      <w:r w:rsidRPr="00833484">
        <w:rPr>
          <w:rFonts w:ascii="Times New Roman" w:hAnsi="Times New Roman" w:cs="Times New Roman"/>
          <w:sz w:val="26"/>
          <w:szCs w:val="26"/>
        </w:rPr>
        <w:t>Les comptes d’opérations pourraient être une assurance contre d’éventuelles attaques spéculatives contre la monnaie</w:t>
      </w:r>
    </w:p>
    <w:p w:rsidR="008807D8" w:rsidRPr="00833484" w:rsidRDefault="00A775F8" w:rsidP="00420A1E">
      <w:pPr>
        <w:pStyle w:val="Paragraphedeliste"/>
        <w:keepNext/>
        <w:keepLines/>
        <w:numPr>
          <w:ilvl w:val="0"/>
          <w:numId w:val="3"/>
        </w:numPr>
        <w:suppressAutoHyphens/>
        <w:jc w:val="both"/>
        <w:rPr>
          <w:rFonts w:ascii="Times New Roman" w:hAnsi="Times New Roman" w:cs="Times New Roman"/>
          <w:sz w:val="26"/>
          <w:szCs w:val="26"/>
        </w:rPr>
      </w:pPr>
      <w:r w:rsidRPr="00833484">
        <w:rPr>
          <w:rFonts w:ascii="Times New Roman" w:hAnsi="Times New Roman" w:cs="Times New Roman"/>
          <w:sz w:val="26"/>
          <w:szCs w:val="26"/>
        </w:rPr>
        <w:t xml:space="preserve">Le </w:t>
      </w:r>
      <w:r w:rsidR="00B13D22" w:rsidRPr="00833484">
        <w:rPr>
          <w:rFonts w:ascii="Times New Roman" w:hAnsi="Times New Roman" w:cs="Times New Roman"/>
          <w:sz w:val="26"/>
          <w:szCs w:val="26"/>
        </w:rPr>
        <w:t>panier</w:t>
      </w:r>
      <w:r w:rsidRPr="00833484">
        <w:rPr>
          <w:rFonts w:ascii="Times New Roman" w:hAnsi="Times New Roman" w:cs="Times New Roman"/>
          <w:sz w:val="26"/>
          <w:szCs w:val="26"/>
        </w:rPr>
        <w:t xml:space="preserve"> DTS assure la non dépréciation de nos réserves dans le temps.</w:t>
      </w:r>
    </w:p>
    <w:p w:rsidR="00697736" w:rsidRDefault="00AF6A14"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sz w:val="26"/>
          <w:szCs w:val="26"/>
        </w:rPr>
        <w:t>Toutefois, i</w:t>
      </w:r>
      <w:r w:rsidR="009159ED" w:rsidRPr="00833484">
        <w:rPr>
          <w:rFonts w:ascii="Times New Roman" w:hAnsi="Times New Roman" w:cs="Times New Roman"/>
          <w:sz w:val="26"/>
          <w:szCs w:val="26"/>
        </w:rPr>
        <w:t xml:space="preserve">l existe une certaine ambivalence à ce niveau car les mêmes avantages sont souvent utilisés par les </w:t>
      </w:r>
      <w:r w:rsidR="00766C48" w:rsidRPr="00833484">
        <w:rPr>
          <w:rFonts w:ascii="Times New Roman" w:hAnsi="Times New Roman" w:cs="Times New Roman"/>
          <w:sz w:val="26"/>
          <w:szCs w:val="26"/>
        </w:rPr>
        <w:t xml:space="preserve">pourfendeurs ou </w:t>
      </w:r>
      <w:r w:rsidR="009159ED" w:rsidRPr="00833484">
        <w:rPr>
          <w:rFonts w:ascii="Times New Roman" w:hAnsi="Times New Roman" w:cs="Times New Roman"/>
          <w:sz w:val="26"/>
          <w:szCs w:val="26"/>
        </w:rPr>
        <w:t>détracteurs</w:t>
      </w:r>
      <w:r w:rsidR="00766C48" w:rsidRPr="00833484">
        <w:rPr>
          <w:rFonts w:ascii="Times New Roman" w:hAnsi="Times New Roman" w:cs="Times New Roman"/>
          <w:sz w:val="26"/>
          <w:szCs w:val="26"/>
        </w:rPr>
        <w:t xml:space="preserve"> pour fustiger la Zone f</w:t>
      </w:r>
      <w:r w:rsidR="009159ED" w:rsidRPr="00833484">
        <w:rPr>
          <w:rFonts w:ascii="Times New Roman" w:hAnsi="Times New Roman" w:cs="Times New Roman"/>
          <w:sz w:val="26"/>
          <w:szCs w:val="26"/>
        </w:rPr>
        <w:t>ranc.</w:t>
      </w:r>
    </w:p>
    <w:p w:rsidR="00420A1E" w:rsidRDefault="00420A1E" w:rsidP="00420A1E">
      <w:pPr>
        <w:keepNext/>
        <w:keepLines/>
        <w:suppressAutoHyphens/>
        <w:ind w:firstLine="284"/>
        <w:jc w:val="both"/>
        <w:rPr>
          <w:rFonts w:ascii="Times New Roman" w:hAnsi="Times New Roman" w:cs="Times New Roman"/>
          <w:sz w:val="26"/>
          <w:szCs w:val="26"/>
        </w:rPr>
      </w:pPr>
    </w:p>
    <w:p w:rsidR="00420A1E" w:rsidRDefault="00420A1E" w:rsidP="00420A1E">
      <w:pPr>
        <w:keepNext/>
        <w:keepLines/>
        <w:suppressAutoHyphens/>
        <w:ind w:firstLine="284"/>
        <w:jc w:val="both"/>
        <w:rPr>
          <w:rFonts w:ascii="Times New Roman" w:hAnsi="Times New Roman" w:cs="Times New Roman"/>
          <w:sz w:val="26"/>
          <w:szCs w:val="26"/>
        </w:rPr>
      </w:pPr>
    </w:p>
    <w:p w:rsidR="00420A1E" w:rsidRDefault="00420A1E" w:rsidP="00420A1E">
      <w:pPr>
        <w:keepNext/>
        <w:keepLines/>
        <w:suppressAutoHyphens/>
        <w:ind w:firstLine="284"/>
        <w:jc w:val="both"/>
        <w:rPr>
          <w:rFonts w:ascii="Times New Roman" w:hAnsi="Times New Roman" w:cs="Times New Roman"/>
          <w:sz w:val="26"/>
          <w:szCs w:val="26"/>
        </w:rPr>
      </w:pPr>
    </w:p>
    <w:p w:rsidR="00420A1E" w:rsidRDefault="00420A1E" w:rsidP="00420A1E">
      <w:pPr>
        <w:keepNext/>
        <w:keepLines/>
        <w:suppressAutoHyphens/>
        <w:ind w:firstLine="284"/>
        <w:jc w:val="both"/>
        <w:rPr>
          <w:rFonts w:ascii="Times New Roman" w:hAnsi="Times New Roman" w:cs="Times New Roman"/>
          <w:sz w:val="26"/>
          <w:szCs w:val="26"/>
        </w:rPr>
      </w:pPr>
    </w:p>
    <w:p w:rsidR="00420A1E" w:rsidRDefault="00420A1E" w:rsidP="00420A1E">
      <w:pPr>
        <w:keepNext/>
        <w:keepLines/>
        <w:suppressAutoHyphens/>
        <w:ind w:firstLine="284"/>
        <w:jc w:val="both"/>
        <w:rPr>
          <w:rFonts w:ascii="Times New Roman" w:hAnsi="Times New Roman" w:cs="Times New Roman"/>
          <w:sz w:val="26"/>
          <w:szCs w:val="26"/>
        </w:rPr>
      </w:pPr>
    </w:p>
    <w:p w:rsidR="00420A1E" w:rsidRDefault="00420A1E" w:rsidP="00420A1E">
      <w:pPr>
        <w:keepNext/>
        <w:keepLines/>
        <w:suppressAutoHyphens/>
        <w:ind w:firstLine="284"/>
        <w:jc w:val="both"/>
        <w:rPr>
          <w:rFonts w:ascii="Times New Roman" w:hAnsi="Times New Roman" w:cs="Times New Roman"/>
          <w:sz w:val="26"/>
          <w:szCs w:val="26"/>
        </w:rPr>
      </w:pPr>
    </w:p>
    <w:p w:rsidR="00420A1E" w:rsidRPr="00833484" w:rsidRDefault="00420A1E" w:rsidP="00420A1E">
      <w:pPr>
        <w:keepNext/>
        <w:keepLines/>
        <w:suppressAutoHyphens/>
        <w:ind w:firstLine="284"/>
        <w:jc w:val="both"/>
        <w:rPr>
          <w:rFonts w:ascii="Times New Roman" w:hAnsi="Times New Roman" w:cs="Times New Roman"/>
          <w:sz w:val="26"/>
          <w:szCs w:val="26"/>
        </w:rPr>
      </w:pPr>
    </w:p>
    <w:p w:rsidR="00BC0050" w:rsidRPr="00600C98" w:rsidRDefault="00617141" w:rsidP="00420A1E">
      <w:pPr>
        <w:pStyle w:val="Titre2"/>
        <w:numPr>
          <w:ilvl w:val="0"/>
          <w:numId w:val="10"/>
        </w:numPr>
        <w:suppressAutoHyphens/>
        <w:rPr>
          <w:color w:val="auto"/>
        </w:rPr>
      </w:pPr>
      <w:bookmarkStart w:id="8" w:name="_Toc428947869"/>
      <w:r w:rsidRPr="00600C98">
        <w:rPr>
          <w:color w:val="auto"/>
        </w:rPr>
        <w:lastRenderedPageBreak/>
        <w:t>Au niveau des coûts, on peut</w:t>
      </w:r>
      <w:r w:rsidR="00BC0050" w:rsidRPr="00600C98">
        <w:rPr>
          <w:color w:val="auto"/>
        </w:rPr>
        <w:t> </w:t>
      </w:r>
      <w:r w:rsidRPr="00600C98">
        <w:rPr>
          <w:color w:val="auto"/>
        </w:rPr>
        <w:t>noter :</w:t>
      </w:r>
      <w:bookmarkEnd w:id="8"/>
    </w:p>
    <w:p w:rsidR="000E0C50" w:rsidRPr="00833484" w:rsidRDefault="00160290" w:rsidP="00420A1E">
      <w:pPr>
        <w:pStyle w:val="Paragraphedeliste"/>
        <w:keepNext/>
        <w:keepLines/>
        <w:numPr>
          <w:ilvl w:val="0"/>
          <w:numId w:val="4"/>
        </w:numPr>
        <w:suppressAutoHyphens/>
        <w:jc w:val="both"/>
        <w:rPr>
          <w:rFonts w:ascii="Times New Roman" w:hAnsi="Times New Roman" w:cs="Times New Roman"/>
          <w:sz w:val="26"/>
          <w:szCs w:val="26"/>
        </w:rPr>
      </w:pPr>
      <w:r w:rsidRPr="00833484">
        <w:rPr>
          <w:rFonts w:ascii="Times New Roman" w:hAnsi="Times New Roman" w:cs="Times New Roman"/>
          <w:sz w:val="26"/>
          <w:szCs w:val="26"/>
        </w:rPr>
        <w:t xml:space="preserve">Le </w:t>
      </w:r>
      <w:r w:rsidR="00B7772D" w:rsidRPr="00833484">
        <w:rPr>
          <w:rFonts w:ascii="Times New Roman" w:hAnsi="Times New Roman" w:cs="Times New Roman"/>
          <w:sz w:val="26"/>
          <w:szCs w:val="26"/>
        </w:rPr>
        <w:t xml:space="preserve">coût d’opportunité de croissance et de développement </w:t>
      </w:r>
      <w:r w:rsidR="001526D8" w:rsidRPr="00833484">
        <w:rPr>
          <w:rFonts w:ascii="Times New Roman" w:hAnsi="Times New Roman" w:cs="Times New Roman"/>
          <w:sz w:val="26"/>
          <w:szCs w:val="26"/>
        </w:rPr>
        <w:t xml:space="preserve">pour nos Etats </w:t>
      </w:r>
      <w:r w:rsidRPr="00833484">
        <w:rPr>
          <w:rFonts w:ascii="Times New Roman" w:hAnsi="Times New Roman" w:cs="Times New Roman"/>
          <w:sz w:val="26"/>
          <w:szCs w:val="26"/>
        </w:rPr>
        <w:t xml:space="preserve">quant </w:t>
      </w:r>
      <w:r w:rsidR="003C37B5" w:rsidRPr="00833484">
        <w:rPr>
          <w:rFonts w:ascii="Times New Roman" w:hAnsi="Times New Roman" w:cs="Times New Roman"/>
          <w:sz w:val="26"/>
          <w:szCs w:val="26"/>
        </w:rPr>
        <w:t>à la non utilisation des</w:t>
      </w:r>
      <w:r w:rsidR="00B7772D" w:rsidRPr="00833484">
        <w:rPr>
          <w:rFonts w:ascii="Times New Roman" w:hAnsi="Times New Roman" w:cs="Times New Roman"/>
          <w:sz w:val="26"/>
          <w:szCs w:val="26"/>
        </w:rPr>
        <w:t xml:space="preserve"> 50% de réserves de change </w:t>
      </w:r>
      <w:r w:rsidR="001526D8" w:rsidRPr="00833484">
        <w:rPr>
          <w:rFonts w:ascii="Times New Roman" w:hAnsi="Times New Roman" w:cs="Times New Roman"/>
          <w:sz w:val="26"/>
          <w:szCs w:val="26"/>
        </w:rPr>
        <w:t xml:space="preserve">bloqués et rémunérés </w:t>
      </w:r>
      <w:r w:rsidR="00B7772D" w:rsidRPr="00833484">
        <w:rPr>
          <w:rFonts w:ascii="Times New Roman" w:hAnsi="Times New Roman" w:cs="Times New Roman"/>
          <w:sz w:val="26"/>
          <w:szCs w:val="26"/>
        </w:rPr>
        <w:t>au niveau du Trésor français en contrepartie de la garantie de la convertibilité illimitée</w:t>
      </w:r>
      <w:r w:rsidR="001526D8" w:rsidRPr="00833484">
        <w:rPr>
          <w:rFonts w:ascii="Times New Roman" w:hAnsi="Times New Roman" w:cs="Times New Roman"/>
          <w:sz w:val="26"/>
          <w:szCs w:val="26"/>
        </w:rPr>
        <w:t xml:space="preserve"> offerte par la </w:t>
      </w:r>
      <w:r w:rsidR="00875838" w:rsidRPr="00833484">
        <w:rPr>
          <w:rFonts w:ascii="Times New Roman" w:hAnsi="Times New Roman" w:cs="Times New Roman"/>
          <w:sz w:val="26"/>
          <w:szCs w:val="26"/>
        </w:rPr>
        <w:t>France</w:t>
      </w:r>
      <w:r w:rsidR="003367BB" w:rsidRPr="00833484">
        <w:rPr>
          <w:rFonts w:ascii="Times New Roman" w:hAnsi="Times New Roman" w:cs="Times New Roman"/>
          <w:sz w:val="26"/>
          <w:szCs w:val="26"/>
        </w:rPr>
        <w:t xml:space="preserve">. C’est une </w:t>
      </w:r>
      <w:r w:rsidR="00875838" w:rsidRPr="00833484">
        <w:rPr>
          <w:rFonts w:ascii="Times New Roman" w:hAnsi="Times New Roman" w:cs="Times New Roman"/>
          <w:sz w:val="26"/>
          <w:szCs w:val="26"/>
        </w:rPr>
        <w:t>immobilisation de ressources</w:t>
      </w:r>
      <w:r w:rsidR="004A587A" w:rsidRPr="00833484">
        <w:rPr>
          <w:rFonts w:ascii="Times New Roman" w:hAnsi="Times New Roman" w:cs="Times New Roman"/>
          <w:sz w:val="26"/>
          <w:szCs w:val="26"/>
        </w:rPr>
        <w:t xml:space="preserve"> qui auraient pu servir au financement des grands structurants de développement en l’occurrence les infrastructures</w:t>
      </w:r>
      <w:r w:rsidR="00B7772D" w:rsidRPr="00833484">
        <w:rPr>
          <w:rFonts w:ascii="Times New Roman" w:hAnsi="Times New Roman" w:cs="Times New Roman"/>
          <w:sz w:val="26"/>
          <w:szCs w:val="26"/>
        </w:rPr>
        <w:t>.</w:t>
      </w:r>
      <w:r w:rsidR="009E7369" w:rsidRPr="00833484">
        <w:rPr>
          <w:rFonts w:ascii="Times New Roman" w:hAnsi="Times New Roman" w:cs="Times New Roman"/>
          <w:sz w:val="26"/>
          <w:szCs w:val="26"/>
        </w:rPr>
        <w:t xml:space="preserve"> </w:t>
      </w:r>
      <w:r w:rsidR="001D3124" w:rsidRPr="00833484">
        <w:rPr>
          <w:rFonts w:ascii="Times New Roman" w:hAnsi="Times New Roman" w:cs="Times New Roman"/>
          <w:sz w:val="26"/>
          <w:szCs w:val="26"/>
        </w:rPr>
        <w:t>La masse d’argent</w:t>
      </w:r>
      <w:r w:rsidR="009E7369" w:rsidRPr="00833484">
        <w:rPr>
          <w:rFonts w:ascii="Times New Roman" w:hAnsi="Times New Roman" w:cs="Times New Roman"/>
          <w:sz w:val="26"/>
          <w:szCs w:val="26"/>
        </w:rPr>
        <w:t xml:space="preserve"> en jeu </w:t>
      </w:r>
      <w:r w:rsidR="001D3124" w:rsidRPr="00833484">
        <w:rPr>
          <w:rFonts w:ascii="Times New Roman" w:hAnsi="Times New Roman" w:cs="Times New Roman"/>
          <w:sz w:val="26"/>
          <w:szCs w:val="26"/>
        </w:rPr>
        <w:t>avoisinent les</w:t>
      </w:r>
      <w:r w:rsidR="009E7369" w:rsidRPr="00833484">
        <w:rPr>
          <w:rFonts w:ascii="Times New Roman" w:hAnsi="Times New Roman" w:cs="Times New Roman"/>
          <w:sz w:val="26"/>
          <w:szCs w:val="26"/>
        </w:rPr>
        <w:t xml:space="preserve"> 1</w:t>
      </w:r>
      <w:r w:rsidR="00084DDC" w:rsidRPr="00833484">
        <w:rPr>
          <w:rFonts w:ascii="Times New Roman" w:hAnsi="Times New Roman" w:cs="Times New Roman"/>
          <w:sz w:val="26"/>
          <w:szCs w:val="26"/>
        </w:rPr>
        <w:t>1</w:t>
      </w:r>
      <w:r w:rsidR="009E7369" w:rsidRPr="00833484">
        <w:rPr>
          <w:rFonts w:ascii="Times New Roman" w:hAnsi="Times New Roman" w:cs="Times New Roman"/>
          <w:sz w:val="26"/>
          <w:szCs w:val="26"/>
        </w:rPr>
        <w:t xml:space="preserve"> milliards d’euros pou</w:t>
      </w:r>
      <w:r w:rsidR="001D3124" w:rsidRPr="00833484">
        <w:rPr>
          <w:rFonts w:ascii="Times New Roman" w:hAnsi="Times New Roman" w:cs="Times New Roman"/>
          <w:sz w:val="26"/>
          <w:szCs w:val="26"/>
        </w:rPr>
        <w:t xml:space="preserve">r les deux banques centrales </w:t>
      </w:r>
      <w:r w:rsidR="000B7E0E" w:rsidRPr="00833484">
        <w:rPr>
          <w:rFonts w:ascii="Times New Roman" w:hAnsi="Times New Roman" w:cs="Times New Roman"/>
          <w:sz w:val="26"/>
          <w:szCs w:val="26"/>
        </w:rPr>
        <w:t>au 31 décembre 201</w:t>
      </w:r>
      <w:r w:rsidR="00084DDC" w:rsidRPr="00833484">
        <w:rPr>
          <w:rFonts w:ascii="Times New Roman" w:hAnsi="Times New Roman" w:cs="Times New Roman"/>
          <w:sz w:val="26"/>
          <w:szCs w:val="26"/>
        </w:rPr>
        <w:t>4</w:t>
      </w:r>
      <w:r w:rsidR="009E7369" w:rsidRPr="00833484">
        <w:rPr>
          <w:rFonts w:ascii="Times New Roman" w:hAnsi="Times New Roman" w:cs="Times New Roman"/>
          <w:sz w:val="26"/>
          <w:szCs w:val="26"/>
        </w:rPr>
        <w:t xml:space="preserve">. </w:t>
      </w:r>
      <w:r w:rsidR="00084DDC" w:rsidRPr="00833484">
        <w:rPr>
          <w:rFonts w:ascii="Times New Roman" w:hAnsi="Times New Roman" w:cs="Times New Roman"/>
          <w:sz w:val="26"/>
          <w:szCs w:val="26"/>
        </w:rPr>
        <w:t>Par contre</w:t>
      </w:r>
      <w:r w:rsidR="0033162B" w:rsidRPr="00833484">
        <w:rPr>
          <w:rFonts w:ascii="Times New Roman" w:hAnsi="Times New Roman" w:cs="Times New Roman"/>
          <w:sz w:val="26"/>
          <w:szCs w:val="26"/>
        </w:rPr>
        <w:t>, p</w:t>
      </w:r>
      <w:r w:rsidR="00FC126E" w:rsidRPr="00833484">
        <w:rPr>
          <w:rFonts w:ascii="Times New Roman" w:hAnsi="Times New Roman" w:cs="Times New Roman"/>
          <w:sz w:val="26"/>
          <w:szCs w:val="26"/>
        </w:rPr>
        <w:t xml:space="preserve">our </w:t>
      </w:r>
      <w:r w:rsidR="00C310B8" w:rsidRPr="00833484">
        <w:rPr>
          <w:rFonts w:ascii="Times New Roman" w:hAnsi="Times New Roman" w:cs="Times New Roman"/>
          <w:sz w:val="26"/>
          <w:szCs w:val="26"/>
        </w:rPr>
        <w:t>vous donner un o</w:t>
      </w:r>
      <w:r w:rsidR="00FC126E" w:rsidRPr="00833484">
        <w:rPr>
          <w:rFonts w:ascii="Times New Roman" w:hAnsi="Times New Roman" w:cs="Times New Roman"/>
          <w:sz w:val="26"/>
          <w:szCs w:val="26"/>
        </w:rPr>
        <w:t xml:space="preserve">rdre de grandeur, cette somme correspond au résultat d’une </w:t>
      </w:r>
      <w:r w:rsidR="00693A9D" w:rsidRPr="00833484">
        <w:rPr>
          <w:rFonts w:ascii="Times New Roman" w:hAnsi="Times New Roman" w:cs="Times New Roman"/>
          <w:sz w:val="26"/>
          <w:szCs w:val="26"/>
        </w:rPr>
        <w:t>grande société française (Total, et</w:t>
      </w:r>
      <w:r w:rsidR="00FC126E" w:rsidRPr="00833484">
        <w:rPr>
          <w:rFonts w:ascii="Times New Roman" w:hAnsi="Times New Roman" w:cs="Times New Roman"/>
          <w:sz w:val="26"/>
          <w:szCs w:val="26"/>
        </w:rPr>
        <w:t xml:space="preserve"> BNP Paris par exemple)</w:t>
      </w:r>
      <w:r w:rsidR="00C310B8" w:rsidRPr="00833484">
        <w:rPr>
          <w:rFonts w:ascii="Times New Roman" w:hAnsi="Times New Roman" w:cs="Times New Roman"/>
          <w:sz w:val="26"/>
          <w:szCs w:val="26"/>
        </w:rPr>
        <w:t xml:space="preserve"> pendant un exercice (généralement une année)</w:t>
      </w:r>
      <w:r w:rsidR="00084DDC" w:rsidRPr="00833484">
        <w:rPr>
          <w:rFonts w:ascii="Times New Roman" w:hAnsi="Times New Roman" w:cs="Times New Roman"/>
          <w:sz w:val="26"/>
          <w:szCs w:val="26"/>
        </w:rPr>
        <w:t> !</w:t>
      </w:r>
    </w:p>
    <w:p w:rsidR="00785782" w:rsidRPr="00833484" w:rsidRDefault="00785782" w:rsidP="00420A1E">
      <w:pPr>
        <w:pStyle w:val="Paragraphedeliste"/>
        <w:keepNext/>
        <w:keepLines/>
        <w:numPr>
          <w:ilvl w:val="0"/>
          <w:numId w:val="4"/>
        </w:numPr>
        <w:suppressAutoHyphens/>
        <w:jc w:val="both"/>
        <w:rPr>
          <w:rFonts w:ascii="Times New Roman" w:hAnsi="Times New Roman" w:cs="Times New Roman"/>
          <w:sz w:val="26"/>
          <w:szCs w:val="26"/>
        </w:rPr>
      </w:pPr>
      <w:r w:rsidRPr="00833484">
        <w:rPr>
          <w:rFonts w:ascii="Times New Roman" w:hAnsi="Times New Roman" w:cs="Times New Roman"/>
          <w:sz w:val="26"/>
          <w:szCs w:val="26"/>
        </w:rPr>
        <w:t>Le Trésor français tire profit des ressources de nos comptes d’opération pour résoudre ces décalages de trésorerie (collecte des impôts et réalisation des dépenses).</w:t>
      </w:r>
    </w:p>
    <w:p w:rsidR="00FB31D5" w:rsidRPr="00833484" w:rsidRDefault="00FB31D5" w:rsidP="00420A1E">
      <w:pPr>
        <w:pStyle w:val="Paragraphedeliste"/>
        <w:keepNext/>
        <w:keepLines/>
        <w:numPr>
          <w:ilvl w:val="0"/>
          <w:numId w:val="4"/>
        </w:numPr>
        <w:suppressAutoHyphens/>
        <w:jc w:val="both"/>
        <w:rPr>
          <w:rFonts w:ascii="Times New Roman" w:hAnsi="Times New Roman" w:cs="Times New Roman"/>
          <w:sz w:val="26"/>
          <w:szCs w:val="26"/>
        </w:rPr>
      </w:pPr>
      <w:r w:rsidRPr="00833484">
        <w:rPr>
          <w:rFonts w:ascii="Times New Roman" w:hAnsi="Times New Roman" w:cs="Times New Roman"/>
          <w:sz w:val="26"/>
          <w:szCs w:val="26"/>
        </w:rPr>
        <w:t>Le Trésor français place également ces ressources sur le marché monétaire et engrange les ressources issues de ces placements</w:t>
      </w:r>
      <w:r w:rsidR="00183111" w:rsidRPr="00833484">
        <w:rPr>
          <w:rFonts w:ascii="Times New Roman" w:hAnsi="Times New Roman" w:cs="Times New Roman"/>
          <w:sz w:val="26"/>
          <w:szCs w:val="26"/>
        </w:rPr>
        <w:t xml:space="preserve"> à travers le différentiel de taux (taux de placement de nos ressources en faveur du Trésor français moins le taux de rémunération de nos ressources en faveur des banques centrales).</w:t>
      </w:r>
    </w:p>
    <w:p w:rsidR="00D639B9" w:rsidRPr="00833484" w:rsidRDefault="00D639B9" w:rsidP="00420A1E">
      <w:pPr>
        <w:pStyle w:val="Paragraphedeliste"/>
        <w:keepNext/>
        <w:keepLines/>
        <w:numPr>
          <w:ilvl w:val="0"/>
          <w:numId w:val="4"/>
        </w:numPr>
        <w:suppressAutoHyphens/>
        <w:jc w:val="both"/>
        <w:rPr>
          <w:rFonts w:ascii="Times New Roman" w:hAnsi="Times New Roman" w:cs="Times New Roman"/>
          <w:sz w:val="26"/>
          <w:szCs w:val="26"/>
        </w:rPr>
      </w:pPr>
      <w:r w:rsidRPr="00833484">
        <w:rPr>
          <w:rFonts w:ascii="Times New Roman" w:hAnsi="Times New Roman" w:cs="Times New Roman"/>
          <w:sz w:val="26"/>
          <w:szCs w:val="26"/>
        </w:rPr>
        <w:t xml:space="preserve">Le compte d’opérations favorise la fuite des capitaux, la surévaluation du taux de change, ce qui pénalise in fine la compétitivité de nos économies comme évoqué ci-dessus. </w:t>
      </w:r>
    </w:p>
    <w:p w:rsidR="00A1157C" w:rsidRPr="00833484" w:rsidRDefault="00E41953" w:rsidP="00420A1E">
      <w:pPr>
        <w:pStyle w:val="Paragraphedeliste"/>
        <w:keepNext/>
        <w:keepLines/>
        <w:numPr>
          <w:ilvl w:val="0"/>
          <w:numId w:val="4"/>
        </w:numPr>
        <w:suppressAutoHyphens/>
        <w:jc w:val="both"/>
        <w:rPr>
          <w:rFonts w:ascii="Times New Roman" w:hAnsi="Times New Roman" w:cs="Times New Roman"/>
          <w:sz w:val="26"/>
          <w:szCs w:val="26"/>
        </w:rPr>
      </w:pPr>
      <w:r w:rsidRPr="00833484">
        <w:rPr>
          <w:rFonts w:ascii="Times New Roman" w:hAnsi="Times New Roman" w:cs="Times New Roman"/>
          <w:sz w:val="26"/>
          <w:szCs w:val="26"/>
        </w:rPr>
        <w:t>E</w:t>
      </w:r>
      <w:r w:rsidR="00256EFD" w:rsidRPr="00833484">
        <w:rPr>
          <w:rFonts w:ascii="Times New Roman" w:hAnsi="Times New Roman" w:cs="Times New Roman"/>
          <w:sz w:val="26"/>
          <w:szCs w:val="26"/>
        </w:rPr>
        <w:t>st égale</w:t>
      </w:r>
      <w:r w:rsidRPr="00833484">
        <w:rPr>
          <w:rFonts w:ascii="Times New Roman" w:hAnsi="Times New Roman" w:cs="Times New Roman"/>
          <w:sz w:val="26"/>
          <w:szCs w:val="26"/>
        </w:rPr>
        <w:t>ment évoqué dans une certaine mesure non les moindres</w:t>
      </w:r>
      <w:r w:rsidR="00256EFD" w:rsidRPr="00833484">
        <w:rPr>
          <w:rFonts w:ascii="Times New Roman" w:hAnsi="Times New Roman" w:cs="Times New Roman"/>
          <w:sz w:val="26"/>
          <w:szCs w:val="26"/>
        </w:rPr>
        <w:t>, l</w:t>
      </w:r>
      <w:r w:rsidR="00B7772D" w:rsidRPr="00833484">
        <w:rPr>
          <w:rFonts w:ascii="Times New Roman" w:hAnsi="Times New Roman" w:cs="Times New Roman"/>
          <w:sz w:val="26"/>
          <w:szCs w:val="26"/>
        </w:rPr>
        <w:t>’influence politique et économique de la France à travers ce partenariat monétaire</w:t>
      </w:r>
      <w:r w:rsidR="00036601" w:rsidRPr="00833484">
        <w:rPr>
          <w:rFonts w:ascii="Times New Roman" w:hAnsi="Times New Roman" w:cs="Times New Roman"/>
          <w:sz w:val="26"/>
          <w:szCs w:val="26"/>
        </w:rPr>
        <w:t>. Cependant</w:t>
      </w:r>
      <w:r w:rsidR="00C00C49" w:rsidRPr="00833484">
        <w:rPr>
          <w:rFonts w:ascii="Times New Roman" w:hAnsi="Times New Roman" w:cs="Times New Roman"/>
          <w:sz w:val="26"/>
          <w:szCs w:val="26"/>
        </w:rPr>
        <w:t>,</w:t>
      </w:r>
      <w:r w:rsidR="00036601" w:rsidRPr="00833484">
        <w:rPr>
          <w:rFonts w:ascii="Times New Roman" w:hAnsi="Times New Roman" w:cs="Times New Roman"/>
          <w:sz w:val="26"/>
          <w:szCs w:val="26"/>
        </w:rPr>
        <w:t xml:space="preserve"> quid des accords de coopération militaire que le Mali a récemment signé</w:t>
      </w:r>
      <w:r w:rsidR="00C00C49" w:rsidRPr="00833484">
        <w:rPr>
          <w:rFonts w:ascii="Times New Roman" w:hAnsi="Times New Roman" w:cs="Times New Roman"/>
          <w:sz w:val="26"/>
          <w:szCs w:val="26"/>
        </w:rPr>
        <w:t>s</w:t>
      </w:r>
      <w:r w:rsidR="00036601" w:rsidRPr="00833484">
        <w:rPr>
          <w:rFonts w:ascii="Times New Roman" w:hAnsi="Times New Roman" w:cs="Times New Roman"/>
          <w:sz w:val="26"/>
          <w:szCs w:val="26"/>
        </w:rPr>
        <w:t xml:space="preserve"> avec la </w:t>
      </w:r>
      <w:r w:rsidR="004C3930" w:rsidRPr="00833484">
        <w:rPr>
          <w:rFonts w:ascii="Times New Roman" w:hAnsi="Times New Roman" w:cs="Times New Roman"/>
          <w:sz w:val="26"/>
          <w:szCs w:val="26"/>
        </w:rPr>
        <w:t xml:space="preserve">France - le 16 juillet 2014 </w:t>
      </w:r>
      <w:r w:rsidR="00866571" w:rsidRPr="00833484">
        <w:rPr>
          <w:rFonts w:ascii="Times New Roman" w:hAnsi="Times New Roman" w:cs="Times New Roman"/>
          <w:sz w:val="26"/>
          <w:szCs w:val="26"/>
        </w:rPr>
        <w:t xml:space="preserve">de surcroît </w:t>
      </w:r>
      <w:r w:rsidR="004C3930" w:rsidRPr="00833484">
        <w:rPr>
          <w:rFonts w:ascii="Times New Roman" w:hAnsi="Times New Roman" w:cs="Times New Roman"/>
          <w:sz w:val="26"/>
          <w:szCs w:val="26"/>
        </w:rPr>
        <w:t>sous le Gouvernement Moussa MARA</w:t>
      </w:r>
      <w:r w:rsidR="00036601" w:rsidRPr="00833484">
        <w:rPr>
          <w:rFonts w:ascii="Times New Roman" w:hAnsi="Times New Roman" w:cs="Times New Roman"/>
          <w:sz w:val="26"/>
          <w:szCs w:val="26"/>
        </w:rPr>
        <w:t xml:space="preserve"> </w:t>
      </w:r>
      <w:r w:rsidR="004C3930" w:rsidRPr="00833484">
        <w:rPr>
          <w:rFonts w:ascii="Times New Roman" w:hAnsi="Times New Roman" w:cs="Times New Roman"/>
          <w:sz w:val="26"/>
          <w:szCs w:val="26"/>
        </w:rPr>
        <w:t xml:space="preserve">- </w:t>
      </w:r>
      <w:r w:rsidR="00036601" w:rsidRPr="00833484">
        <w:rPr>
          <w:rFonts w:ascii="Times New Roman" w:hAnsi="Times New Roman" w:cs="Times New Roman"/>
          <w:sz w:val="26"/>
          <w:szCs w:val="26"/>
        </w:rPr>
        <w:t>et bien d’autres pays (Tchad, Côte d’ivoire, etc.)</w:t>
      </w:r>
      <w:r w:rsidR="00F84F78" w:rsidRPr="00833484">
        <w:rPr>
          <w:rFonts w:ascii="Times New Roman" w:hAnsi="Times New Roman" w:cs="Times New Roman"/>
          <w:sz w:val="26"/>
          <w:szCs w:val="26"/>
        </w:rPr>
        <w:t xml:space="preserve"> si le problème est fondamentalement lié à la quête d’une identité monétaire</w:t>
      </w:r>
      <w:r w:rsidR="00036601" w:rsidRPr="00833484">
        <w:rPr>
          <w:rFonts w:ascii="Times New Roman" w:hAnsi="Times New Roman" w:cs="Times New Roman"/>
          <w:sz w:val="26"/>
          <w:szCs w:val="26"/>
        </w:rPr>
        <w:t>.</w:t>
      </w:r>
      <w:r w:rsidR="00AD55F6" w:rsidRPr="00833484">
        <w:rPr>
          <w:rFonts w:ascii="Times New Roman" w:hAnsi="Times New Roman" w:cs="Times New Roman"/>
          <w:sz w:val="26"/>
          <w:szCs w:val="26"/>
        </w:rPr>
        <w:t xml:space="preserve"> A cet égard, le Mali n’est-il pas prêt d’abandonner une partie de sa so</w:t>
      </w:r>
      <w:r w:rsidR="00822D1E" w:rsidRPr="00833484">
        <w:rPr>
          <w:rFonts w:ascii="Times New Roman" w:hAnsi="Times New Roman" w:cs="Times New Roman"/>
          <w:sz w:val="26"/>
          <w:szCs w:val="26"/>
        </w:rPr>
        <w:t>uveraineté au profit de l’unité a</w:t>
      </w:r>
      <w:r w:rsidR="00AD55F6" w:rsidRPr="00833484">
        <w:rPr>
          <w:rFonts w:ascii="Times New Roman" w:hAnsi="Times New Roman" w:cs="Times New Roman"/>
          <w:sz w:val="26"/>
          <w:szCs w:val="26"/>
        </w:rPr>
        <w:t xml:space="preserve">fricaine comme le stipule notre Constitution de 92. </w:t>
      </w:r>
      <w:r w:rsidR="001A5BCB" w:rsidRPr="00833484">
        <w:rPr>
          <w:rFonts w:ascii="Times New Roman" w:hAnsi="Times New Roman" w:cs="Times New Roman"/>
          <w:sz w:val="26"/>
          <w:szCs w:val="26"/>
        </w:rPr>
        <w:t>Dans ce registre</w:t>
      </w:r>
      <w:r w:rsidR="00AD55F6" w:rsidRPr="00833484">
        <w:rPr>
          <w:rFonts w:ascii="Times New Roman" w:hAnsi="Times New Roman" w:cs="Times New Roman"/>
          <w:sz w:val="26"/>
          <w:szCs w:val="26"/>
        </w:rPr>
        <w:t>, l’article 117 de notre Loi Fondamentale dispose </w:t>
      </w:r>
      <w:r w:rsidR="00AD55F6" w:rsidRPr="00833484">
        <w:rPr>
          <w:rFonts w:ascii="Times New Roman" w:hAnsi="Times New Roman" w:cs="Times New Roman"/>
          <w:i/>
          <w:sz w:val="26"/>
          <w:szCs w:val="26"/>
        </w:rPr>
        <w:t>« La République du Mali peut conclure avec tout Etat africain des accords d'association ou de communauté comprenant abandon partiel ou total de souveraineté en vue de réaliser l'unité africaine ».</w:t>
      </w:r>
    </w:p>
    <w:p w:rsidR="00614C2C" w:rsidRPr="00833484" w:rsidRDefault="00614C2C" w:rsidP="00420A1E">
      <w:pPr>
        <w:pStyle w:val="Paragraphedeliste"/>
        <w:keepNext/>
        <w:keepLines/>
        <w:suppressAutoHyphens/>
        <w:ind w:left="644"/>
        <w:jc w:val="both"/>
        <w:rPr>
          <w:rFonts w:ascii="Times New Roman" w:hAnsi="Times New Roman" w:cs="Times New Roman"/>
          <w:sz w:val="26"/>
          <w:szCs w:val="26"/>
        </w:rPr>
      </w:pPr>
    </w:p>
    <w:p w:rsidR="001C5D37" w:rsidRDefault="00723D78"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sz w:val="26"/>
          <w:szCs w:val="26"/>
        </w:rPr>
        <w:t>A cela, il</w:t>
      </w:r>
      <w:r w:rsidR="00A1157C" w:rsidRPr="00833484">
        <w:rPr>
          <w:rFonts w:ascii="Times New Roman" w:hAnsi="Times New Roman" w:cs="Times New Roman"/>
          <w:sz w:val="26"/>
          <w:szCs w:val="26"/>
        </w:rPr>
        <w:t xml:space="preserve"> faut </w:t>
      </w:r>
      <w:r w:rsidRPr="00833484">
        <w:rPr>
          <w:rFonts w:ascii="Times New Roman" w:hAnsi="Times New Roman" w:cs="Times New Roman"/>
          <w:sz w:val="26"/>
          <w:szCs w:val="26"/>
        </w:rPr>
        <w:t>ajouter</w:t>
      </w:r>
      <w:r w:rsidR="00A1157C" w:rsidRPr="00833484">
        <w:rPr>
          <w:rFonts w:ascii="Times New Roman" w:hAnsi="Times New Roman" w:cs="Times New Roman"/>
          <w:sz w:val="26"/>
          <w:szCs w:val="26"/>
        </w:rPr>
        <w:t xml:space="preserve"> que certaines c</w:t>
      </w:r>
      <w:r w:rsidR="001C5D37" w:rsidRPr="00833484">
        <w:rPr>
          <w:rFonts w:ascii="Times New Roman" w:hAnsi="Times New Roman" w:cs="Times New Roman"/>
          <w:sz w:val="26"/>
          <w:szCs w:val="26"/>
        </w:rPr>
        <w:t xml:space="preserve">ritiques </w:t>
      </w:r>
      <w:r w:rsidR="00F52B1D" w:rsidRPr="00833484">
        <w:rPr>
          <w:rFonts w:ascii="Times New Roman" w:hAnsi="Times New Roman" w:cs="Times New Roman"/>
          <w:sz w:val="26"/>
          <w:szCs w:val="26"/>
        </w:rPr>
        <w:t xml:space="preserve">acerbes </w:t>
      </w:r>
      <w:r w:rsidR="00A1157C" w:rsidRPr="00833484">
        <w:rPr>
          <w:rFonts w:ascii="Times New Roman" w:hAnsi="Times New Roman" w:cs="Times New Roman"/>
          <w:sz w:val="26"/>
          <w:szCs w:val="26"/>
        </w:rPr>
        <w:t xml:space="preserve">sont </w:t>
      </w:r>
      <w:r w:rsidR="001C5D37" w:rsidRPr="00833484">
        <w:rPr>
          <w:rFonts w:ascii="Times New Roman" w:hAnsi="Times New Roman" w:cs="Times New Roman"/>
          <w:sz w:val="26"/>
          <w:szCs w:val="26"/>
        </w:rPr>
        <w:t>souvent</w:t>
      </w:r>
      <w:r w:rsidRPr="00833484">
        <w:rPr>
          <w:rFonts w:ascii="Times New Roman" w:hAnsi="Times New Roman" w:cs="Times New Roman"/>
          <w:sz w:val="26"/>
          <w:szCs w:val="26"/>
        </w:rPr>
        <w:t xml:space="preserve"> </w:t>
      </w:r>
      <w:r w:rsidR="001C5D37" w:rsidRPr="00833484">
        <w:rPr>
          <w:rFonts w:ascii="Times New Roman" w:hAnsi="Times New Roman" w:cs="Times New Roman"/>
          <w:sz w:val="26"/>
          <w:szCs w:val="26"/>
        </w:rPr>
        <w:t>liées à des sentiments de nationalisme</w:t>
      </w:r>
      <w:r w:rsidR="00F945AA" w:rsidRPr="00833484">
        <w:rPr>
          <w:rFonts w:ascii="Times New Roman" w:hAnsi="Times New Roman" w:cs="Times New Roman"/>
          <w:sz w:val="26"/>
          <w:szCs w:val="26"/>
        </w:rPr>
        <w:t xml:space="preserve"> au Mali et dans les autres pays membres de l’UEMOA</w:t>
      </w:r>
      <w:r w:rsidR="001C5D37" w:rsidRPr="00833484">
        <w:rPr>
          <w:rFonts w:ascii="Times New Roman" w:hAnsi="Times New Roman" w:cs="Times New Roman"/>
          <w:sz w:val="26"/>
          <w:szCs w:val="26"/>
        </w:rPr>
        <w:t>.</w:t>
      </w:r>
    </w:p>
    <w:p w:rsidR="00420A1E" w:rsidRDefault="00420A1E" w:rsidP="00420A1E">
      <w:pPr>
        <w:keepNext/>
        <w:keepLines/>
        <w:suppressAutoHyphens/>
        <w:ind w:firstLine="284"/>
        <w:jc w:val="both"/>
        <w:rPr>
          <w:rFonts w:ascii="Times New Roman" w:hAnsi="Times New Roman" w:cs="Times New Roman"/>
          <w:sz w:val="26"/>
          <w:szCs w:val="26"/>
        </w:rPr>
      </w:pPr>
    </w:p>
    <w:p w:rsidR="00420A1E" w:rsidRDefault="00420A1E" w:rsidP="00420A1E">
      <w:pPr>
        <w:keepNext/>
        <w:keepLines/>
        <w:suppressAutoHyphens/>
        <w:ind w:firstLine="284"/>
        <w:jc w:val="both"/>
        <w:rPr>
          <w:rFonts w:ascii="Times New Roman" w:hAnsi="Times New Roman" w:cs="Times New Roman"/>
          <w:sz w:val="26"/>
          <w:szCs w:val="26"/>
        </w:rPr>
      </w:pPr>
    </w:p>
    <w:p w:rsidR="00420A1E" w:rsidRPr="00833484" w:rsidRDefault="00420A1E" w:rsidP="00420A1E">
      <w:pPr>
        <w:keepNext/>
        <w:keepLines/>
        <w:suppressAutoHyphens/>
        <w:ind w:firstLine="284"/>
        <w:jc w:val="both"/>
        <w:rPr>
          <w:rFonts w:ascii="Times New Roman" w:hAnsi="Times New Roman" w:cs="Times New Roman"/>
          <w:sz w:val="26"/>
          <w:szCs w:val="26"/>
        </w:rPr>
      </w:pPr>
    </w:p>
    <w:p w:rsidR="005351E2" w:rsidRPr="005351E2" w:rsidRDefault="005351E2" w:rsidP="00420A1E">
      <w:pPr>
        <w:pStyle w:val="Titre1"/>
        <w:keepNext/>
        <w:keepLines/>
        <w:numPr>
          <w:ilvl w:val="0"/>
          <w:numId w:val="5"/>
        </w:numPr>
        <w:suppressAutoHyphens/>
        <w:rPr>
          <w:sz w:val="32"/>
        </w:rPr>
      </w:pPr>
      <w:bookmarkStart w:id="9" w:name="_Toc428947870"/>
      <w:r>
        <w:rPr>
          <w:sz w:val="32"/>
        </w:rPr>
        <w:t>Cas du Mali</w:t>
      </w:r>
      <w:r w:rsidRPr="005351E2">
        <w:rPr>
          <w:sz w:val="32"/>
        </w:rPr>
        <w:t> :</w:t>
      </w:r>
      <w:bookmarkEnd w:id="9"/>
    </w:p>
    <w:p w:rsidR="00B7772D" w:rsidRPr="00833484" w:rsidRDefault="00A1157C" w:rsidP="00420A1E">
      <w:pPr>
        <w:keepNext/>
        <w:keepLines/>
        <w:tabs>
          <w:tab w:val="left" w:pos="5400"/>
        </w:tabs>
        <w:suppressAutoHyphens/>
        <w:ind w:firstLine="284"/>
        <w:jc w:val="both"/>
        <w:rPr>
          <w:rFonts w:ascii="Times New Roman" w:hAnsi="Times New Roman" w:cs="Times New Roman"/>
          <w:b/>
          <w:sz w:val="26"/>
          <w:szCs w:val="26"/>
        </w:rPr>
      </w:pPr>
      <w:r w:rsidRPr="00833484">
        <w:rPr>
          <w:rFonts w:ascii="Times New Roman" w:hAnsi="Times New Roman" w:cs="Times New Roman"/>
          <w:b/>
          <w:sz w:val="26"/>
          <w:szCs w:val="26"/>
        </w:rPr>
        <w:t xml:space="preserve">Quid de </w:t>
      </w:r>
      <w:r w:rsidR="00201238" w:rsidRPr="00833484">
        <w:rPr>
          <w:rFonts w:ascii="Times New Roman" w:hAnsi="Times New Roman" w:cs="Times New Roman"/>
          <w:b/>
          <w:sz w:val="26"/>
          <w:szCs w:val="26"/>
        </w:rPr>
        <w:t xml:space="preserve">l’histoire monétaire </w:t>
      </w:r>
      <w:r w:rsidR="003C0A98" w:rsidRPr="00833484">
        <w:rPr>
          <w:rFonts w:ascii="Times New Roman" w:hAnsi="Times New Roman" w:cs="Times New Roman"/>
          <w:b/>
          <w:sz w:val="26"/>
          <w:szCs w:val="26"/>
        </w:rPr>
        <w:t xml:space="preserve">du </w:t>
      </w:r>
      <w:r w:rsidR="008D7733" w:rsidRPr="00833484">
        <w:rPr>
          <w:rFonts w:ascii="Times New Roman" w:hAnsi="Times New Roman" w:cs="Times New Roman"/>
          <w:b/>
          <w:sz w:val="26"/>
          <w:szCs w:val="26"/>
        </w:rPr>
        <w:t>Mali</w:t>
      </w:r>
      <w:r w:rsidRPr="00833484">
        <w:rPr>
          <w:rFonts w:ascii="Times New Roman" w:hAnsi="Times New Roman" w:cs="Times New Roman"/>
          <w:b/>
          <w:sz w:val="26"/>
          <w:szCs w:val="26"/>
        </w:rPr>
        <w:t> ?</w:t>
      </w:r>
      <w:r w:rsidR="003F26C5" w:rsidRPr="00833484">
        <w:rPr>
          <w:rFonts w:ascii="Times New Roman" w:hAnsi="Times New Roman" w:cs="Times New Roman"/>
          <w:b/>
          <w:sz w:val="26"/>
          <w:szCs w:val="26"/>
        </w:rPr>
        <w:tab/>
      </w:r>
    </w:p>
    <w:p w:rsidR="00C237C8" w:rsidRPr="00833484" w:rsidRDefault="00C63C18"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sz w:val="26"/>
          <w:szCs w:val="26"/>
        </w:rPr>
        <w:t>A ce titre</w:t>
      </w:r>
      <w:r w:rsidR="00C237C8" w:rsidRPr="00833484">
        <w:rPr>
          <w:rFonts w:ascii="Times New Roman" w:hAnsi="Times New Roman" w:cs="Times New Roman"/>
          <w:sz w:val="26"/>
          <w:szCs w:val="26"/>
        </w:rPr>
        <w:t>, r</w:t>
      </w:r>
      <w:r w:rsidR="003F26C5" w:rsidRPr="00833484">
        <w:rPr>
          <w:rFonts w:ascii="Times New Roman" w:hAnsi="Times New Roman" w:cs="Times New Roman"/>
          <w:sz w:val="26"/>
          <w:szCs w:val="26"/>
        </w:rPr>
        <w:t>appelons un peu les dates phares de notre histoire monétaire: le 9 mars 1962 fut la signature de l’accord de coopération en matière économique, monétaire et financière entre la France et le Mali ; ces accords prévoyaient que le Mali pouvait avoir son Institut d’émission propre, la France a pris acte de cette décision. Le 30 juin 1962, l’Assemblée Nationale adopta la Loi n°62-54 AN/RM portant réforme monétaire en République du Mali, le Mali créa sa monnaie et son Institut d’émission. Le franc malien fut mis en circulation le 1</w:t>
      </w:r>
      <w:r w:rsidR="003F26C5" w:rsidRPr="00833484">
        <w:rPr>
          <w:rFonts w:ascii="Times New Roman" w:hAnsi="Times New Roman" w:cs="Times New Roman"/>
          <w:sz w:val="26"/>
          <w:szCs w:val="26"/>
          <w:vertAlign w:val="superscript"/>
        </w:rPr>
        <w:t>er</w:t>
      </w:r>
      <w:r w:rsidR="003F26C5" w:rsidRPr="00833484">
        <w:rPr>
          <w:rFonts w:ascii="Times New Roman" w:hAnsi="Times New Roman" w:cs="Times New Roman"/>
          <w:sz w:val="26"/>
          <w:szCs w:val="26"/>
        </w:rPr>
        <w:t xml:space="preserve">  juillet 1962. Le 17 février 1984 fut la signature de l’accord d’adhésion du Mali à l’UMOA (Union Monétaire Ouest Africain). Le 1</w:t>
      </w:r>
      <w:r w:rsidR="003F26C5" w:rsidRPr="00833484">
        <w:rPr>
          <w:rFonts w:ascii="Times New Roman" w:hAnsi="Times New Roman" w:cs="Times New Roman"/>
          <w:sz w:val="26"/>
          <w:szCs w:val="26"/>
          <w:vertAlign w:val="superscript"/>
        </w:rPr>
        <w:t>er</w:t>
      </w:r>
      <w:r w:rsidR="003F26C5" w:rsidRPr="00833484">
        <w:rPr>
          <w:rFonts w:ascii="Times New Roman" w:hAnsi="Times New Roman" w:cs="Times New Roman"/>
          <w:sz w:val="26"/>
          <w:szCs w:val="26"/>
        </w:rPr>
        <w:t xml:space="preserve"> juin 1984, une Direction Nationale de la BCEAO a été instituée au Mali à la suite de l’adhésion du pays à l’UMOA</w:t>
      </w:r>
      <w:r w:rsidR="00423A0E">
        <w:rPr>
          <w:rFonts w:ascii="Times New Roman" w:hAnsi="Times New Roman" w:cs="Times New Roman"/>
          <w:sz w:val="26"/>
          <w:szCs w:val="26"/>
        </w:rPr>
        <w:t xml:space="preserve"> [8</w:t>
      </w:r>
      <w:r w:rsidR="00DA01C4" w:rsidRPr="00833484">
        <w:rPr>
          <w:rFonts w:ascii="Times New Roman" w:hAnsi="Times New Roman" w:cs="Times New Roman"/>
          <w:sz w:val="26"/>
          <w:szCs w:val="26"/>
        </w:rPr>
        <w:t>]</w:t>
      </w:r>
      <w:r w:rsidR="003F26C5" w:rsidRPr="00833484">
        <w:rPr>
          <w:rFonts w:ascii="Times New Roman" w:hAnsi="Times New Roman" w:cs="Times New Roman"/>
          <w:sz w:val="26"/>
          <w:szCs w:val="26"/>
        </w:rPr>
        <w:t>. En tout, le Mali dispose d’une expérience malheureuse de 22 a</w:t>
      </w:r>
      <w:r w:rsidR="00C237C8" w:rsidRPr="00833484">
        <w:rPr>
          <w:rFonts w:ascii="Times New Roman" w:hAnsi="Times New Roman" w:cs="Times New Roman"/>
          <w:sz w:val="26"/>
          <w:szCs w:val="26"/>
        </w:rPr>
        <w:t>ns d’histoire monétaire propre.</w:t>
      </w:r>
    </w:p>
    <w:p w:rsidR="00B00310" w:rsidRPr="00833484" w:rsidRDefault="003F26C5"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sz w:val="26"/>
          <w:szCs w:val="26"/>
        </w:rPr>
        <w:t>Evidemment, l</w:t>
      </w:r>
      <w:r w:rsidR="00866B3A" w:rsidRPr="00833484">
        <w:rPr>
          <w:rFonts w:ascii="Times New Roman" w:hAnsi="Times New Roman" w:cs="Times New Roman"/>
          <w:sz w:val="26"/>
          <w:szCs w:val="26"/>
        </w:rPr>
        <w:t>a sortie et</w:t>
      </w:r>
      <w:r w:rsidRPr="00833484">
        <w:rPr>
          <w:rFonts w:ascii="Times New Roman" w:hAnsi="Times New Roman" w:cs="Times New Roman"/>
          <w:sz w:val="26"/>
          <w:szCs w:val="26"/>
        </w:rPr>
        <w:t xml:space="preserve"> </w:t>
      </w:r>
      <w:r w:rsidR="00866B3A" w:rsidRPr="00833484">
        <w:rPr>
          <w:rFonts w:ascii="Times New Roman" w:hAnsi="Times New Roman" w:cs="Times New Roman"/>
          <w:sz w:val="26"/>
          <w:szCs w:val="26"/>
        </w:rPr>
        <w:t xml:space="preserve">le </w:t>
      </w:r>
      <w:r w:rsidRPr="00833484">
        <w:rPr>
          <w:rFonts w:ascii="Times New Roman" w:hAnsi="Times New Roman" w:cs="Times New Roman"/>
          <w:sz w:val="26"/>
          <w:szCs w:val="26"/>
        </w:rPr>
        <w:t>retour</w:t>
      </w:r>
      <w:r w:rsidR="00866B3A" w:rsidRPr="00833484">
        <w:rPr>
          <w:rFonts w:ascii="Times New Roman" w:hAnsi="Times New Roman" w:cs="Times New Roman"/>
          <w:sz w:val="26"/>
          <w:szCs w:val="26"/>
        </w:rPr>
        <w:t xml:space="preserve"> du Mali</w:t>
      </w:r>
      <w:r w:rsidR="00E418AE" w:rsidRPr="00833484">
        <w:rPr>
          <w:rFonts w:ascii="Times New Roman" w:hAnsi="Times New Roman" w:cs="Times New Roman"/>
          <w:sz w:val="26"/>
          <w:szCs w:val="26"/>
        </w:rPr>
        <w:t xml:space="preserve"> dans le giron </w:t>
      </w:r>
      <w:r w:rsidRPr="00833484">
        <w:rPr>
          <w:rFonts w:ascii="Times New Roman" w:hAnsi="Times New Roman" w:cs="Times New Roman"/>
          <w:sz w:val="26"/>
          <w:szCs w:val="26"/>
        </w:rPr>
        <w:t xml:space="preserve">de l’UMOA était la conséquence de l’échec d’une politique monétaire expansionniste ayant aboutie à la dégradation de la valeur du franc malien (dévaluation de 1967). D’ailleurs, le coup d’Etat de novembre 1968 s’explique en partie par le mécontentement général de cette dévaluation de 1967. A ce titre, l’économiste français Jacques Rueff disait : </w:t>
      </w:r>
      <w:r w:rsidRPr="00833484">
        <w:rPr>
          <w:rFonts w:ascii="Times New Roman" w:hAnsi="Times New Roman" w:cs="Times New Roman"/>
          <w:i/>
          <w:sz w:val="26"/>
          <w:szCs w:val="26"/>
        </w:rPr>
        <w:t>« Croyez-moi, aujourd’hui comme hier, le sort de l’homme se joue sur la monnaie »</w:t>
      </w:r>
      <w:r w:rsidR="00423A0E">
        <w:rPr>
          <w:rFonts w:ascii="Times New Roman" w:hAnsi="Times New Roman" w:cs="Times New Roman"/>
          <w:i/>
          <w:sz w:val="26"/>
          <w:szCs w:val="26"/>
        </w:rPr>
        <w:t xml:space="preserve"> [9</w:t>
      </w:r>
      <w:r w:rsidR="00AB5D2B" w:rsidRPr="00833484">
        <w:rPr>
          <w:rFonts w:ascii="Times New Roman" w:hAnsi="Times New Roman" w:cs="Times New Roman"/>
          <w:i/>
          <w:sz w:val="26"/>
          <w:szCs w:val="26"/>
        </w:rPr>
        <w:t>]</w:t>
      </w:r>
      <w:r w:rsidRPr="00833484">
        <w:rPr>
          <w:rFonts w:ascii="Times New Roman" w:hAnsi="Times New Roman" w:cs="Times New Roman"/>
          <w:sz w:val="26"/>
          <w:szCs w:val="26"/>
        </w:rPr>
        <w:t xml:space="preserve">. En substance, cette citation illustre bien l’extrême sensibilité des questions monétaires et l’importance d’une bonne compréhension des phénomènes monétaires. D’ailleurs, la sortie et le retour du Mali dans la Zone franc est souvent utilisé par les partisans de la Zone contre ses détracteurs. Les lourdes pertes de placement </w:t>
      </w:r>
      <w:r w:rsidR="00740E25" w:rsidRPr="00833484">
        <w:rPr>
          <w:rFonts w:ascii="Times New Roman" w:hAnsi="Times New Roman" w:cs="Times New Roman"/>
          <w:sz w:val="26"/>
          <w:szCs w:val="26"/>
        </w:rPr>
        <w:t xml:space="preserve">(25 millions d’euros </w:t>
      </w:r>
      <w:r w:rsidR="003D157C" w:rsidRPr="00833484">
        <w:rPr>
          <w:rFonts w:ascii="Times New Roman" w:hAnsi="Times New Roman" w:cs="Times New Roman"/>
          <w:sz w:val="26"/>
          <w:szCs w:val="26"/>
        </w:rPr>
        <w:t xml:space="preserve">en 2008 pendant la crise financière </w:t>
      </w:r>
      <w:r w:rsidR="00740E25" w:rsidRPr="00833484">
        <w:rPr>
          <w:rFonts w:ascii="Times New Roman" w:hAnsi="Times New Roman" w:cs="Times New Roman"/>
          <w:sz w:val="26"/>
          <w:szCs w:val="26"/>
        </w:rPr>
        <w:t>selon Jeune Afrique) et les détournements (près de 30 millions d’euros entre 2004 et 2008</w:t>
      </w:r>
      <w:r w:rsidR="003D157C" w:rsidRPr="00833484">
        <w:rPr>
          <w:rFonts w:ascii="Times New Roman" w:hAnsi="Times New Roman" w:cs="Times New Roman"/>
          <w:sz w:val="26"/>
          <w:szCs w:val="26"/>
        </w:rPr>
        <w:t xml:space="preserve"> selon Jeune Afrique</w:t>
      </w:r>
      <w:r w:rsidR="00740E25" w:rsidRPr="00833484">
        <w:rPr>
          <w:rFonts w:ascii="Times New Roman" w:hAnsi="Times New Roman" w:cs="Times New Roman"/>
          <w:sz w:val="26"/>
          <w:szCs w:val="26"/>
        </w:rPr>
        <w:t xml:space="preserve">) de fonds au Bureau Extérieur de Paris (BEP) </w:t>
      </w:r>
      <w:r w:rsidRPr="00833484">
        <w:rPr>
          <w:rFonts w:ascii="Times New Roman" w:hAnsi="Times New Roman" w:cs="Times New Roman"/>
          <w:sz w:val="26"/>
          <w:szCs w:val="26"/>
        </w:rPr>
        <w:t xml:space="preserve">à la BEAC </w:t>
      </w:r>
      <w:r w:rsidR="00740E25" w:rsidRPr="00833484">
        <w:rPr>
          <w:rFonts w:ascii="Times New Roman" w:hAnsi="Times New Roman" w:cs="Times New Roman"/>
          <w:sz w:val="26"/>
          <w:szCs w:val="26"/>
        </w:rPr>
        <w:t>relève</w:t>
      </w:r>
      <w:r w:rsidR="003D157C" w:rsidRPr="00833484">
        <w:rPr>
          <w:rFonts w:ascii="Times New Roman" w:hAnsi="Times New Roman" w:cs="Times New Roman"/>
          <w:sz w:val="26"/>
          <w:szCs w:val="26"/>
        </w:rPr>
        <w:t>nt</w:t>
      </w:r>
      <w:r w:rsidR="00740E25" w:rsidRPr="00833484">
        <w:rPr>
          <w:rFonts w:ascii="Times New Roman" w:hAnsi="Times New Roman" w:cs="Times New Roman"/>
          <w:sz w:val="26"/>
          <w:szCs w:val="26"/>
        </w:rPr>
        <w:t xml:space="preserve"> le caractère </w:t>
      </w:r>
      <w:r w:rsidR="008212D8" w:rsidRPr="00833484">
        <w:rPr>
          <w:rFonts w:ascii="Times New Roman" w:hAnsi="Times New Roman" w:cs="Times New Roman"/>
          <w:sz w:val="26"/>
          <w:szCs w:val="26"/>
        </w:rPr>
        <w:t>incestueux que nous avons avec la monnaie</w:t>
      </w:r>
      <w:r w:rsidR="008D7733" w:rsidRPr="00833484">
        <w:rPr>
          <w:rFonts w:ascii="Times New Roman" w:hAnsi="Times New Roman" w:cs="Times New Roman"/>
          <w:sz w:val="26"/>
          <w:szCs w:val="26"/>
        </w:rPr>
        <w:t xml:space="preserve"> [</w:t>
      </w:r>
      <w:r w:rsidR="00423A0E">
        <w:rPr>
          <w:rFonts w:ascii="Times New Roman" w:hAnsi="Times New Roman" w:cs="Times New Roman"/>
          <w:sz w:val="26"/>
          <w:szCs w:val="26"/>
        </w:rPr>
        <w:t>10</w:t>
      </w:r>
      <w:r w:rsidR="008D7733" w:rsidRPr="00833484">
        <w:rPr>
          <w:rFonts w:ascii="Times New Roman" w:hAnsi="Times New Roman" w:cs="Times New Roman"/>
          <w:sz w:val="26"/>
          <w:szCs w:val="26"/>
        </w:rPr>
        <w:t>]</w:t>
      </w:r>
      <w:r w:rsidR="008212D8" w:rsidRPr="00833484">
        <w:rPr>
          <w:rFonts w:ascii="Times New Roman" w:hAnsi="Times New Roman" w:cs="Times New Roman"/>
          <w:sz w:val="26"/>
          <w:szCs w:val="26"/>
        </w:rPr>
        <w:t xml:space="preserve">. Tout cela pose un véritable </w:t>
      </w:r>
      <w:r w:rsidRPr="00833484">
        <w:rPr>
          <w:rFonts w:ascii="Times New Roman" w:hAnsi="Times New Roman" w:cs="Times New Roman"/>
          <w:sz w:val="26"/>
          <w:szCs w:val="26"/>
        </w:rPr>
        <w:t>problème de maturité monétaire.</w:t>
      </w:r>
      <w:r w:rsidR="00B00310" w:rsidRPr="00833484">
        <w:rPr>
          <w:rFonts w:ascii="Times New Roman" w:hAnsi="Times New Roman" w:cs="Times New Roman"/>
          <w:sz w:val="26"/>
          <w:szCs w:val="26"/>
        </w:rPr>
        <w:t xml:space="preserve"> A l’instar de sa consœur (BEAC), nous recommandons à la BCEAO de publier en marge de leur rapport annuel, un rapport spécial sur le contrôle du compte d’opérations pour édifier le public quant à la gestion de son compte d’opérations auprès du Trésor français.</w:t>
      </w:r>
    </w:p>
    <w:p w:rsidR="003F26C5" w:rsidRPr="00833484" w:rsidRDefault="00490020"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sz w:val="26"/>
          <w:szCs w:val="26"/>
        </w:rPr>
        <w:lastRenderedPageBreak/>
        <w:t>Concernant l’Afrique</w:t>
      </w:r>
      <w:r w:rsidR="003F26C5" w:rsidRPr="00833484">
        <w:rPr>
          <w:rFonts w:ascii="Times New Roman" w:hAnsi="Times New Roman" w:cs="Times New Roman"/>
          <w:sz w:val="26"/>
          <w:szCs w:val="26"/>
        </w:rPr>
        <w:t>, il existe de nombreux projets d’union monétaire, notamment dans le cadre des ensembles économiques multinationaux : la Communauté d’Afrique de l’Est (CAE), le Marché commun de l’Afrique orientale et australe (COMESA), la Communauté pour le Développement de l’Afrique australe (SADC) et la Communauté économique des États de l’Afrique de l’Ouest (CEDEAO), avec la Zone monétaire de l’Afrique de l’Ouest (ZMAO). Il y a également un projet à plus long terme de création d’une monnaie unique africaine (projet de l’Union africaine pour les cinquante-trois États du continent).</w:t>
      </w:r>
    </w:p>
    <w:p w:rsidR="003F26C5" w:rsidRPr="00833484" w:rsidRDefault="003F26C5"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sz w:val="26"/>
          <w:szCs w:val="26"/>
        </w:rPr>
        <w:t>S’agissant de l’Afrique de l’Ouest, la ZMAO est composée de six pays membres (Gambie, Sierra Leone, Guinée, Ghana, Nigéria et Libéria). Fixée initialement à janvier 2003 puis reportée à plusieurs reprises (à juillet 2005 puis janvier 2010), la réalisation de la fusion de la zone monétaire de l’Afrique de l’Ouest avec l’UEMOA est prévue à l’horizon de 2020.</w:t>
      </w:r>
    </w:p>
    <w:p w:rsidR="003F26C5" w:rsidRPr="00833484" w:rsidRDefault="003F26C5"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sz w:val="26"/>
          <w:szCs w:val="26"/>
        </w:rPr>
        <w:t>Par ailleurs, l'union monétaire de la ZMAO sera lancée en 2015 ou après avec l'établissement de sa Banque centrale et l'introduction de sa monnaie commune, l'ECO, pour les cinq pays de la zone. Le lancement de la ZMAO va compléter celui de l'Union économique et monétaire ouest-africaine (UEMOA), qui regroupe les huit Etats d'Afrique de l'Ouest ayant en commun le franc CFA.</w:t>
      </w:r>
    </w:p>
    <w:p w:rsidR="003F26C5" w:rsidRPr="00833484" w:rsidRDefault="003F26C5"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sz w:val="26"/>
          <w:szCs w:val="26"/>
        </w:rPr>
        <w:t>Le rêve de longue date d'une monnaie unique pour les 15 membres de la Communauté économique des Etats de l'Afrique de l'Ouest (CEDEAO) devrait devenir une réalité en 2020, selon une stratégie globale</w:t>
      </w:r>
      <w:r w:rsidR="00B05E93" w:rsidRPr="00833484">
        <w:rPr>
          <w:rFonts w:ascii="Times New Roman" w:hAnsi="Times New Roman" w:cs="Times New Roman"/>
          <w:sz w:val="26"/>
          <w:szCs w:val="26"/>
        </w:rPr>
        <w:t> </w:t>
      </w:r>
      <w:r w:rsidRPr="00833484">
        <w:rPr>
          <w:rFonts w:ascii="Times New Roman" w:hAnsi="Times New Roman" w:cs="Times New Roman"/>
          <w:sz w:val="26"/>
          <w:szCs w:val="26"/>
        </w:rPr>
        <w:t>d'adoption</w:t>
      </w:r>
      <w:r w:rsidR="00B05E93" w:rsidRPr="00833484">
        <w:rPr>
          <w:rFonts w:ascii="Times New Roman" w:hAnsi="Times New Roman" w:cs="Times New Roman"/>
          <w:sz w:val="26"/>
          <w:szCs w:val="26"/>
        </w:rPr>
        <w:t> </w:t>
      </w:r>
      <w:r w:rsidRPr="00833484">
        <w:rPr>
          <w:rFonts w:ascii="Times New Roman" w:hAnsi="Times New Roman" w:cs="Times New Roman"/>
          <w:sz w:val="26"/>
          <w:szCs w:val="26"/>
        </w:rPr>
        <w:t>de</w:t>
      </w:r>
      <w:r w:rsidR="00B05E93" w:rsidRPr="00833484">
        <w:rPr>
          <w:rFonts w:ascii="Times New Roman" w:hAnsi="Times New Roman" w:cs="Times New Roman"/>
          <w:sz w:val="26"/>
          <w:szCs w:val="26"/>
        </w:rPr>
        <w:t> </w:t>
      </w:r>
      <w:r w:rsidRPr="00833484">
        <w:rPr>
          <w:rFonts w:ascii="Times New Roman" w:hAnsi="Times New Roman" w:cs="Times New Roman"/>
          <w:sz w:val="26"/>
          <w:szCs w:val="26"/>
        </w:rPr>
        <w:t>la</w:t>
      </w:r>
      <w:r w:rsidR="00B05E93" w:rsidRPr="00833484">
        <w:rPr>
          <w:rFonts w:ascii="Times New Roman" w:hAnsi="Times New Roman" w:cs="Times New Roman"/>
          <w:sz w:val="26"/>
          <w:szCs w:val="26"/>
        </w:rPr>
        <w:t> </w:t>
      </w:r>
      <w:r w:rsidRPr="00833484">
        <w:rPr>
          <w:rFonts w:ascii="Times New Roman" w:hAnsi="Times New Roman" w:cs="Times New Roman"/>
          <w:sz w:val="26"/>
          <w:szCs w:val="26"/>
        </w:rPr>
        <w:t>monnaie unique. Dans le cadre de cette feuille de route pour le programme d'une monnaie unique pour la CEDEAO, qui a été approuvée et adoptée à l'issue de la 24</w:t>
      </w:r>
      <w:r w:rsidRPr="00833484">
        <w:rPr>
          <w:rFonts w:ascii="Times New Roman" w:hAnsi="Times New Roman" w:cs="Times New Roman"/>
          <w:sz w:val="26"/>
          <w:szCs w:val="26"/>
          <w:vertAlign w:val="superscript"/>
        </w:rPr>
        <w:t>ème</w:t>
      </w:r>
      <w:r w:rsidRPr="00833484">
        <w:rPr>
          <w:rFonts w:ascii="Times New Roman" w:hAnsi="Times New Roman" w:cs="Times New Roman"/>
          <w:sz w:val="26"/>
          <w:szCs w:val="26"/>
        </w:rPr>
        <w:t xml:space="preserve"> réunion du Conseil de convergence des ministres et gouverneurs de la Zone monétaire ouest-africaine (ZMAO), l'Union monétaire de la CEDEAO sera lancée en 2020 avec l'établissement de la Banque centrale de la CEDEAO et la mise en circulation</w:t>
      </w:r>
      <w:r w:rsidR="00910B5C" w:rsidRPr="00833484">
        <w:rPr>
          <w:rFonts w:ascii="Times New Roman" w:hAnsi="Times New Roman" w:cs="Times New Roman"/>
          <w:sz w:val="26"/>
          <w:szCs w:val="26"/>
        </w:rPr>
        <w:t xml:space="preserve"> de la monnaie unique appelée «</w:t>
      </w:r>
      <w:r w:rsidRPr="00833484">
        <w:rPr>
          <w:rFonts w:ascii="Times New Roman" w:hAnsi="Times New Roman" w:cs="Times New Roman"/>
          <w:sz w:val="26"/>
          <w:szCs w:val="26"/>
        </w:rPr>
        <w:t>ECO»</w:t>
      </w:r>
      <w:r w:rsidR="00AB5D2B" w:rsidRPr="00833484">
        <w:rPr>
          <w:rFonts w:ascii="Times New Roman" w:hAnsi="Times New Roman" w:cs="Times New Roman"/>
          <w:sz w:val="26"/>
          <w:szCs w:val="26"/>
        </w:rPr>
        <w:t xml:space="preserve"> [1</w:t>
      </w:r>
      <w:r w:rsidR="00423A0E">
        <w:rPr>
          <w:rFonts w:ascii="Times New Roman" w:hAnsi="Times New Roman" w:cs="Times New Roman"/>
          <w:sz w:val="26"/>
          <w:szCs w:val="26"/>
        </w:rPr>
        <w:t>1</w:t>
      </w:r>
      <w:r w:rsidR="00AB5D2B" w:rsidRPr="00833484">
        <w:rPr>
          <w:rFonts w:ascii="Times New Roman" w:hAnsi="Times New Roman" w:cs="Times New Roman"/>
          <w:sz w:val="26"/>
          <w:szCs w:val="26"/>
        </w:rPr>
        <w:t>]</w:t>
      </w:r>
      <w:r w:rsidRPr="00833484">
        <w:rPr>
          <w:rFonts w:ascii="Times New Roman" w:hAnsi="Times New Roman" w:cs="Times New Roman"/>
          <w:sz w:val="26"/>
          <w:szCs w:val="26"/>
        </w:rPr>
        <w:t>.</w:t>
      </w:r>
      <w:r w:rsidR="004B745F" w:rsidRPr="00833484">
        <w:rPr>
          <w:rFonts w:ascii="Times New Roman" w:hAnsi="Times New Roman" w:cs="Times New Roman"/>
          <w:sz w:val="26"/>
          <w:szCs w:val="26"/>
        </w:rPr>
        <w:t xml:space="preserve"> Toutefois, il </w:t>
      </w:r>
      <w:r w:rsidR="003B063D" w:rsidRPr="00833484">
        <w:rPr>
          <w:rFonts w:ascii="Times New Roman" w:hAnsi="Times New Roman" w:cs="Times New Roman"/>
          <w:sz w:val="26"/>
          <w:szCs w:val="26"/>
        </w:rPr>
        <w:t xml:space="preserve">ne </w:t>
      </w:r>
      <w:r w:rsidR="004B745F" w:rsidRPr="00833484">
        <w:rPr>
          <w:rFonts w:ascii="Times New Roman" w:hAnsi="Times New Roman" w:cs="Times New Roman"/>
          <w:sz w:val="26"/>
          <w:szCs w:val="26"/>
        </w:rPr>
        <w:t xml:space="preserve">faut </w:t>
      </w:r>
      <w:r w:rsidR="003B063D" w:rsidRPr="00833484">
        <w:rPr>
          <w:rFonts w:ascii="Times New Roman" w:hAnsi="Times New Roman" w:cs="Times New Roman"/>
          <w:sz w:val="26"/>
          <w:szCs w:val="26"/>
        </w:rPr>
        <w:t xml:space="preserve">pas perdre de vue </w:t>
      </w:r>
      <w:r w:rsidR="00BC218D" w:rsidRPr="00833484">
        <w:rPr>
          <w:rFonts w:ascii="Times New Roman" w:hAnsi="Times New Roman" w:cs="Times New Roman"/>
          <w:sz w:val="26"/>
          <w:szCs w:val="26"/>
        </w:rPr>
        <w:t>qu’</w:t>
      </w:r>
      <w:r w:rsidR="004B745F" w:rsidRPr="00833484">
        <w:rPr>
          <w:rFonts w:ascii="Times New Roman" w:hAnsi="Times New Roman" w:cs="Times New Roman"/>
          <w:sz w:val="26"/>
          <w:szCs w:val="26"/>
        </w:rPr>
        <w:t>en Afrique il y a des cas d’échecs monétaires (Zimbabwe, Guinée, RDC, Mali, etc.) et des cas de réussites monétaires (Afrique du Sud, Botswana, Gambie, Zone franc, etc.)</w:t>
      </w:r>
      <w:r w:rsidR="00BC218D" w:rsidRPr="00833484">
        <w:rPr>
          <w:rFonts w:ascii="Times New Roman" w:hAnsi="Times New Roman" w:cs="Times New Roman"/>
          <w:sz w:val="26"/>
          <w:szCs w:val="26"/>
        </w:rPr>
        <w:t>.</w:t>
      </w:r>
    </w:p>
    <w:p w:rsidR="003F26C5" w:rsidRPr="00833484" w:rsidRDefault="003F26C5"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sz w:val="26"/>
          <w:szCs w:val="26"/>
        </w:rPr>
        <w:lastRenderedPageBreak/>
        <w:t xml:space="preserve">A mon </w:t>
      </w:r>
      <w:r w:rsidR="00514802" w:rsidRPr="00833484">
        <w:rPr>
          <w:rFonts w:ascii="Times New Roman" w:hAnsi="Times New Roman" w:cs="Times New Roman"/>
          <w:sz w:val="26"/>
          <w:szCs w:val="26"/>
        </w:rPr>
        <w:t xml:space="preserve">humble </w:t>
      </w:r>
      <w:r w:rsidRPr="00833484">
        <w:rPr>
          <w:rFonts w:ascii="Times New Roman" w:hAnsi="Times New Roman" w:cs="Times New Roman"/>
          <w:sz w:val="26"/>
          <w:szCs w:val="26"/>
        </w:rPr>
        <w:t xml:space="preserve">avis, la question de la sortie du Mali de la Zone franc ne doit même pas se poser maintenant. En effet, le Mali a plutôt besoin de paix, de sécurité, de stabilité politique et sociale. Une monnaie doit d’abord s’asseoir sur ces préalables et ensuite sur une économie pouvant garantir la valeur de cette monnaie (production, croissance, ressources naturelles, etc.). Aussi, le Mali a signé des engagements internationaux (FMI, UEMOA, CEDEAO, etc.) et une hypothétique sortie de la Zone franc ne ferait qu’isoler davantage le pays et ouvrir la voie du chaos et l’inconnu. </w:t>
      </w:r>
      <w:r w:rsidR="00390E47" w:rsidRPr="00833484">
        <w:rPr>
          <w:rFonts w:ascii="Times New Roman" w:hAnsi="Times New Roman" w:cs="Times New Roman"/>
          <w:sz w:val="26"/>
          <w:szCs w:val="26"/>
        </w:rPr>
        <w:t>La maturité</w:t>
      </w:r>
      <w:r w:rsidRPr="00833484">
        <w:rPr>
          <w:rFonts w:ascii="Times New Roman" w:hAnsi="Times New Roman" w:cs="Times New Roman"/>
          <w:sz w:val="26"/>
          <w:szCs w:val="26"/>
        </w:rPr>
        <w:t xml:space="preserve"> monétaire s’acquière progressivement par la force du travail et du progrès</w:t>
      </w:r>
      <w:r w:rsidR="00390E47" w:rsidRPr="00833484">
        <w:rPr>
          <w:rFonts w:ascii="Times New Roman" w:hAnsi="Times New Roman" w:cs="Times New Roman"/>
          <w:sz w:val="26"/>
          <w:szCs w:val="26"/>
        </w:rPr>
        <w:t xml:space="preserve"> en liaison avec un certain niveau d’intégration commerciale à l’économie internationale</w:t>
      </w:r>
      <w:r w:rsidRPr="00833484">
        <w:rPr>
          <w:rFonts w:ascii="Times New Roman" w:hAnsi="Times New Roman" w:cs="Times New Roman"/>
          <w:sz w:val="26"/>
          <w:szCs w:val="26"/>
        </w:rPr>
        <w:t xml:space="preserve">. </w:t>
      </w:r>
      <w:r w:rsidR="00390E47" w:rsidRPr="00833484">
        <w:rPr>
          <w:rFonts w:ascii="Times New Roman" w:hAnsi="Times New Roman" w:cs="Times New Roman"/>
          <w:sz w:val="26"/>
          <w:szCs w:val="26"/>
        </w:rPr>
        <w:t>A ce niveau</w:t>
      </w:r>
      <w:r w:rsidR="00911A35" w:rsidRPr="00833484">
        <w:rPr>
          <w:rFonts w:ascii="Times New Roman" w:hAnsi="Times New Roman" w:cs="Times New Roman"/>
          <w:sz w:val="26"/>
          <w:szCs w:val="26"/>
        </w:rPr>
        <w:t xml:space="preserve"> certains économistes font la caricature suivante :</w:t>
      </w:r>
      <w:r w:rsidR="00390E47" w:rsidRPr="00833484">
        <w:rPr>
          <w:rFonts w:ascii="Times New Roman" w:hAnsi="Times New Roman" w:cs="Times New Roman"/>
          <w:sz w:val="26"/>
          <w:szCs w:val="26"/>
        </w:rPr>
        <w:t xml:space="preserve"> tous ceux </w:t>
      </w:r>
      <w:r w:rsidR="00E13D56" w:rsidRPr="00833484">
        <w:rPr>
          <w:rFonts w:ascii="Times New Roman" w:hAnsi="Times New Roman" w:cs="Times New Roman"/>
          <w:sz w:val="26"/>
          <w:szCs w:val="26"/>
        </w:rPr>
        <w:t xml:space="preserve">que </w:t>
      </w:r>
      <w:r w:rsidR="00390E47" w:rsidRPr="00833484">
        <w:rPr>
          <w:rFonts w:ascii="Times New Roman" w:hAnsi="Times New Roman" w:cs="Times New Roman"/>
          <w:sz w:val="26"/>
          <w:szCs w:val="26"/>
        </w:rPr>
        <w:t>nous produisons</w:t>
      </w:r>
      <w:r w:rsidR="006A3C41" w:rsidRPr="00833484">
        <w:rPr>
          <w:rFonts w:ascii="Times New Roman" w:hAnsi="Times New Roman" w:cs="Times New Roman"/>
          <w:sz w:val="26"/>
          <w:szCs w:val="26"/>
        </w:rPr>
        <w:t>, nous ne les consommons pas (principalement des matières premières brutes</w:t>
      </w:r>
      <w:r w:rsidR="00E13D56" w:rsidRPr="00833484">
        <w:rPr>
          <w:rFonts w:ascii="Times New Roman" w:hAnsi="Times New Roman" w:cs="Times New Roman"/>
          <w:sz w:val="26"/>
          <w:szCs w:val="26"/>
        </w:rPr>
        <w:t xml:space="preserve"> exportées</w:t>
      </w:r>
      <w:r w:rsidR="006A3C41" w:rsidRPr="00833484">
        <w:rPr>
          <w:rFonts w:ascii="Times New Roman" w:hAnsi="Times New Roman" w:cs="Times New Roman"/>
          <w:sz w:val="26"/>
          <w:szCs w:val="26"/>
        </w:rPr>
        <w:t>) et tous ceux que nous consommons, nous ne les produisons pas (principalement des produits manufacturiers</w:t>
      </w:r>
      <w:r w:rsidR="00E13D56" w:rsidRPr="00833484">
        <w:rPr>
          <w:rFonts w:ascii="Times New Roman" w:hAnsi="Times New Roman" w:cs="Times New Roman"/>
          <w:sz w:val="26"/>
          <w:szCs w:val="26"/>
        </w:rPr>
        <w:t xml:space="preserve"> importés</w:t>
      </w:r>
      <w:r w:rsidR="006A3C41" w:rsidRPr="00833484">
        <w:rPr>
          <w:rFonts w:ascii="Times New Roman" w:hAnsi="Times New Roman" w:cs="Times New Roman"/>
          <w:sz w:val="26"/>
          <w:szCs w:val="26"/>
        </w:rPr>
        <w:t xml:space="preserve">). Alors, nous </w:t>
      </w:r>
      <w:r w:rsidR="00A46DD4" w:rsidRPr="00833484">
        <w:rPr>
          <w:rFonts w:ascii="Times New Roman" w:hAnsi="Times New Roman" w:cs="Times New Roman"/>
          <w:sz w:val="26"/>
          <w:szCs w:val="26"/>
        </w:rPr>
        <w:t xml:space="preserve">devons plutôt </w:t>
      </w:r>
      <w:r w:rsidR="006A3C41" w:rsidRPr="00833484">
        <w:rPr>
          <w:rFonts w:ascii="Times New Roman" w:hAnsi="Times New Roman" w:cs="Times New Roman"/>
          <w:sz w:val="26"/>
          <w:szCs w:val="26"/>
        </w:rPr>
        <w:t>mettre en place une économie de transformation de nos matières premières pour créer davantage de valeurs ajoutées et lutter</w:t>
      </w:r>
      <w:r w:rsidR="00A46DD4" w:rsidRPr="00833484">
        <w:rPr>
          <w:rFonts w:ascii="Times New Roman" w:hAnsi="Times New Roman" w:cs="Times New Roman"/>
          <w:sz w:val="26"/>
          <w:szCs w:val="26"/>
        </w:rPr>
        <w:t>,</w:t>
      </w:r>
      <w:r w:rsidR="006A3C41" w:rsidRPr="00833484">
        <w:rPr>
          <w:rFonts w:ascii="Times New Roman" w:hAnsi="Times New Roman" w:cs="Times New Roman"/>
          <w:sz w:val="26"/>
          <w:szCs w:val="26"/>
        </w:rPr>
        <w:t xml:space="preserve"> par conséquent</w:t>
      </w:r>
      <w:r w:rsidR="00A46DD4" w:rsidRPr="00833484">
        <w:rPr>
          <w:rFonts w:ascii="Times New Roman" w:hAnsi="Times New Roman" w:cs="Times New Roman"/>
          <w:sz w:val="26"/>
          <w:szCs w:val="26"/>
        </w:rPr>
        <w:t>,</w:t>
      </w:r>
      <w:r w:rsidR="006A3C41" w:rsidRPr="00833484">
        <w:rPr>
          <w:rFonts w:ascii="Times New Roman" w:hAnsi="Times New Roman" w:cs="Times New Roman"/>
          <w:sz w:val="26"/>
          <w:szCs w:val="26"/>
        </w:rPr>
        <w:t xml:space="preserve"> contre le chômage massif de nos jeunes désœuvrés. </w:t>
      </w:r>
      <w:r w:rsidRPr="00833484">
        <w:rPr>
          <w:rFonts w:ascii="Times New Roman" w:hAnsi="Times New Roman" w:cs="Times New Roman"/>
          <w:sz w:val="26"/>
          <w:szCs w:val="26"/>
        </w:rPr>
        <w:t>Nos économies sont encore embryonnaires (non matures du point de vue monétaire) car fragilisées par des crises politiques à répét</w:t>
      </w:r>
      <w:r w:rsidR="00A46DD4" w:rsidRPr="00833484">
        <w:rPr>
          <w:rFonts w:ascii="Times New Roman" w:hAnsi="Times New Roman" w:cs="Times New Roman"/>
          <w:sz w:val="26"/>
          <w:szCs w:val="26"/>
        </w:rPr>
        <w:t>ition avec en toile de fond une mauvaise gouvernance chronique</w:t>
      </w:r>
      <w:r w:rsidRPr="00833484">
        <w:rPr>
          <w:rFonts w:ascii="Times New Roman" w:hAnsi="Times New Roman" w:cs="Times New Roman"/>
          <w:sz w:val="26"/>
          <w:szCs w:val="26"/>
        </w:rPr>
        <w:t>. Donc, il faut s’assurer de la stabilité et de la crédibilité du nouveau système monétaire à mettre en place, chose qui n’est pas tout à fait évident.</w:t>
      </w:r>
    </w:p>
    <w:p w:rsidR="00614C2C" w:rsidRPr="00833484" w:rsidRDefault="00614C2C" w:rsidP="00420A1E">
      <w:pPr>
        <w:keepNext/>
        <w:keepLines/>
        <w:suppressAutoHyphens/>
        <w:ind w:firstLine="284"/>
        <w:jc w:val="both"/>
        <w:rPr>
          <w:rFonts w:ascii="Times New Roman" w:hAnsi="Times New Roman" w:cs="Times New Roman"/>
          <w:sz w:val="26"/>
          <w:szCs w:val="26"/>
        </w:rPr>
      </w:pPr>
      <w:r w:rsidRPr="00833484">
        <w:rPr>
          <w:rFonts w:ascii="Times New Roman" w:hAnsi="Times New Roman" w:cs="Times New Roman"/>
          <w:sz w:val="26"/>
          <w:szCs w:val="26"/>
        </w:rPr>
        <w:t xml:space="preserve">Dans l’éventualité d’une sortie de la Zone franc, avons-nous des dirigeants ayants l’étoffe de bien gérer </w:t>
      </w:r>
      <w:r w:rsidR="00BE7E48" w:rsidRPr="00833484">
        <w:rPr>
          <w:rFonts w:ascii="Times New Roman" w:hAnsi="Times New Roman" w:cs="Times New Roman"/>
          <w:sz w:val="26"/>
          <w:szCs w:val="26"/>
        </w:rPr>
        <w:t>cette nouvelle</w:t>
      </w:r>
      <w:r w:rsidRPr="00833484">
        <w:rPr>
          <w:rFonts w:ascii="Times New Roman" w:hAnsi="Times New Roman" w:cs="Times New Roman"/>
          <w:sz w:val="26"/>
          <w:szCs w:val="26"/>
        </w:rPr>
        <w:t xml:space="preserve"> monnaie</w:t>
      </w:r>
      <w:r w:rsidR="00FD3A5F" w:rsidRPr="00833484">
        <w:rPr>
          <w:rFonts w:ascii="Times New Roman" w:hAnsi="Times New Roman" w:cs="Times New Roman"/>
          <w:sz w:val="26"/>
          <w:szCs w:val="26"/>
        </w:rPr>
        <w:t xml:space="preserve"> en assurant une totale indépendance (comme fortement recommandé par le FMI et les théories monétaires) de cette banque centrale vis-à-vis des pouvoirs politiques</w:t>
      </w:r>
      <w:r w:rsidRPr="00833484">
        <w:rPr>
          <w:rFonts w:ascii="Times New Roman" w:hAnsi="Times New Roman" w:cs="Times New Roman"/>
          <w:sz w:val="26"/>
          <w:szCs w:val="26"/>
        </w:rPr>
        <w:t xml:space="preserve"> ? </w:t>
      </w:r>
      <w:r w:rsidR="00FD3A5F" w:rsidRPr="00833484">
        <w:rPr>
          <w:rFonts w:ascii="Times New Roman" w:hAnsi="Times New Roman" w:cs="Times New Roman"/>
          <w:sz w:val="26"/>
          <w:szCs w:val="26"/>
        </w:rPr>
        <w:t>A mon avis « </w:t>
      </w:r>
      <w:r w:rsidRPr="00833484">
        <w:rPr>
          <w:rFonts w:ascii="Times New Roman" w:hAnsi="Times New Roman" w:cs="Times New Roman"/>
          <w:sz w:val="26"/>
          <w:szCs w:val="26"/>
        </w:rPr>
        <w:t>Non</w:t>
      </w:r>
      <w:r w:rsidR="00FD3A5F" w:rsidRPr="00833484">
        <w:rPr>
          <w:rFonts w:ascii="Times New Roman" w:hAnsi="Times New Roman" w:cs="Times New Roman"/>
          <w:sz w:val="26"/>
          <w:szCs w:val="26"/>
        </w:rPr>
        <w:t> »</w:t>
      </w:r>
      <w:r w:rsidRPr="00833484">
        <w:rPr>
          <w:rFonts w:ascii="Times New Roman" w:hAnsi="Times New Roman" w:cs="Times New Roman"/>
          <w:sz w:val="26"/>
          <w:szCs w:val="26"/>
        </w:rPr>
        <w:t xml:space="preserve">. On risque de rouler dans un sens interdit. Je pense que le moment n’est pas opportun. </w:t>
      </w:r>
      <w:r w:rsidR="001F2510" w:rsidRPr="00833484">
        <w:rPr>
          <w:rFonts w:ascii="Times New Roman" w:hAnsi="Times New Roman" w:cs="Times New Roman"/>
          <w:sz w:val="26"/>
          <w:szCs w:val="26"/>
        </w:rPr>
        <w:t>A cet égard, n</w:t>
      </w:r>
      <w:r w:rsidRPr="00833484">
        <w:rPr>
          <w:rFonts w:ascii="Times New Roman" w:hAnsi="Times New Roman" w:cs="Times New Roman"/>
          <w:sz w:val="26"/>
          <w:szCs w:val="26"/>
        </w:rPr>
        <w:t>ous devons d’abord consentir des efforts pour maintenir la croissance de façon durable en attirant plus d’investissements</w:t>
      </w:r>
      <w:r w:rsidR="00771ABA" w:rsidRPr="00833484">
        <w:rPr>
          <w:rFonts w:ascii="Times New Roman" w:hAnsi="Times New Roman" w:cs="Times New Roman"/>
          <w:sz w:val="26"/>
          <w:szCs w:val="26"/>
        </w:rPr>
        <w:t xml:space="preserve"> (amélioration du climat des affaires)</w:t>
      </w:r>
      <w:r w:rsidRPr="00833484">
        <w:rPr>
          <w:rFonts w:ascii="Times New Roman" w:hAnsi="Times New Roman" w:cs="Times New Roman"/>
          <w:sz w:val="26"/>
          <w:szCs w:val="26"/>
        </w:rPr>
        <w:t xml:space="preserve"> et améliorer la convergence de nos politiques macro-économiques (UEMOA), en portant une attention particulière à la gestion et à la soutenabilité des finances publiques. </w:t>
      </w:r>
    </w:p>
    <w:p w:rsidR="00D1378A" w:rsidRPr="00833484" w:rsidRDefault="000F5278" w:rsidP="00420A1E">
      <w:pPr>
        <w:keepNext/>
        <w:keepLines/>
        <w:suppressAutoHyphens/>
        <w:ind w:firstLine="284"/>
        <w:jc w:val="both"/>
        <w:rPr>
          <w:rFonts w:ascii="Times New Roman" w:hAnsi="Times New Roman" w:cs="Times New Roman"/>
          <w:sz w:val="26"/>
          <w:szCs w:val="26"/>
        </w:rPr>
      </w:pPr>
      <w:r>
        <w:rPr>
          <w:rFonts w:ascii="Times New Roman" w:hAnsi="Times New Roman" w:cs="Times New Roman"/>
          <w:sz w:val="26"/>
          <w:szCs w:val="26"/>
        </w:rPr>
        <w:lastRenderedPageBreak/>
        <w:t>In fine</w:t>
      </w:r>
      <w:r w:rsidR="005671C1" w:rsidRPr="00833484">
        <w:rPr>
          <w:rFonts w:ascii="Times New Roman" w:hAnsi="Times New Roman" w:cs="Times New Roman"/>
          <w:sz w:val="26"/>
          <w:szCs w:val="26"/>
        </w:rPr>
        <w:t>, o</w:t>
      </w:r>
      <w:r w:rsidR="00604A7A" w:rsidRPr="00833484">
        <w:rPr>
          <w:rFonts w:ascii="Times New Roman" w:hAnsi="Times New Roman" w:cs="Times New Roman"/>
          <w:sz w:val="26"/>
          <w:szCs w:val="26"/>
        </w:rPr>
        <w:t>n peut penser, bon an, mal an, que l</w:t>
      </w:r>
      <w:r w:rsidR="009E4D60" w:rsidRPr="00833484">
        <w:rPr>
          <w:rFonts w:ascii="Times New Roman" w:hAnsi="Times New Roman" w:cs="Times New Roman"/>
          <w:sz w:val="26"/>
          <w:szCs w:val="26"/>
        </w:rPr>
        <w:t xml:space="preserve">a coopération </w:t>
      </w:r>
      <w:r w:rsidR="000E7442" w:rsidRPr="00833484">
        <w:rPr>
          <w:rFonts w:ascii="Times New Roman" w:hAnsi="Times New Roman" w:cs="Times New Roman"/>
          <w:sz w:val="26"/>
          <w:szCs w:val="26"/>
        </w:rPr>
        <w:t xml:space="preserve">monétaire </w:t>
      </w:r>
      <w:r w:rsidR="009E4D60" w:rsidRPr="00833484">
        <w:rPr>
          <w:rFonts w:ascii="Times New Roman" w:hAnsi="Times New Roman" w:cs="Times New Roman"/>
          <w:sz w:val="26"/>
          <w:szCs w:val="26"/>
        </w:rPr>
        <w:t xml:space="preserve">est basée sur des bénéfices mutuels (France, Zone franc). </w:t>
      </w:r>
      <w:r w:rsidR="005E6F96" w:rsidRPr="00833484">
        <w:rPr>
          <w:rFonts w:ascii="Times New Roman" w:hAnsi="Times New Roman" w:cs="Times New Roman"/>
          <w:sz w:val="26"/>
          <w:szCs w:val="26"/>
        </w:rPr>
        <w:t>En d’autres termes, c</w:t>
      </w:r>
      <w:r w:rsidR="000E7442" w:rsidRPr="00833484">
        <w:rPr>
          <w:rFonts w:ascii="Times New Roman" w:hAnsi="Times New Roman" w:cs="Times New Roman"/>
          <w:sz w:val="26"/>
          <w:szCs w:val="26"/>
        </w:rPr>
        <w:t>e n’est pas un jeu à somme nulle</w:t>
      </w:r>
      <w:r w:rsidR="00E83C91" w:rsidRPr="00833484">
        <w:rPr>
          <w:rFonts w:ascii="Times New Roman" w:hAnsi="Times New Roman" w:cs="Times New Roman"/>
          <w:sz w:val="26"/>
          <w:szCs w:val="26"/>
        </w:rPr>
        <w:t xml:space="preserve"> (la France gagne, on perd ou vice versa)</w:t>
      </w:r>
      <w:r w:rsidR="000E7442" w:rsidRPr="00833484">
        <w:rPr>
          <w:rFonts w:ascii="Times New Roman" w:hAnsi="Times New Roman" w:cs="Times New Roman"/>
          <w:sz w:val="26"/>
          <w:szCs w:val="26"/>
        </w:rPr>
        <w:t xml:space="preserve"> mais un partenariat gagnant-gagnant. Nul ne peut imaginer le coût d’une sortie de la Zone franc. </w:t>
      </w:r>
      <w:r w:rsidR="00436DBA" w:rsidRPr="00833484">
        <w:rPr>
          <w:rFonts w:ascii="Times New Roman" w:hAnsi="Times New Roman" w:cs="Times New Roman"/>
          <w:sz w:val="26"/>
          <w:szCs w:val="26"/>
        </w:rPr>
        <w:t>Toutefois, d</w:t>
      </w:r>
      <w:r w:rsidR="009E4D60" w:rsidRPr="00833484">
        <w:rPr>
          <w:rFonts w:ascii="Times New Roman" w:hAnsi="Times New Roman" w:cs="Times New Roman"/>
          <w:sz w:val="26"/>
          <w:szCs w:val="26"/>
        </w:rPr>
        <w:t xml:space="preserve">ans les années à venir, les pays de la Zone pourraient envisager de </w:t>
      </w:r>
      <w:r w:rsidR="00436DBA" w:rsidRPr="00833484">
        <w:rPr>
          <w:rFonts w:ascii="Times New Roman" w:hAnsi="Times New Roman" w:cs="Times New Roman"/>
          <w:sz w:val="26"/>
          <w:szCs w:val="26"/>
        </w:rPr>
        <w:t>re</w:t>
      </w:r>
      <w:r w:rsidR="009E4D60" w:rsidRPr="00833484">
        <w:rPr>
          <w:rFonts w:ascii="Times New Roman" w:hAnsi="Times New Roman" w:cs="Times New Roman"/>
          <w:sz w:val="26"/>
          <w:szCs w:val="26"/>
        </w:rPr>
        <w:t>négocier à la baisse la portion de 50% de nos réserves de change à bloquer sur le compte d’opérations auprès du Trésor français</w:t>
      </w:r>
      <w:r w:rsidR="0001188D" w:rsidRPr="00833484">
        <w:rPr>
          <w:rFonts w:ascii="Times New Roman" w:hAnsi="Times New Roman" w:cs="Times New Roman"/>
          <w:sz w:val="26"/>
          <w:szCs w:val="26"/>
        </w:rPr>
        <w:t xml:space="preserve"> (par exemple, ramener la portion aux alentours de 30%)</w:t>
      </w:r>
      <w:r w:rsidR="009E4D60" w:rsidRPr="00833484">
        <w:rPr>
          <w:rFonts w:ascii="Times New Roman" w:hAnsi="Times New Roman" w:cs="Times New Roman"/>
          <w:sz w:val="26"/>
          <w:szCs w:val="26"/>
        </w:rPr>
        <w:t xml:space="preserve">. </w:t>
      </w:r>
      <w:r w:rsidR="0068224B" w:rsidRPr="00833484">
        <w:rPr>
          <w:rFonts w:ascii="Times New Roman" w:hAnsi="Times New Roman" w:cs="Times New Roman"/>
          <w:sz w:val="26"/>
          <w:szCs w:val="26"/>
        </w:rPr>
        <w:t xml:space="preserve">Mais, tout cela </w:t>
      </w:r>
      <w:r w:rsidR="009E4D60" w:rsidRPr="00833484">
        <w:rPr>
          <w:rFonts w:ascii="Times New Roman" w:hAnsi="Times New Roman" w:cs="Times New Roman"/>
          <w:sz w:val="26"/>
          <w:szCs w:val="26"/>
        </w:rPr>
        <w:t xml:space="preserve">ne serait possible que dans l’éventualité d’une </w:t>
      </w:r>
      <w:r w:rsidR="00DA6427" w:rsidRPr="00833484">
        <w:rPr>
          <w:rFonts w:ascii="Times New Roman" w:hAnsi="Times New Roman" w:cs="Times New Roman"/>
          <w:sz w:val="26"/>
          <w:szCs w:val="26"/>
        </w:rPr>
        <w:t xml:space="preserve">stabilité politique accompagnée d’une décennie de </w:t>
      </w:r>
      <w:r>
        <w:rPr>
          <w:rFonts w:ascii="Times New Roman" w:hAnsi="Times New Roman" w:cs="Times New Roman"/>
          <w:sz w:val="26"/>
          <w:szCs w:val="26"/>
        </w:rPr>
        <w:t xml:space="preserve">croissance durable, inclusive, et </w:t>
      </w:r>
      <w:r w:rsidR="009E4D60" w:rsidRPr="00833484">
        <w:rPr>
          <w:rFonts w:ascii="Times New Roman" w:hAnsi="Times New Roman" w:cs="Times New Roman"/>
          <w:sz w:val="26"/>
          <w:szCs w:val="26"/>
        </w:rPr>
        <w:t>soutenue</w:t>
      </w:r>
      <w:r w:rsidR="00DA6427" w:rsidRPr="00833484">
        <w:rPr>
          <w:rFonts w:ascii="Times New Roman" w:hAnsi="Times New Roman" w:cs="Times New Roman"/>
          <w:sz w:val="26"/>
          <w:szCs w:val="26"/>
        </w:rPr>
        <w:t>.</w:t>
      </w:r>
      <w:r w:rsidR="00875838" w:rsidRPr="00833484">
        <w:rPr>
          <w:rFonts w:ascii="Times New Roman" w:hAnsi="Times New Roman" w:cs="Times New Roman"/>
          <w:sz w:val="26"/>
          <w:szCs w:val="26"/>
        </w:rPr>
        <w:t xml:space="preserve"> D’autres </w:t>
      </w:r>
      <w:r w:rsidR="003E2D42" w:rsidRPr="00833484">
        <w:rPr>
          <w:rFonts w:ascii="Times New Roman" w:hAnsi="Times New Roman" w:cs="Times New Roman"/>
          <w:sz w:val="26"/>
          <w:szCs w:val="26"/>
        </w:rPr>
        <w:t xml:space="preserve">pistes peuvent être explorées comme par exemple </w:t>
      </w:r>
      <w:r w:rsidR="00875838" w:rsidRPr="00833484">
        <w:rPr>
          <w:rFonts w:ascii="Times New Roman" w:hAnsi="Times New Roman" w:cs="Times New Roman"/>
          <w:sz w:val="26"/>
          <w:szCs w:val="26"/>
        </w:rPr>
        <w:t xml:space="preserve">inciter la France de placer </w:t>
      </w:r>
      <w:r w:rsidR="00470060" w:rsidRPr="00833484">
        <w:rPr>
          <w:rFonts w:ascii="Times New Roman" w:hAnsi="Times New Roman" w:cs="Times New Roman"/>
          <w:sz w:val="26"/>
          <w:szCs w:val="26"/>
        </w:rPr>
        <w:t xml:space="preserve">davantage </w:t>
      </w:r>
      <w:r w:rsidR="00875838" w:rsidRPr="00833484">
        <w:rPr>
          <w:rFonts w:ascii="Times New Roman" w:hAnsi="Times New Roman" w:cs="Times New Roman"/>
          <w:sz w:val="26"/>
          <w:szCs w:val="26"/>
        </w:rPr>
        <w:t xml:space="preserve">une partie de ces ressources </w:t>
      </w:r>
      <w:r w:rsidR="00EA523A" w:rsidRPr="00833484">
        <w:rPr>
          <w:rFonts w:ascii="Times New Roman" w:hAnsi="Times New Roman" w:cs="Times New Roman"/>
          <w:sz w:val="26"/>
          <w:szCs w:val="26"/>
        </w:rPr>
        <w:t>dans</w:t>
      </w:r>
      <w:r w:rsidR="00875838" w:rsidRPr="00833484">
        <w:rPr>
          <w:rFonts w:ascii="Times New Roman" w:hAnsi="Times New Roman" w:cs="Times New Roman"/>
          <w:sz w:val="26"/>
          <w:szCs w:val="26"/>
        </w:rPr>
        <w:t xml:space="preserve"> les </w:t>
      </w:r>
      <w:r w:rsidR="00EA523A" w:rsidRPr="00833484">
        <w:rPr>
          <w:rFonts w:ascii="Times New Roman" w:hAnsi="Times New Roman" w:cs="Times New Roman"/>
          <w:sz w:val="26"/>
          <w:szCs w:val="26"/>
        </w:rPr>
        <w:t>projets structurants</w:t>
      </w:r>
      <w:r w:rsidR="003B7E30" w:rsidRPr="00833484">
        <w:rPr>
          <w:rFonts w:ascii="Times New Roman" w:hAnsi="Times New Roman" w:cs="Times New Roman"/>
          <w:sz w:val="26"/>
          <w:szCs w:val="26"/>
        </w:rPr>
        <w:t xml:space="preserve"> (infrastructures par exemple)</w:t>
      </w:r>
      <w:r w:rsidR="00875838" w:rsidRPr="00833484">
        <w:rPr>
          <w:rFonts w:ascii="Times New Roman" w:hAnsi="Times New Roman" w:cs="Times New Roman"/>
          <w:sz w:val="26"/>
          <w:szCs w:val="26"/>
        </w:rPr>
        <w:t xml:space="preserve"> de la Zone franc via un fonds </w:t>
      </w:r>
      <w:r w:rsidR="00F135BA" w:rsidRPr="00833484">
        <w:rPr>
          <w:rFonts w:ascii="Times New Roman" w:hAnsi="Times New Roman" w:cs="Times New Roman"/>
          <w:sz w:val="26"/>
          <w:szCs w:val="26"/>
        </w:rPr>
        <w:t xml:space="preserve">ou véhicule </w:t>
      </w:r>
      <w:r w:rsidR="00875838" w:rsidRPr="00833484">
        <w:rPr>
          <w:rFonts w:ascii="Times New Roman" w:hAnsi="Times New Roman" w:cs="Times New Roman"/>
          <w:sz w:val="26"/>
          <w:szCs w:val="26"/>
        </w:rPr>
        <w:t>d’investissement</w:t>
      </w:r>
      <w:r w:rsidR="007F3C18" w:rsidRPr="00833484">
        <w:rPr>
          <w:rFonts w:ascii="Times New Roman" w:hAnsi="Times New Roman" w:cs="Times New Roman"/>
          <w:sz w:val="26"/>
          <w:szCs w:val="26"/>
        </w:rPr>
        <w:t xml:space="preserve"> </w:t>
      </w:r>
      <w:r w:rsidR="003A5E21" w:rsidRPr="00833484">
        <w:rPr>
          <w:rFonts w:ascii="Times New Roman" w:hAnsi="Times New Roman" w:cs="Times New Roman"/>
          <w:sz w:val="26"/>
          <w:szCs w:val="26"/>
        </w:rPr>
        <w:t xml:space="preserve">en </w:t>
      </w:r>
      <w:r w:rsidR="008942BD" w:rsidRPr="00833484">
        <w:rPr>
          <w:rFonts w:ascii="Times New Roman" w:hAnsi="Times New Roman" w:cs="Times New Roman"/>
          <w:sz w:val="26"/>
          <w:szCs w:val="26"/>
        </w:rPr>
        <w:t>supplément</w:t>
      </w:r>
      <w:r w:rsidR="007F3C18" w:rsidRPr="00833484">
        <w:rPr>
          <w:rFonts w:ascii="Times New Roman" w:hAnsi="Times New Roman" w:cs="Times New Roman"/>
          <w:sz w:val="26"/>
          <w:szCs w:val="26"/>
        </w:rPr>
        <w:t xml:space="preserve"> des fonds qui transitent</w:t>
      </w:r>
      <w:r w:rsidR="008C3EFE" w:rsidRPr="00833484">
        <w:rPr>
          <w:rFonts w:ascii="Times New Roman" w:hAnsi="Times New Roman" w:cs="Times New Roman"/>
          <w:sz w:val="26"/>
          <w:szCs w:val="26"/>
        </w:rPr>
        <w:t>, déjà,</w:t>
      </w:r>
      <w:r w:rsidR="007F3C18" w:rsidRPr="00833484">
        <w:rPr>
          <w:rFonts w:ascii="Times New Roman" w:hAnsi="Times New Roman" w:cs="Times New Roman"/>
          <w:sz w:val="26"/>
          <w:szCs w:val="26"/>
        </w:rPr>
        <w:t xml:space="preserve"> par l’AFD (Agence Française de Développement)</w:t>
      </w:r>
      <w:r w:rsidR="00875838" w:rsidRPr="00833484">
        <w:rPr>
          <w:rFonts w:ascii="Times New Roman" w:hAnsi="Times New Roman" w:cs="Times New Roman"/>
          <w:sz w:val="26"/>
          <w:szCs w:val="26"/>
        </w:rPr>
        <w:t>.</w:t>
      </w:r>
      <w:r w:rsidR="00B319A3" w:rsidRPr="00833484">
        <w:rPr>
          <w:rFonts w:ascii="Times New Roman" w:hAnsi="Times New Roman" w:cs="Times New Roman"/>
          <w:sz w:val="26"/>
          <w:szCs w:val="26"/>
        </w:rPr>
        <w:t xml:space="preserve"> Donc, le débat pourrait se situer à une éventuelle renégociation.</w:t>
      </w:r>
    </w:p>
    <w:p w:rsidR="009F7582" w:rsidRDefault="009F7582" w:rsidP="00420A1E">
      <w:pPr>
        <w:keepNext/>
        <w:keepLines/>
        <w:tabs>
          <w:tab w:val="left" w:pos="5978"/>
        </w:tabs>
        <w:suppressAutoHyphens/>
        <w:spacing w:after="0" w:line="240" w:lineRule="auto"/>
        <w:jc w:val="right"/>
        <w:rPr>
          <w:rFonts w:ascii="Times New Roman" w:hAnsi="Times New Roman" w:cs="Times New Roman"/>
          <w:sz w:val="26"/>
          <w:szCs w:val="26"/>
        </w:rPr>
      </w:pPr>
    </w:p>
    <w:p w:rsidR="000F5278" w:rsidRDefault="000F5278" w:rsidP="00420A1E">
      <w:pPr>
        <w:keepNext/>
        <w:keepLines/>
        <w:tabs>
          <w:tab w:val="left" w:pos="5978"/>
        </w:tabs>
        <w:suppressAutoHyphens/>
        <w:spacing w:after="0" w:line="240" w:lineRule="auto"/>
        <w:jc w:val="right"/>
        <w:rPr>
          <w:rFonts w:ascii="Times New Roman" w:hAnsi="Times New Roman" w:cs="Times New Roman"/>
          <w:sz w:val="26"/>
          <w:szCs w:val="26"/>
        </w:rPr>
      </w:pPr>
    </w:p>
    <w:p w:rsidR="000F5278" w:rsidRDefault="000F5278" w:rsidP="00420A1E">
      <w:pPr>
        <w:keepNext/>
        <w:keepLines/>
        <w:tabs>
          <w:tab w:val="left" w:pos="5978"/>
        </w:tabs>
        <w:suppressAutoHyphens/>
        <w:spacing w:after="0" w:line="240" w:lineRule="auto"/>
        <w:jc w:val="right"/>
        <w:rPr>
          <w:rFonts w:ascii="Times New Roman" w:hAnsi="Times New Roman" w:cs="Times New Roman"/>
          <w:sz w:val="26"/>
          <w:szCs w:val="26"/>
        </w:rPr>
      </w:pPr>
    </w:p>
    <w:p w:rsidR="000F5278" w:rsidRDefault="000F5278" w:rsidP="00420A1E">
      <w:pPr>
        <w:keepNext/>
        <w:keepLines/>
        <w:tabs>
          <w:tab w:val="left" w:pos="5978"/>
        </w:tabs>
        <w:suppressAutoHyphens/>
        <w:spacing w:after="0" w:line="240" w:lineRule="auto"/>
        <w:jc w:val="right"/>
        <w:rPr>
          <w:rFonts w:ascii="Times New Roman" w:hAnsi="Times New Roman" w:cs="Times New Roman"/>
          <w:sz w:val="26"/>
          <w:szCs w:val="26"/>
        </w:rPr>
      </w:pPr>
    </w:p>
    <w:p w:rsidR="000F5278" w:rsidRDefault="000F5278" w:rsidP="00420A1E">
      <w:pPr>
        <w:keepNext/>
        <w:keepLines/>
        <w:tabs>
          <w:tab w:val="left" w:pos="5978"/>
        </w:tabs>
        <w:suppressAutoHyphens/>
        <w:spacing w:after="0" w:line="240" w:lineRule="auto"/>
        <w:jc w:val="right"/>
        <w:rPr>
          <w:rFonts w:ascii="Times New Roman" w:hAnsi="Times New Roman" w:cs="Times New Roman"/>
          <w:sz w:val="26"/>
          <w:szCs w:val="26"/>
        </w:rPr>
      </w:pPr>
    </w:p>
    <w:p w:rsidR="000F5278" w:rsidRDefault="000F5278" w:rsidP="00420A1E">
      <w:pPr>
        <w:keepNext/>
        <w:keepLines/>
        <w:tabs>
          <w:tab w:val="left" w:pos="5978"/>
        </w:tabs>
        <w:suppressAutoHyphens/>
        <w:spacing w:after="0" w:line="240" w:lineRule="auto"/>
        <w:jc w:val="right"/>
        <w:rPr>
          <w:rFonts w:ascii="Times New Roman" w:hAnsi="Times New Roman" w:cs="Times New Roman"/>
          <w:sz w:val="26"/>
          <w:szCs w:val="26"/>
        </w:rPr>
      </w:pPr>
    </w:p>
    <w:p w:rsidR="000F5278" w:rsidRDefault="000F5278" w:rsidP="00420A1E">
      <w:pPr>
        <w:keepNext/>
        <w:keepLines/>
        <w:tabs>
          <w:tab w:val="left" w:pos="5978"/>
        </w:tabs>
        <w:suppressAutoHyphens/>
        <w:spacing w:after="0" w:line="240" w:lineRule="auto"/>
        <w:jc w:val="right"/>
        <w:rPr>
          <w:rFonts w:ascii="Times New Roman" w:hAnsi="Times New Roman" w:cs="Times New Roman"/>
          <w:sz w:val="26"/>
          <w:szCs w:val="26"/>
        </w:rPr>
      </w:pPr>
    </w:p>
    <w:p w:rsidR="000F5278" w:rsidRDefault="000F5278" w:rsidP="00420A1E">
      <w:pPr>
        <w:keepNext/>
        <w:keepLines/>
        <w:tabs>
          <w:tab w:val="left" w:pos="5978"/>
        </w:tabs>
        <w:suppressAutoHyphens/>
        <w:spacing w:after="0" w:line="240" w:lineRule="auto"/>
        <w:jc w:val="right"/>
        <w:rPr>
          <w:rFonts w:ascii="Times New Roman" w:hAnsi="Times New Roman" w:cs="Times New Roman"/>
          <w:sz w:val="26"/>
          <w:szCs w:val="26"/>
        </w:rPr>
      </w:pPr>
    </w:p>
    <w:p w:rsidR="000F5278" w:rsidRPr="00833484" w:rsidRDefault="000F5278" w:rsidP="00420A1E">
      <w:pPr>
        <w:keepNext/>
        <w:keepLines/>
        <w:tabs>
          <w:tab w:val="left" w:pos="5978"/>
        </w:tabs>
        <w:suppressAutoHyphens/>
        <w:spacing w:after="0" w:line="240" w:lineRule="auto"/>
        <w:jc w:val="right"/>
        <w:rPr>
          <w:rFonts w:ascii="Times New Roman" w:hAnsi="Times New Roman" w:cs="Times New Roman"/>
          <w:sz w:val="26"/>
          <w:szCs w:val="26"/>
        </w:rPr>
      </w:pPr>
    </w:p>
    <w:p w:rsidR="00882095" w:rsidRPr="00833484" w:rsidRDefault="00882095" w:rsidP="00420A1E">
      <w:pPr>
        <w:keepNext/>
        <w:keepLines/>
        <w:suppressAutoHyphens/>
        <w:jc w:val="both"/>
        <w:rPr>
          <w:rFonts w:ascii="Times New Roman" w:hAnsi="Times New Roman" w:cs="Times New Roman"/>
          <w:sz w:val="26"/>
          <w:szCs w:val="26"/>
        </w:rPr>
      </w:pPr>
    </w:p>
    <w:p w:rsidR="00882095" w:rsidRPr="00833484" w:rsidRDefault="00882095" w:rsidP="00420A1E">
      <w:pPr>
        <w:keepNext/>
        <w:keepLines/>
        <w:suppressAutoHyphens/>
        <w:jc w:val="both"/>
        <w:rPr>
          <w:rFonts w:ascii="Times New Roman" w:hAnsi="Times New Roman" w:cs="Times New Roman"/>
          <w:sz w:val="26"/>
          <w:szCs w:val="26"/>
        </w:rPr>
      </w:pPr>
    </w:p>
    <w:p w:rsidR="00882095" w:rsidRPr="00833484" w:rsidRDefault="00882095" w:rsidP="00420A1E">
      <w:pPr>
        <w:keepNext/>
        <w:keepLines/>
        <w:suppressAutoHyphens/>
        <w:jc w:val="both"/>
        <w:rPr>
          <w:rFonts w:ascii="Times New Roman" w:hAnsi="Times New Roman" w:cs="Times New Roman"/>
          <w:sz w:val="26"/>
          <w:szCs w:val="26"/>
        </w:rPr>
      </w:pPr>
    </w:p>
    <w:p w:rsidR="00882095" w:rsidRDefault="00882095" w:rsidP="00420A1E">
      <w:pPr>
        <w:keepNext/>
        <w:keepLines/>
        <w:suppressAutoHyphens/>
        <w:jc w:val="both"/>
        <w:rPr>
          <w:rFonts w:ascii="Times New Roman" w:hAnsi="Times New Roman" w:cs="Times New Roman"/>
          <w:sz w:val="26"/>
          <w:szCs w:val="26"/>
        </w:rPr>
      </w:pPr>
    </w:p>
    <w:p w:rsidR="00420A1E" w:rsidRDefault="00420A1E" w:rsidP="00420A1E">
      <w:pPr>
        <w:keepNext/>
        <w:keepLines/>
        <w:suppressAutoHyphens/>
        <w:jc w:val="both"/>
        <w:rPr>
          <w:rFonts w:ascii="Times New Roman" w:hAnsi="Times New Roman" w:cs="Times New Roman"/>
          <w:sz w:val="26"/>
          <w:szCs w:val="26"/>
        </w:rPr>
      </w:pPr>
    </w:p>
    <w:p w:rsidR="00420A1E" w:rsidRDefault="00420A1E" w:rsidP="00420A1E">
      <w:pPr>
        <w:keepNext/>
        <w:keepLines/>
        <w:suppressAutoHyphens/>
        <w:jc w:val="both"/>
        <w:rPr>
          <w:rFonts w:ascii="Times New Roman" w:hAnsi="Times New Roman" w:cs="Times New Roman"/>
          <w:sz w:val="26"/>
          <w:szCs w:val="26"/>
        </w:rPr>
      </w:pPr>
    </w:p>
    <w:p w:rsidR="00420A1E" w:rsidRDefault="00420A1E" w:rsidP="00420A1E">
      <w:pPr>
        <w:keepNext/>
        <w:keepLines/>
        <w:suppressAutoHyphens/>
        <w:jc w:val="both"/>
        <w:rPr>
          <w:rFonts w:ascii="Times New Roman" w:hAnsi="Times New Roman" w:cs="Times New Roman"/>
          <w:sz w:val="26"/>
          <w:szCs w:val="26"/>
        </w:rPr>
      </w:pPr>
    </w:p>
    <w:p w:rsidR="00420A1E" w:rsidRDefault="00420A1E" w:rsidP="00420A1E">
      <w:pPr>
        <w:keepNext/>
        <w:keepLines/>
        <w:suppressAutoHyphens/>
        <w:jc w:val="both"/>
        <w:rPr>
          <w:rFonts w:ascii="Times New Roman" w:hAnsi="Times New Roman" w:cs="Times New Roman"/>
          <w:sz w:val="26"/>
          <w:szCs w:val="26"/>
        </w:rPr>
      </w:pPr>
    </w:p>
    <w:p w:rsidR="00420A1E" w:rsidRDefault="00420A1E" w:rsidP="00420A1E">
      <w:pPr>
        <w:keepNext/>
        <w:keepLines/>
        <w:suppressAutoHyphens/>
        <w:jc w:val="both"/>
        <w:rPr>
          <w:rFonts w:ascii="Times New Roman" w:hAnsi="Times New Roman" w:cs="Times New Roman"/>
          <w:sz w:val="26"/>
          <w:szCs w:val="26"/>
        </w:rPr>
      </w:pPr>
    </w:p>
    <w:p w:rsidR="00600C98" w:rsidRDefault="00600C98" w:rsidP="00420A1E">
      <w:pPr>
        <w:keepNext/>
        <w:keepLines/>
        <w:suppressAutoHyphens/>
        <w:jc w:val="both"/>
        <w:rPr>
          <w:rFonts w:ascii="Times New Roman" w:hAnsi="Times New Roman" w:cs="Times New Roman"/>
          <w:sz w:val="26"/>
          <w:szCs w:val="26"/>
        </w:rPr>
      </w:pPr>
    </w:p>
    <w:p w:rsidR="00600C98" w:rsidRDefault="00600C98" w:rsidP="00420A1E">
      <w:pPr>
        <w:keepNext/>
        <w:keepLines/>
        <w:suppressAutoHyphens/>
        <w:jc w:val="both"/>
        <w:rPr>
          <w:rFonts w:ascii="Times New Roman" w:hAnsi="Times New Roman" w:cs="Times New Roman"/>
          <w:sz w:val="26"/>
          <w:szCs w:val="26"/>
        </w:rPr>
      </w:pPr>
    </w:p>
    <w:p w:rsidR="00D20782" w:rsidRPr="0084618D" w:rsidRDefault="00D20782" w:rsidP="00420A1E">
      <w:pPr>
        <w:pStyle w:val="Titre1"/>
        <w:keepNext/>
        <w:keepLines/>
        <w:numPr>
          <w:ilvl w:val="0"/>
          <w:numId w:val="5"/>
        </w:numPr>
        <w:suppressAutoHyphens/>
        <w:rPr>
          <w:sz w:val="32"/>
        </w:rPr>
      </w:pPr>
      <w:bookmarkStart w:id="10" w:name="_Toc428947871"/>
      <w:r w:rsidRPr="0084618D">
        <w:rPr>
          <w:sz w:val="32"/>
        </w:rPr>
        <w:lastRenderedPageBreak/>
        <w:t>Références bibliographiques :</w:t>
      </w:r>
      <w:bookmarkEnd w:id="10"/>
    </w:p>
    <w:p w:rsidR="00430470" w:rsidRDefault="00D20782" w:rsidP="00420A1E">
      <w:pPr>
        <w:keepNext/>
        <w:keepLines/>
        <w:suppressAutoHyphens/>
        <w:jc w:val="both"/>
        <w:rPr>
          <w:rFonts w:ascii="Times New Roman" w:hAnsi="Times New Roman" w:cs="Times New Roman"/>
          <w:sz w:val="26"/>
          <w:szCs w:val="26"/>
        </w:rPr>
      </w:pPr>
      <w:r w:rsidRPr="00833484">
        <w:rPr>
          <w:rFonts w:ascii="Times New Roman" w:hAnsi="Times New Roman" w:cs="Times New Roman"/>
          <w:sz w:val="26"/>
          <w:szCs w:val="26"/>
        </w:rPr>
        <w:t xml:space="preserve">[1] </w:t>
      </w:r>
      <w:r w:rsidRPr="00833484">
        <w:rPr>
          <w:rFonts w:ascii="Times New Roman" w:hAnsi="Times New Roman" w:cs="Times New Roman"/>
          <w:i/>
          <w:sz w:val="26"/>
          <w:szCs w:val="26"/>
        </w:rPr>
        <w:t xml:space="preserve"> </w:t>
      </w:r>
      <w:r w:rsidRPr="00833484">
        <w:rPr>
          <w:rFonts w:ascii="Times New Roman" w:hAnsi="Times New Roman" w:cs="Times New Roman"/>
          <w:sz w:val="26"/>
          <w:szCs w:val="26"/>
        </w:rPr>
        <w:t>Banque de France, note d’information</w:t>
      </w:r>
      <w:r w:rsidR="001F7BF8" w:rsidRPr="00833484">
        <w:rPr>
          <w:rFonts w:ascii="Times New Roman" w:hAnsi="Times New Roman" w:cs="Times New Roman"/>
          <w:sz w:val="26"/>
          <w:szCs w:val="26"/>
        </w:rPr>
        <w:t xml:space="preserve"> </w:t>
      </w:r>
      <w:r w:rsidRPr="00833484">
        <w:rPr>
          <w:rFonts w:ascii="Times New Roman" w:hAnsi="Times New Roman" w:cs="Times New Roman"/>
          <w:sz w:val="26"/>
          <w:szCs w:val="26"/>
        </w:rPr>
        <w:t xml:space="preserve"> N° 127, la Zone Franc, avril 2002 actualisation juillet 2010</w:t>
      </w:r>
      <w:r w:rsidR="00900D68">
        <w:rPr>
          <w:rFonts w:ascii="Times New Roman" w:hAnsi="Times New Roman" w:cs="Times New Roman"/>
          <w:sz w:val="26"/>
          <w:szCs w:val="26"/>
        </w:rPr>
        <w:t> ; Statistiques de la Zone franc.</w:t>
      </w:r>
      <w:r w:rsidRPr="00833484">
        <w:rPr>
          <w:rFonts w:ascii="Times New Roman" w:hAnsi="Times New Roman" w:cs="Times New Roman"/>
          <w:sz w:val="26"/>
          <w:szCs w:val="26"/>
        </w:rPr>
        <w:t xml:space="preserve"> </w:t>
      </w:r>
    </w:p>
    <w:p w:rsidR="00A64690" w:rsidRPr="00833484" w:rsidRDefault="00A64690" w:rsidP="00420A1E">
      <w:pPr>
        <w:keepNext/>
        <w:keepLines/>
        <w:suppressAutoHyphens/>
        <w:jc w:val="both"/>
        <w:rPr>
          <w:rFonts w:ascii="Times New Roman" w:hAnsi="Times New Roman" w:cs="Times New Roman"/>
          <w:sz w:val="26"/>
          <w:szCs w:val="26"/>
        </w:rPr>
      </w:pPr>
    </w:p>
    <w:p w:rsidR="00D20782" w:rsidRDefault="00D20782" w:rsidP="00420A1E">
      <w:pPr>
        <w:keepNext/>
        <w:keepLines/>
        <w:suppressAutoHyphens/>
        <w:jc w:val="both"/>
        <w:rPr>
          <w:rFonts w:ascii="Times New Roman" w:hAnsi="Times New Roman" w:cs="Times New Roman"/>
          <w:sz w:val="26"/>
          <w:szCs w:val="26"/>
        </w:rPr>
      </w:pPr>
      <w:r w:rsidRPr="00833484">
        <w:rPr>
          <w:rFonts w:ascii="Times New Roman" w:hAnsi="Times New Roman" w:cs="Times New Roman"/>
          <w:sz w:val="26"/>
          <w:szCs w:val="26"/>
        </w:rPr>
        <w:t xml:space="preserve">[2] </w:t>
      </w:r>
      <w:r w:rsidR="00B70E41" w:rsidRPr="00833484">
        <w:rPr>
          <w:rFonts w:ascii="Times New Roman" w:hAnsi="Times New Roman" w:cs="Times New Roman"/>
          <w:sz w:val="26"/>
          <w:szCs w:val="26"/>
        </w:rPr>
        <w:t>Trésor français</w:t>
      </w:r>
      <w:r w:rsidR="00BA02DB" w:rsidRPr="00833484">
        <w:rPr>
          <w:rFonts w:ascii="Times New Roman" w:hAnsi="Times New Roman" w:cs="Times New Roman"/>
          <w:sz w:val="26"/>
          <w:szCs w:val="26"/>
        </w:rPr>
        <w:t> : site web officiel</w:t>
      </w:r>
    </w:p>
    <w:p w:rsidR="00A64690" w:rsidRPr="00833484" w:rsidRDefault="00A64690" w:rsidP="00420A1E">
      <w:pPr>
        <w:keepNext/>
        <w:keepLines/>
        <w:suppressAutoHyphens/>
        <w:jc w:val="both"/>
        <w:rPr>
          <w:rFonts w:ascii="Times New Roman" w:hAnsi="Times New Roman" w:cs="Times New Roman"/>
          <w:sz w:val="26"/>
          <w:szCs w:val="26"/>
        </w:rPr>
      </w:pPr>
    </w:p>
    <w:p w:rsidR="00D20782" w:rsidRDefault="00D20782" w:rsidP="00420A1E">
      <w:pPr>
        <w:keepNext/>
        <w:keepLines/>
        <w:suppressAutoHyphens/>
        <w:jc w:val="both"/>
        <w:rPr>
          <w:rFonts w:ascii="Times New Roman" w:hAnsi="Times New Roman" w:cs="Times New Roman"/>
          <w:sz w:val="26"/>
          <w:szCs w:val="26"/>
        </w:rPr>
      </w:pPr>
      <w:r w:rsidRPr="00833484">
        <w:rPr>
          <w:rFonts w:ascii="Times New Roman" w:hAnsi="Times New Roman" w:cs="Times New Roman"/>
          <w:sz w:val="26"/>
          <w:szCs w:val="26"/>
        </w:rPr>
        <w:t xml:space="preserve">[3] </w:t>
      </w:r>
      <w:r w:rsidR="00D77D07" w:rsidRPr="00833484">
        <w:rPr>
          <w:rFonts w:ascii="Times New Roman" w:hAnsi="Times New Roman" w:cs="Times New Roman"/>
          <w:sz w:val="26"/>
          <w:szCs w:val="26"/>
        </w:rPr>
        <w:t xml:space="preserve">BEAC : </w:t>
      </w:r>
      <w:r w:rsidRPr="00833484">
        <w:rPr>
          <w:rFonts w:ascii="Times New Roman" w:hAnsi="Times New Roman" w:cs="Times New Roman"/>
          <w:sz w:val="26"/>
          <w:szCs w:val="26"/>
        </w:rPr>
        <w:t xml:space="preserve">Rapports spéciaux comptes d’opérations et rapports </w:t>
      </w:r>
      <w:r w:rsidR="00D77D07" w:rsidRPr="00833484">
        <w:rPr>
          <w:rFonts w:ascii="Times New Roman" w:hAnsi="Times New Roman" w:cs="Times New Roman"/>
          <w:sz w:val="26"/>
          <w:szCs w:val="26"/>
        </w:rPr>
        <w:t>d’activité ;</w:t>
      </w:r>
      <w:r w:rsidRPr="00833484">
        <w:rPr>
          <w:rFonts w:ascii="Times New Roman" w:hAnsi="Times New Roman" w:cs="Times New Roman"/>
          <w:sz w:val="26"/>
          <w:szCs w:val="26"/>
        </w:rPr>
        <w:t xml:space="preserve"> </w:t>
      </w:r>
      <w:r w:rsidR="00D77D07" w:rsidRPr="00833484">
        <w:rPr>
          <w:rFonts w:ascii="Times New Roman" w:hAnsi="Times New Roman" w:cs="Times New Roman"/>
          <w:sz w:val="26"/>
          <w:szCs w:val="26"/>
        </w:rPr>
        <w:t xml:space="preserve">BCEAO : </w:t>
      </w:r>
      <w:r w:rsidRPr="00833484">
        <w:rPr>
          <w:rFonts w:ascii="Times New Roman" w:hAnsi="Times New Roman" w:cs="Times New Roman"/>
          <w:sz w:val="26"/>
          <w:szCs w:val="26"/>
        </w:rPr>
        <w:t>Rapports d’activité et annuaire statistique 2014</w:t>
      </w:r>
    </w:p>
    <w:p w:rsidR="00A64690" w:rsidRPr="00833484" w:rsidRDefault="00A64690" w:rsidP="00420A1E">
      <w:pPr>
        <w:keepNext/>
        <w:keepLines/>
        <w:suppressAutoHyphens/>
        <w:jc w:val="both"/>
        <w:rPr>
          <w:rFonts w:ascii="Times New Roman" w:hAnsi="Times New Roman" w:cs="Times New Roman"/>
          <w:sz w:val="26"/>
          <w:szCs w:val="26"/>
        </w:rPr>
      </w:pPr>
    </w:p>
    <w:p w:rsidR="000C104B" w:rsidRDefault="00DA01C4" w:rsidP="00420A1E">
      <w:pPr>
        <w:keepNext/>
        <w:keepLines/>
        <w:suppressAutoHyphens/>
        <w:jc w:val="both"/>
        <w:rPr>
          <w:rFonts w:ascii="Times New Roman" w:hAnsi="Times New Roman" w:cs="Times New Roman"/>
          <w:sz w:val="26"/>
          <w:szCs w:val="26"/>
        </w:rPr>
      </w:pPr>
      <w:r w:rsidRPr="00833484">
        <w:rPr>
          <w:rFonts w:ascii="Times New Roman" w:hAnsi="Times New Roman" w:cs="Times New Roman"/>
          <w:sz w:val="26"/>
          <w:szCs w:val="26"/>
        </w:rPr>
        <w:t xml:space="preserve">[4] </w:t>
      </w:r>
      <w:r w:rsidR="00D77D07" w:rsidRPr="00833484">
        <w:rPr>
          <w:rFonts w:ascii="Times New Roman" w:hAnsi="Times New Roman" w:cs="Times New Roman"/>
          <w:sz w:val="26"/>
          <w:szCs w:val="26"/>
        </w:rPr>
        <w:t xml:space="preserve">Banque de France : </w:t>
      </w:r>
      <w:r w:rsidRPr="00833484">
        <w:rPr>
          <w:rFonts w:ascii="Times New Roman" w:hAnsi="Times New Roman" w:cs="Times New Roman"/>
          <w:sz w:val="26"/>
          <w:szCs w:val="26"/>
        </w:rPr>
        <w:t>Rapports Zone franc 91-94</w:t>
      </w:r>
    </w:p>
    <w:p w:rsidR="00A64690" w:rsidRPr="00833484" w:rsidRDefault="00A64690" w:rsidP="00420A1E">
      <w:pPr>
        <w:keepNext/>
        <w:keepLines/>
        <w:suppressAutoHyphens/>
        <w:jc w:val="both"/>
        <w:rPr>
          <w:rFonts w:ascii="Times New Roman" w:hAnsi="Times New Roman" w:cs="Times New Roman"/>
          <w:sz w:val="26"/>
          <w:szCs w:val="26"/>
        </w:rPr>
      </w:pPr>
    </w:p>
    <w:p w:rsidR="000C104B" w:rsidRDefault="000C104B" w:rsidP="00420A1E">
      <w:pPr>
        <w:keepNext/>
        <w:keepLines/>
        <w:suppressAutoHyphens/>
        <w:jc w:val="both"/>
        <w:rPr>
          <w:rFonts w:ascii="Times New Roman" w:hAnsi="Times New Roman" w:cs="Times New Roman"/>
          <w:sz w:val="26"/>
          <w:szCs w:val="26"/>
        </w:rPr>
      </w:pPr>
      <w:r w:rsidRPr="00833484">
        <w:rPr>
          <w:rFonts w:ascii="Times New Roman" w:hAnsi="Times New Roman" w:cs="Times New Roman"/>
          <w:sz w:val="26"/>
          <w:szCs w:val="26"/>
        </w:rPr>
        <w:t xml:space="preserve">[5] </w:t>
      </w:r>
      <w:r w:rsidR="00D77D07" w:rsidRPr="00833484">
        <w:rPr>
          <w:rFonts w:ascii="Times New Roman" w:hAnsi="Times New Roman" w:cs="Times New Roman"/>
          <w:sz w:val="26"/>
          <w:szCs w:val="26"/>
        </w:rPr>
        <w:t xml:space="preserve">BCEAO : </w:t>
      </w:r>
      <w:r w:rsidRPr="00833484">
        <w:rPr>
          <w:rFonts w:ascii="Times New Roman" w:hAnsi="Times New Roman" w:cs="Times New Roman"/>
          <w:sz w:val="26"/>
          <w:szCs w:val="26"/>
        </w:rPr>
        <w:t>rapport sur la compétitivité des économies de l’UEMOA</w:t>
      </w:r>
      <w:r w:rsidR="00DA01C4" w:rsidRPr="00833484">
        <w:rPr>
          <w:rFonts w:ascii="Times New Roman" w:hAnsi="Times New Roman" w:cs="Times New Roman"/>
          <w:sz w:val="26"/>
          <w:szCs w:val="26"/>
        </w:rPr>
        <w:t xml:space="preserve">, </w:t>
      </w:r>
      <w:r w:rsidRPr="00833484">
        <w:rPr>
          <w:rFonts w:ascii="Times New Roman" w:hAnsi="Times New Roman" w:cs="Times New Roman"/>
          <w:sz w:val="26"/>
          <w:szCs w:val="26"/>
        </w:rPr>
        <w:t>2012</w:t>
      </w:r>
    </w:p>
    <w:p w:rsidR="00A64690" w:rsidRPr="00833484" w:rsidRDefault="00A64690" w:rsidP="00420A1E">
      <w:pPr>
        <w:keepNext/>
        <w:keepLines/>
        <w:suppressAutoHyphens/>
        <w:jc w:val="both"/>
        <w:rPr>
          <w:rFonts w:ascii="Times New Roman" w:hAnsi="Times New Roman" w:cs="Times New Roman"/>
          <w:sz w:val="26"/>
          <w:szCs w:val="26"/>
        </w:rPr>
      </w:pPr>
    </w:p>
    <w:p w:rsidR="00DA01C4" w:rsidRDefault="00DA01C4" w:rsidP="00420A1E">
      <w:pPr>
        <w:keepNext/>
        <w:keepLines/>
        <w:suppressAutoHyphens/>
        <w:jc w:val="both"/>
        <w:rPr>
          <w:rFonts w:ascii="Times New Roman" w:hAnsi="Times New Roman" w:cs="Times New Roman"/>
          <w:sz w:val="26"/>
          <w:szCs w:val="26"/>
        </w:rPr>
      </w:pPr>
      <w:r w:rsidRPr="00833484">
        <w:rPr>
          <w:rFonts w:ascii="Times New Roman" w:hAnsi="Times New Roman" w:cs="Times New Roman"/>
          <w:sz w:val="26"/>
          <w:szCs w:val="26"/>
        </w:rPr>
        <w:t>[6] Banque Mondiale</w:t>
      </w:r>
      <w:r w:rsidR="00A85BAF" w:rsidRPr="00833484">
        <w:rPr>
          <w:rFonts w:ascii="Times New Roman" w:hAnsi="Times New Roman" w:cs="Times New Roman"/>
          <w:sz w:val="26"/>
          <w:szCs w:val="26"/>
        </w:rPr>
        <w:t> : rapport doing business, 2012</w:t>
      </w:r>
    </w:p>
    <w:p w:rsidR="00A64690" w:rsidRPr="00833484" w:rsidRDefault="00A64690" w:rsidP="00420A1E">
      <w:pPr>
        <w:keepNext/>
        <w:keepLines/>
        <w:suppressAutoHyphens/>
        <w:jc w:val="both"/>
        <w:rPr>
          <w:rFonts w:ascii="Times New Roman" w:hAnsi="Times New Roman" w:cs="Times New Roman"/>
          <w:sz w:val="26"/>
          <w:szCs w:val="26"/>
        </w:rPr>
      </w:pPr>
    </w:p>
    <w:p w:rsidR="00423A0E" w:rsidRDefault="00423A0E" w:rsidP="00420A1E">
      <w:pPr>
        <w:keepNext/>
        <w:keepLines/>
        <w:suppressAutoHyphens/>
        <w:jc w:val="both"/>
        <w:rPr>
          <w:rFonts w:ascii="Times New Roman" w:hAnsi="Times New Roman" w:cs="Times New Roman"/>
          <w:sz w:val="26"/>
          <w:szCs w:val="26"/>
        </w:rPr>
      </w:pPr>
      <w:r w:rsidRPr="00833484">
        <w:rPr>
          <w:rFonts w:ascii="Times New Roman" w:hAnsi="Times New Roman" w:cs="Times New Roman"/>
          <w:sz w:val="26"/>
          <w:szCs w:val="26"/>
        </w:rPr>
        <w:t>[</w:t>
      </w:r>
      <w:r>
        <w:rPr>
          <w:rFonts w:ascii="Times New Roman" w:hAnsi="Times New Roman" w:cs="Times New Roman"/>
          <w:sz w:val="26"/>
          <w:szCs w:val="26"/>
        </w:rPr>
        <w:t>7</w:t>
      </w:r>
      <w:r w:rsidRPr="00833484">
        <w:rPr>
          <w:rFonts w:ascii="Times New Roman" w:hAnsi="Times New Roman" w:cs="Times New Roman"/>
          <w:sz w:val="26"/>
          <w:szCs w:val="26"/>
        </w:rPr>
        <w:t xml:space="preserve">] </w:t>
      </w:r>
      <w:r>
        <w:rPr>
          <w:rFonts w:ascii="Times New Roman" w:hAnsi="Times New Roman" w:cs="Times New Roman"/>
          <w:sz w:val="26"/>
          <w:szCs w:val="26"/>
        </w:rPr>
        <w:t>Notes de présentation loi de finances 2006, Michel CHARASSE</w:t>
      </w:r>
      <w:r w:rsidRPr="00833484">
        <w:rPr>
          <w:rFonts w:ascii="Times New Roman" w:hAnsi="Times New Roman" w:cs="Times New Roman"/>
          <w:sz w:val="26"/>
          <w:szCs w:val="26"/>
        </w:rPr>
        <w:t xml:space="preserve">, </w:t>
      </w:r>
      <w:r>
        <w:rPr>
          <w:rFonts w:ascii="Times New Roman" w:hAnsi="Times New Roman" w:cs="Times New Roman"/>
          <w:sz w:val="26"/>
          <w:szCs w:val="26"/>
        </w:rPr>
        <w:t>lien :</w:t>
      </w:r>
      <w:r w:rsidRPr="00423A0E">
        <w:t xml:space="preserve"> </w:t>
      </w:r>
      <w:hyperlink r:id="rId15" w:anchor="toc17" w:history="1">
        <w:r w:rsidRPr="00380A1B">
          <w:rPr>
            <w:rStyle w:val="Lienhypertexte"/>
            <w:rFonts w:ascii="Times New Roman" w:hAnsi="Times New Roman" w:cs="Times New Roman"/>
            <w:sz w:val="26"/>
            <w:szCs w:val="26"/>
          </w:rPr>
          <w:t>http://www.senat.fr/rap/np07_04ami/np07_04ami_mono.html#toc17</w:t>
        </w:r>
      </w:hyperlink>
      <w:r>
        <w:rPr>
          <w:rFonts w:ascii="Times New Roman" w:hAnsi="Times New Roman" w:cs="Times New Roman"/>
          <w:sz w:val="26"/>
          <w:szCs w:val="26"/>
        </w:rPr>
        <w:t xml:space="preserve"> </w:t>
      </w:r>
    </w:p>
    <w:p w:rsidR="00A64690" w:rsidRPr="00833484" w:rsidRDefault="00A64690" w:rsidP="00420A1E">
      <w:pPr>
        <w:keepNext/>
        <w:keepLines/>
        <w:suppressAutoHyphens/>
        <w:jc w:val="both"/>
        <w:rPr>
          <w:rFonts w:ascii="Times New Roman" w:hAnsi="Times New Roman" w:cs="Times New Roman"/>
          <w:sz w:val="26"/>
          <w:szCs w:val="26"/>
        </w:rPr>
      </w:pPr>
    </w:p>
    <w:p w:rsidR="00DA01C4" w:rsidRDefault="00423A0E" w:rsidP="00420A1E">
      <w:pPr>
        <w:keepNext/>
        <w:keepLines/>
        <w:suppressAutoHyphens/>
        <w:jc w:val="both"/>
        <w:rPr>
          <w:rFonts w:ascii="Times New Roman" w:hAnsi="Times New Roman" w:cs="Times New Roman"/>
          <w:sz w:val="26"/>
          <w:szCs w:val="26"/>
        </w:rPr>
      </w:pPr>
      <w:r>
        <w:rPr>
          <w:rFonts w:ascii="Times New Roman" w:hAnsi="Times New Roman" w:cs="Times New Roman"/>
          <w:sz w:val="26"/>
          <w:szCs w:val="26"/>
        </w:rPr>
        <w:t>[8</w:t>
      </w:r>
      <w:r w:rsidR="00DA01C4" w:rsidRPr="00833484">
        <w:rPr>
          <w:rFonts w:ascii="Times New Roman" w:hAnsi="Times New Roman" w:cs="Times New Roman"/>
          <w:sz w:val="26"/>
          <w:szCs w:val="26"/>
        </w:rPr>
        <w:t>] BCEAO : chronologie des évènements de l’histoire de la BCEAO et de l’UEMOA, édition 2012</w:t>
      </w:r>
    </w:p>
    <w:p w:rsidR="00A64690" w:rsidRPr="00833484" w:rsidRDefault="00A64690" w:rsidP="00420A1E">
      <w:pPr>
        <w:keepNext/>
        <w:keepLines/>
        <w:suppressAutoHyphens/>
        <w:jc w:val="both"/>
        <w:rPr>
          <w:rFonts w:ascii="Times New Roman" w:hAnsi="Times New Roman" w:cs="Times New Roman"/>
          <w:sz w:val="26"/>
          <w:szCs w:val="26"/>
        </w:rPr>
      </w:pPr>
    </w:p>
    <w:p w:rsidR="00AB5D2B" w:rsidRDefault="008D7733" w:rsidP="00420A1E">
      <w:pPr>
        <w:keepNext/>
        <w:keepLines/>
        <w:suppressAutoHyphens/>
        <w:jc w:val="both"/>
        <w:rPr>
          <w:rFonts w:ascii="Times New Roman" w:hAnsi="Times New Roman" w:cs="Times New Roman"/>
          <w:sz w:val="26"/>
          <w:szCs w:val="26"/>
        </w:rPr>
      </w:pPr>
      <w:r w:rsidRPr="00833484">
        <w:rPr>
          <w:rFonts w:ascii="Times New Roman" w:hAnsi="Times New Roman" w:cs="Times New Roman"/>
          <w:sz w:val="26"/>
          <w:szCs w:val="26"/>
        </w:rPr>
        <w:t>[</w:t>
      </w:r>
      <w:r w:rsidR="00423A0E">
        <w:rPr>
          <w:rFonts w:ascii="Times New Roman" w:hAnsi="Times New Roman" w:cs="Times New Roman"/>
          <w:sz w:val="26"/>
          <w:szCs w:val="26"/>
        </w:rPr>
        <w:t>9</w:t>
      </w:r>
      <w:r w:rsidRPr="00833484">
        <w:rPr>
          <w:rFonts w:ascii="Times New Roman" w:hAnsi="Times New Roman" w:cs="Times New Roman"/>
          <w:sz w:val="26"/>
          <w:szCs w:val="26"/>
        </w:rPr>
        <w:t>]</w:t>
      </w:r>
      <w:r w:rsidR="00AB5D2B" w:rsidRPr="00833484">
        <w:rPr>
          <w:rFonts w:ascii="Times New Roman" w:hAnsi="Times New Roman" w:cs="Times New Roman"/>
          <w:sz w:val="26"/>
          <w:szCs w:val="26"/>
        </w:rPr>
        <w:t xml:space="preserve"> Jacques RUEFF, </w:t>
      </w:r>
      <w:r w:rsidR="006136CF" w:rsidRPr="00833484">
        <w:rPr>
          <w:rFonts w:ascii="Times New Roman" w:hAnsi="Times New Roman" w:cs="Times New Roman"/>
          <w:sz w:val="26"/>
          <w:szCs w:val="26"/>
        </w:rPr>
        <w:t xml:space="preserve">polytechnicien et </w:t>
      </w:r>
      <w:r w:rsidR="00AB5D2B" w:rsidRPr="00833484">
        <w:rPr>
          <w:rFonts w:ascii="Times New Roman" w:hAnsi="Times New Roman" w:cs="Times New Roman"/>
          <w:sz w:val="26"/>
          <w:szCs w:val="26"/>
        </w:rPr>
        <w:t>économiste</w:t>
      </w:r>
      <w:r w:rsidR="00D1335E" w:rsidRPr="00833484">
        <w:rPr>
          <w:rFonts w:ascii="Times New Roman" w:hAnsi="Times New Roman" w:cs="Times New Roman"/>
          <w:sz w:val="26"/>
          <w:szCs w:val="26"/>
        </w:rPr>
        <w:t xml:space="preserve"> libéral</w:t>
      </w:r>
      <w:r w:rsidR="00AB5D2B" w:rsidRPr="00833484">
        <w:rPr>
          <w:rFonts w:ascii="Times New Roman" w:hAnsi="Times New Roman" w:cs="Times New Roman"/>
          <w:sz w:val="26"/>
          <w:szCs w:val="26"/>
        </w:rPr>
        <w:t xml:space="preserve"> français</w:t>
      </w:r>
      <w:r w:rsidR="00D1335E" w:rsidRPr="00833484">
        <w:rPr>
          <w:rFonts w:ascii="Times New Roman" w:hAnsi="Times New Roman" w:cs="Times New Roman"/>
          <w:sz w:val="26"/>
          <w:szCs w:val="26"/>
        </w:rPr>
        <w:t>, 1896-1978</w:t>
      </w:r>
    </w:p>
    <w:p w:rsidR="00A64690" w:rsidRPr="00833484" w:rsidRDefault="00A64690" w:rsidP="00420A1E">
      <w:pPr>
        <w:keepNext/>
        <w:keepLines/>
        <w:suppressAutoHyphens/>
        <w:jc w:val="both"/>
        <w:rPr>
          <w:rFonts w:ascii="Times New Roman" w:hAnsi="Times New Roman" w:cs="Times New Roman"/>
          <w:sz w:val="26"/>
          <w:szCs w:val="26"/>
        </w:rPr>
      </w:pPr>
    </w:p>
    <w:p w:rsidR="008D7733" w:rsidRDefault="00AB5D2B" w:rsidP="00420A1E">
      <w:pPr>
        <w:keepNext/>
        <w:keepLines/>
        <w:suppressAutoHyphens/>
        <w:jc w:val="both"/>
        <w:rPr>
          <w:rFonts w:ascii="Times New Roman" w:hAnsi="Times New Roman" w:cs="Times New Roman"/>
          <w:sz w:val="26"/>
          <w:szCs w:val="26"/>
        </w:rPr>
      </w:pPr>
      <w:r w:rsidRPr="00833484">
        <w:rPr>
          <w:rFonts w:ascii="Times New Roman" w:hAnsi="Times New Roman" w:cs="Times New Roman"/>
          <w:sz w:val="26"/>
          <w:szCs w:val="26"/>
        </w:rPr>
        <w:t>[</w:t>
      </w:r>
      <w:r w:rsidR="00423A0E">
        <w:rPr>
          <w:rFonts w:ascii="Times New Roman" w:hAnsi="Times New Roman" w:cs="Times New Roman"/>
          <w:sz w:val="26"/>
          <w:szCs w:val="26"/>
        </w:rPr>
        <w:t>10</w:t>
      </w:r>
      <w:r w:rsidRPr="00833484">
        <w:rPr>
          <w:rFonts w:ascii="Times New Roman" w:hAnsi="Times New Roman" w:cs="Times New Roman"/>
          <w:sz w:val="26"/>
          <w:szCs w:val="26"/>
        </w:rPr>
        <w:t>]</w:t>
      </w:r>
      <w:r w:rsidR="008D7733" w:rsidRPr="00833484">
        <w:rPr>
          <w:rFonts w:ascii="Times New Roman" w:hAnsi="Times New Roman" w:cs="Times New Roman"/>
          <w:sz w:val="26"/>
          <w:szCs w:val="26"/>
        </w:rPr>
        <w:t xml:space="preserve"> Jeune Afrique</w:t>
      </w:r>
      <w:r w:rsidR="00414332" w:rsidRPr="00833484">
        <w:rPr>
          <w:rFonts w:ascii="Times New Roman" w:hAnsi="Times New Roman" w:cs="Times New Roman"/>
          <w:sz w:val="26"/>
          <w:szCs w:val="26"/>
        </w:rPr>
        <w:t xml:space="preserve"> du 12 décembre 2012</w:t>
      </w:r>
    </w:p>
    <w:p w:rsidR="00A64690" w:rsidRPr="00833484" w:rsidRDefault="00A64690" w:rsidP="00420A1E">
      <w:pPr>
        <w:keepNext/>
        <w:keepLines/>
        <w:suppressAutoHyphens/>
        <w:jc w:val="both"/>
        <w:rPr>
          <w:rFonts w:ascii="Times New Roman" w:hAnsi="Times New Roman" w:cs="Times New Roman"/>
          <w:sz w:val="26"/>
          <w:szCs w:val="26"/>
        </w:rPr>
      </w:pPr>
    </w:p>
    <w:p w:rsidR="00545A89" w:rsidRPr="00833484" w:rsidRDefault="00AB5D2B" w:rsidP="00420A1E">
      <w:pPr>
        <w:keepNext/>
        <w:keepLines/>
        <w:suppressAutoHyphens/>
        <w:jc w:val="both"/>
        <w:rPr>
          <w:rFonts w:ascii="Times New Roman" w:hAnsi="Times New Roman" w:cs="Times New Roman"/>
          <w:sz w:val="26"/>
          <w:szCs w:val="26"/>
        </w:rPr>
      </w:pPr>
      <w:r w:rsidRPr="00833484">
        <w:rPr>
          <w:rFonts w:ascii="Times New Roman" w:hAnsi="Times New Roman" w:cs="Times New Roman"/>
          <w:sz w:val="26"/>
          <w:szCs w:val="26"/>
        </w:rPr>
        <w:t>[1</w:t>
      </w:r>
      <w:r w:rsidR="00423A0E">
        <w:rPr>
          <w:rFonts w:ascii="Times New Roman" w:hAnsi="Times New Roman" w:cs="Times New Roman"/>
          <w:sz w:val="26"/>
          <w:szCs w:val="26"/>
        </w:rPr>
        <w:t>1</w:t>
      </w:r>
      <w:r w:rsidRPr="00833484">
        <w:rPr>
          <w:rFonts w:ascii="Times New Roman" w:hAnsi="Times New Roman" w:cs="Times New Roman"/>
          <w:sz w:val="26"/>
          <w:szCs w:val="26"/>
        </w:rPr>
        <w:t>] CEDEAO</w:t>
      </w:r>
      <w:bookmarkStart w:id="11" w:name="_GoBack"/>
      <w:bookmarkEnd w:id="11"/>
    </w:p>
    <w:sectPr w:rsidR="00545A89" w:rsidRPr="00833484">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A5" w:rsidRDefault="004E00A5" w:rsidP="00895401">
      <w:pPr>
        <w:spacing w:after="0" w:line="240" w:lineRule="auto"/>
      </w:pPr>
      <w:r>
        <w:separator/>
      </w:r>
    </w:p>
  </w:endnote>
  <w:endnote w:type="continuationSeparator" w:id="0">
    <w:p w:rsidR="004E00A5" w:rsidRDefault="004E00A5" w:rsidP="0089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30453"/>
      <w:docPartObj>
        <w:docPartGallery w:val="Page Numbers (Bottom of Page)"/>
        <w:docPartUnique/>
      </w:docPartObj>
    </w:sdtPr>
    <w:sdtEndPr/>
    <w:sdtContent>
      <w:p w:rsidR="00F66D55" w:rsidRDefault="00F66D55">
        <w:pPr>
          <w:pStyle w:val="Pieddepage"/>
          <w:jc w:val="right"/>
        </w:pPr>
        <w:r>
          <w:fldChar w:fldCharType="begin"/>
        </w:r>
        <w:r>
          <w:instrText>PAGE   \* MERGEFORMAT</w:instrText>
        </w:r>
        <w:r>
          <w:fldChar w:fldCharType="separate"/>
        </w:r>
        <w:r w:rsidR="00057464">
          <w:rPr>
            <w:noProof/>
          </w:rPr>
          <w:t>1</w:t>
        </w:r>
        <w:r>
          <w:fldChar w:fldCharType="end"/>
        </w:r>
      </w:p>
    </w:sdtContent>
  </w:sdt>
  <w:p w:rsidR="00F66D55" w:rsidRDefault="00F66D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A5" w:rsidRDefault="004E00A5" w:rsidP="00895401">
      <w:pPr>
        <w:spacing w:after="0" w:line="240" w:lineRule="auto"/>
      </w:pPr>
      <w:r>
        <w:separator/>
      </w:r>
    </w:p>
  </w:footnote>
  <w:footnote w:type="continuationSeparator" w:id="0">
    <w:p w:rsidR="004E00A5" w:rsidRDefault="004E00A5" w:rsidP="00895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D8F"/>
    <w:multiLevelType w:val="hybridMultilevel"/>
    <w:tmpl w:val="C536418A"/>
    <w:lvl w:ilvl="0" w:tplc="26B090AA">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13071FDD"/>
    <w:multiLevelType w:val="hybridMultilevel"/>
    <w:tmpl w:val="197C294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7C6368"/>
    <w:multiLevelType w:val="hybridMultilevel"/>
    <w:tmpl w:val="2CBA521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C293AF8"/>
    <w:multiLevelType w:val="hybridMultilevel"/>
    <w:tmpl w:val="E6EA2E00"/>
    <w:lvl w:ilvl="0" w:tplc="32AC5338">
      <w:start w:val="1"/>
      <w:numFmt w:val="lowerRoman"/>
      <w:suff w:val="nothing"/>
      <w:lvlText w:val="%1."/>
      <w:lvlJc w:val="right"/>
      <w:pPr>
        <w:ind w:left="720"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4D5A432A"/>
    <w:multiLevelType w:val="hybridMultilevel"/>
    <w:tmpl w:val="A8C4FED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0B02C0C"/>
    <w:multiLevelType w:val="hybridMultilevel"/>
    <w:tmpl w:val="0BD8DD5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20A0E9A"/>
    <w:multiLevelType w:val="hybridMultilevel"/>
    <w:tmpl w:val="FF121BB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9880049"/>
    <w:multiLevelType w:val="hybridMultilevel"/>
    <w:tmpl w:val="197C294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0DB06F4"/>
    <w:multiLevelType w:val="hybridMultilevel"/>
    <w:tmpl w:val="9A506AB2"/>
    <w:lvl w:ilvl="0" w:tplc="040C0011">
      <w:start w:val="1"/>
      <w:numFmt w:val="decimal"/>
      <w:lvlText w:val="%1)"/>
      <w:lvlJc w:val="left"/>
      <w:pPr>
        <w:ind w:left="360" w:hanging="360"/>
      </w:pPr>
      <w:rPr>
        <w:rFont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50508A2"/>
    <w:multiLevelType w:val="hybridMultilevel"/>
    <w:tmpl w:val="333A979C"/>
    <w:lvl w:ilvl="0" w:tplc="80A0E566">
      <w:start w:val="1"/>
      <w:numFmt w:val="lowerRoman"/>
      <w:suff w:val="nothing"/>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 w:numId="2">
    <w:abstractNumId w:val="8"/>
  </w:num>
  <w:num w:numId="3">
    <w:abstractNumId w:val="3"/>
  </w:num>
  <w:num w:numId="4">
    <w:abstractNumId w:val="9"/>
  </w:num>
  <w:num w:numId="5">
    <w:abstractNumId w:val="4"/>
  </w:num>
  <w:num w:numId="6">
    <w:abstractNumId w:val="5"/>
  </w:num>
  <w:num w:numId="7">
    <w:abstractNumId w:val="6"/>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B1"/>
    <w:rsid w:val="0000070C"/>
    <w:rsid w:val="00002278"/>
    <w:rsid w:val="00002A6F"/>
    <w:rsid w:val="0000437E"/>
    <w:rsid w:val="00007ECC"/>
    <w:rsid w:val="0001188D"/>
    <w:rsid w:val="000123F5"/>
    <w:rsid w:val="00021DD1"/>
    <w:rsid w:val="00023982"/>
    <w:rsid w:val="0002785B"/>
    <w:rsid w:val="00036601"/>
    <w:rsid w:val="0004043A"/>
    <w:rsid w:val="00040DCC"/>
    <w:rsid w:val="00040E00"/>
    <w:rsid w:val="00040EA5"/>
    <w:rsid w:val="000429D4"/>
    <w:rsid w:val="00045D03"/>
    <w:rsid w:val="00045E07"/>
    <w:rsid w:val="00050148"/>
    <w:rsid w:val="0005386C"/>
    <w:rsid w:val="00054085"/>
    <w:rsid w:val="00054B31"/>
    <w:rsid w:val="00055B09"/>
    <w:rsid w:val="00056B35"/>
    <w:rsid w:val="00057464"/>
    <w:rsid w:val="00060895"/>
    <w:rsid w:val="000620DB"/>
    <w:rsid w:val="000642CF"/>
    <w:rsid w:val="00064968"/>
    <w:rsid w:val="000668A9"/>
    <w:rsid w:val="000673A1"/>
    <w:rsid w:val="00070342"/>
    <w:rsid w:val="000815E8"/>
    <w:rsid w:val="000822E9"/>
    <w:rsid w:val="00082FFE"/>
    <w:rsid w:val="00084DDC"/>
    <w:rsid w:val="00085512"/>
    <w:rsid w:val="00086E16"/>
    <w:rsid w:val="00087C5A"/>
    <w:rsid w:val="00090A0D"/>
    <w:rsid w:val="00090A4F"/>
    <w:rsid w:val="00091C75"/>
    <w:rsid w:val="00092A0D"/>
    <w:rsid w:val="00096890"/>
    <w:rsid w:val="000A214D"/>
    <w:rsid w:val="000A4956"/>
    <w:rsid w:val="000B16B4"/>
    <w:rsid w:val="000B3D5E"/>
    <w:rsid w:val="000B5070"/>
    <w:rsid w:val="000B7E0E"/>
    <w:rsid w:val="000C104B"/>
    <w:rsid w:val="000C2D49"/>
    <w:rsid w:val="000D2F34"/>
    <w:rsid w:val="000D3595"/>
    <w:rsid w:val="000E0C50"/>
    <w:rsid w:val="000E14CC"/>
    <w:rsid w:val="000E2691"/>
    <w:rsid w:val="000E2D22"/>
    <w:rsid w:val="000E4590"/>
    <w:rsid w:val="000E7442"/>
    <w:rsid w:val="000E7DD6"/>
    <w:rsid w:val="000F153B"/>
    <w:rsid w:val="000F5278"/>
    <w:rsid w:val="00104F67"/>
    <w:rsid w:val="00111C7C"/>
    <w:rsid w:val="00113276"/>
    <w:rsid w:val="00115621"/>
    <w:rsid w:val="00116B1A"/>
    <w:rsid w:val="00132269"/>
    <w:rsid w:val="00133C4E"/>
    <w:rsid w:val="001372C9"/>
    <w:rsid w:val="00142D4F"/>
    <w:rsid w:val="00144BE5"/>
    <w:rsid w:val="00145132"/>
    <w:rsid w:val="001526D8"/>
    <w:rsid w:val="00154644"/>
    <w:rsid w:val="00155B53"/>
    <w:rsid w:val="001561A4"/>
    <w:rsid w:val="001600D5"/>
    <w:rsid w:val="00160290"/>
    <w:rsid w:val="00162479"/>
    <w:rsid w:val="00164DBE"/>
    <w:rsid w:val="00167530"/>
    <w:rsid w:val="00174C97"/>
    <w:rsid w:val="00174D46"/>
    <w:rsid w:val="00183111"/>
    <w:rsid w:val="00185226"/>
    <w:rsid w:val="001871B8"/>
    <w:rsid w:val="00187569"/>
    <w:rsid w:val="00191C2B"/>
    <w:rsid w:val="00192C10"/>
    <w:rsid w:val="001A36B5"/>
    <w:rsid w:val="001A3ADF"/>
    <w:rsid w:val="001A5BCB"/>
    <w:rsid w:val="001A62F7"/>
    <w:rsid w:val="001A658B"/>
    <w:rsid w:val="001B2B49"/>
    <w:rsid w:val="001C0562"/>
    <w:rsid w:val="001C09CD"/>
    <w:rsid w:val="001C38A2"/>
    <w:rsid w:val="001C39E7"/>
    <w:rsid w:val="001C5D37"/>
    <w:rsid w:val="001D0EA3"/>
    <w:rsid w:val="001D3124"/>
    <w:rsid w:val="001D52E3"/>
    <w:rsid w:val="001D5C04"/>
    <w:rsid w:val="001D5F2D"/>
    <w:rsid w:val="001E2C42"/>
    <w:rsid w:val="001E34B3"/>
    <w:rsid w:val="001E4256"/>
    <w:rsid w:val="001F2510"/>
    <w:rsid w:val="001F2B5D"/>
    <w:rsid w:val="001F541C"/>
    <w:rsid w:val="001F6D68"/>
    <w:rsid w:val="001F7BF8"/>
    <w:rsid w:val="00201238"/>
    <w:rsid w:val="00205773"/>
    <w:rsid w:val="00205B9F"/>
    <w:rsid w:val="00211B8B"/>
    <w:rsid w:val="002179C2"/>
    <w:rsid w:val="00220095"/>
    <w:rsid w:val="0022043E"/>
    <w:rsid w:val="00221610"/>
    <w:rsid w:val="0022485E"/>
    <w:rsid w:val="0022537E"/>
    <w:rsid w:val="00226569"/>
    <w:rsid w:val="00231435"/>
    <w:rsid w:val="00233CBA"/>
    <w:rsid w:val="0023736A"/>
    <w:rsid w:val="002374DB"/>
    <w:rsid w:val="00242214"/>
    <w:rsid w:val="00244102"/>
    <w:rsid w:val="00244D64"/>
    <w:rsid w:val="00247AB3"/>
    <w:rsid w:val="002513AB"/>
    <w:rsid w:val="00254074"/>
    <w:rsid w:val="00256EFD"/>
    <w:rsid w:val="0025786B"/>
    <w:rsid w:val="00257C68"/>
    <w:rsid w:val="00261A1B"/>
    <w:rsid w:val="002622AB"/>
    <w:rsid w:val="00263F82"/>
    <w:rsid w:val="00271BF3"/>
    <w:rsid w:val="002752BB"/>
    <w:rsid w:val="00282728"/>
    <w:rsid w:val="00282C93"/>
    <w:rsid w:val="00285876"/>
    <w:rsid w:val="002866B8"/>
    <w:rsid w:val="002934C2"/>
    <w:rsid w:val="00294FC0"/>
    <w:rsid w:val="002A005E"/>
    <w:rsid w:val="002B238D"/>
    <w:rsid w:val="002B47FB"/>
    <w:rsid w:val="002B5A64"/>
    <w:rsid w:val="002B7404"/>
    <w:rsid w:val="002C132D"/>
    <w:rsid w:val="002C1620"/>
    <w:rsid w:val="002C191C"/>
    <w:rsid w:val="002C22B6"/>
    <w:rsid w:val="002C492A"/>
    <w:rsid w:val="002C58DF"/>
    <w:rsid w:val="002D0069"/>
    <w:rsid w:val="002D0270"/>
    <w:rsid w:val="002D0C88"/>
    <w:rsid w:val="002D4596"/>
    <w:rsid w:val="002D5556"/>
    <w:rsid w:val="002D67CF"/>
    <w:rsid w:val="002E0CA9"/>
    <w:rsid w:val="002E188F"/>
    <w:rsid w:val="002E5012"/>
    <w:rsid w:val="002F0AE4"/>
    <w:rsid w:val="002F2874"/>
    <w:rsid w:val="002F2928"/>
    <w:rsid w:val="002F4ADF"/>
    <w:rsid w:val="002F73E4"/>
    <w:rsid w:val="002F7E46"/>
    <w:rsid w:val="00302A06"/>
    <w:rsid w:val="00307B6B"/>
    <w:rsid w:val="00312124"/>
    <w:rsid w:val="00313B69"/>
    <w:rsid w:val="00326241"/>
    <w:rsid w:val="003275D9"/>
    <w:rsid w:val="0033074D"/>
    <w:rsid w:val="00330871"/>
    <w:rsid w:val="0033162B"/>
    <w:rsid w:val="003367BB"/>
    <w:rsid w:val="003372C8"/>
    <w:rsid w:val="003426AF"/>
    <w:rsid w:val="00343B6F"/>
    <w:rsid w:val="00344110"/>
    <w:rsid w:val="003509C2"/>
    <w:rsid w:val="00357C6C"/>
    <w:rsid w:val="00357D31"/>
    <w:rsid w:val="0036067F"/>
    <w:rsid w:val="0036324A"/>
    <w:rsid w:val="003662D1"/>
    <w:rsid w:val="00371981"/>
    <w:rsid w:val="00375EE6"/>
    <w:rsid w:val="00390E47"/>
    <w:rsid w:val="00394B4E"/>
    <w:rsid w:val="00397857"/>
    <w:rsid w:val="003A5E1D"/>
    <w:rsid w:val="003A5E21"/>
    <w:rsid w:val="003A7062"/>
    <w:rsid w:val="003B063D"/>
    <w:rsid w:val="003B12C2"/>
    <w:rsid w:val="003B3C71"/>
    <w:rsid w:val="003B789D"/>
    <w:rsid w:val="003B7E30"/>
    <w:rsid w:val="003C0A98"/>
    <w:rsid w:val="003C37B5"/>
    <w:rsid w:val="003D157C"/>
    <w:rsid w:val="003D6240"/>
    <w:rsid w:val="003E2D42"/>
    <w:rsid w:val="003E3600"/>
    <w:rsid w:val="003E57E3"/>
    <w:rsid w:val="003E758F"/>
    <w:rsid w:val="003E771B"/>
    <w:rsid w:val="003F26C5"/>
    <w:rsid w:val="003F5417"/>
    <w:rsid w:val="00403A92"/>
    <w:rsid w:val="00405E55"/>
    <w:rsid w:val="004062DA"/>
    <w:rsid w:val="0040689B"/>
    <w:rsid w:val="00406ED2"/>
    <w:rsid w:val="00411444"/>
    <w:rsid w:val="00414099"/>
    <w:rsid w:val="0041422F"/>
    <w:rsid w:val="00414332"/>
    <w:rsid w:val="00415E4E"/>
    <w:rsid w:val="004164B7"/>
    <w:rsid w:val="00417F96"/>
    <w:rsid w:val="00420A1E"/>
    <w:rsid w:val="00423542"/>
    <w:rsid w:val="00423A0E"/>
    <w:rsid w:val="00423CC6"/>
    <w:rsid w:val="004244E1"/>
    <w:rsid w:val="004260C1"/>
    <w:rsid w:val="00430470"/>
    <w:rsid w:val="0043359A"/>
    <w:rsid w:val="00435BD2"/>
    <w:rsid w:val="00436DBA"/>
    <w:rsid w:val="00437063"/>
    <w:rsid w:val="004376AD"/>
    <w:rsid w:val="00440565"/>
    <w:rsid w:val="00441069"/>
    <w:rsid w:val="00444F40"/>
    <w:rsid w:val="00447228"/>
    <w:rsid w:val="00447450"/>
    <w:rsid w:val="00447EF7"/>
    <w:rsid w:val="00451E37"/>
    <w:rsid w:val="00454127"/>
    <w:rsid w:val="00455B2F"/>
    <w:rsid w:val="004566CC"/>
    <w:rsid w:val="00456B58"/>
    <w:rsid w:val="00460FF4"/>
    <w:rsid w:val="00465D57"/>
    <w:rsid w:val="004674D7"/>
    <w:rsid w:val="00470060"/>
    <w:rsid w:val="004700FC"/>
    <w:rsid w:val="004701AD"/>
    <w:rsid w:val="00484339"/>
    <w:rsid w:val="00490020"/>
    <w:rsid w:val="00490433"/>
    <w:rsid w:val="00491978"/>
    <w:rsid w:val="00494CA0"/>
    <w:rsid w:val="004953C2"/>
    <w:rsid w:val="00497276"/>
    <w:rsid w:val="004A587A"/>
    <w:rsid w:val="004B0BDA"/>
    <w:rsid w:val="004B1D00"/>
    <w:rsid w:val="004B5A4C"/>
    <w:rsid w:val="004B6F4C"/>
    <w:rsid w:val="004B745F"/>
    <w:rsid w:val="004C0695"/>
    <w:rsid w:val="004C3930"/>
    <w:rsid w:val="004C42B9"/>
    <w:rsid w:val="004C4B9A"/>
    <w:rsid w:val="004C5FFE"/>
    <w:rsid w:val="004E00A5"/>
    <w:rsid w:val="004E166F"/>
    <w:rsid w:val="004F0BAB"/>
    <w:rsid w:val="004F0E31"/>
    <w:rsid w:val="004F1C65"/>
    <w:rsid w:val="004F2394"/>
    <w:rsid w:val="004F55C0"/>
    <w:rsid w:val="00511624"/>
    <w:rsid w:val="005141FF"/>
    <w:rsid w:val="00514802"/>
    <w:rsid w:val="00516187"/>
    <w:rsid w:val="0052010D"/>
    <w:rsid w:val="00525D55"/>
    <w:rsid w:val="005351E2"/>
    <w:rsid w:val="0053666C"/>
    <w:rsid w:val="00536FCC"/>
    <w:rsid w:val="00545082"/>
    <w:rsid w:val="00545A89"/>
    <w:rsid w:val="00547333"/>
    <w:rsid w:val="00547779"/>
    <w:rsid w:val="00554F2B"/>
    <w:rsid w:val="0056059B"/>
    <w:rsid w:val="005660FF"/>
    <w:rsid w:val="0056633D"/>
    <w:rsid w:val="005671C1"/>
    <w:rsid w:val="0057024E"/>
    <w:rsid w:val="005719A0"/>
    <w:rsid w:val="00574292"/>
    <w:rsid w:val="00575953"/>
    <w:rsid w:val="00576D03"/>
    <w:rsid w:val="00583FCA"/>
    <w:rsid w:val="005855ED"/>
    <w:rsid w:val="00586C97"/>
    <w:rsid w:val="00591F0F"/>
    <w:rsid w:val="00592224"/>
    <w:rsid w:val="00592CEE"/>
    <w:rsid w:val="00595866"/>
    <w:rsid w:val="005A19A8"/>
    <w:rsid w:val="005A52A1"/>
    <w:rsid w:val="005A5864"/>
    <w:rsid w:val="005A73DD"/>
    <w:rsid w:val="005C2931"/>
    <w:rsid w:val="005C2EC3"/>
    <w:rsid w:val="005C6E8F"/>
    <w:rsid w:val="005C73B3"/>
    <w:rsid w:val="005C78F5"/>
    <w:rsid w:val="005D1341"/>
    <w:rsid w:val="005E6F96"/>
    <w:rsid w:val="005E7331"/>
    <w:rsid w:val="005E779F"/>
    <w:rsid w:val="005F0F61"/>
    <w:rsid w:val="005F2168"/>
    <w:rsid w:val="005F26B7"/>
    <w:rsid w:val="005F58DF"/>
    <w:rsid w:val="0060013A"/>
    <w:rsid w:val="00600C98"/>
    <w:rsid w:val="00604A7A"/>
    <w:rsid w:val="006050C8"/>
    <w:rsid w:val="006060AC"/>
    <w:rsid w:val="006072F9"/>
    <w:rsid w:val="00611CA4"/>
    <w:rsid w:val="006122C1"/>
    <w:rsid w:val="006130C8"/>
    <w:rsid w:val="006136CF"/>
    <w:rsid w:val="00614C2C"/>
    <w:rsid w:val="00617141"/>
    <w:rsid w:val="0062054C"/>
    <w:rsid w:val="00623C0D"/>
    <w:rsid w:val="00632649"/>
    <w:rsid w:val="00633870"/>
    <w:rsid w:val="00634BB0"/>
    <w:rsid w:val="00636BBD"/>
    <w:rsid w:val="0063701A"/>
    <w:rsid w:val="00643682"/>
    <w:rsid w:val="006441B4"/>
    <w:rsid w:val="006456F3"/>
    <w:rsid w:val="00645C7D"/>
    <w:rsid w:val="0065179F"/>
    <w:rsid w:val="00652CC3"/>
    <w:rsid w:val="00654B36"/>
    <w:rsid w:val="006562BC"/>
    <w:rsid w:val="00657A9A"/>
    <w:rsid w:val="00662992"/>
    <w:rsid w:val="006630FC"/>
    <w:rsid w:val="0066483A"/>
    <w:rsid w:val="00664983"/>
    <w:rsid w:val="006658B1"/>
    <w:rsid w:val="00665C47"/>
    <w:rsid w:val="00666135"/>
    <w:rsid w:val="006729F2"/>
    <w:rsid w:val="00676AE9"/>
    <w:rsid w:val="00676E97"/>
    <w:rsid w:val="00677A8A"/>
    <w:rsid w:val="00677CCA"/>
    <w:rsid w:val="0068224B"/>
    <w:rsid w:val="006870F2"/>
    <w:rsid w:val="00687FFE"/>
    <w:rsid w:val="006900FA"/>
    <w:rsid w:val="00693A9D"/>
    <w:rsid w:val="00694E27"/>
    <w:rsid w:val="006958B9"/>
    <w:rsid w:val="00697736"/>
    <w:rsid w:val="006A2A69"/>
    <w:rsid w:val="006A3C41"/>
    <w:rsid w:val="006A7904"/>
    <w:rsid w:val="006B19B7"/>
    <w:rsid w:val="006B4001"/>
    <w:rsid w:val="006B5F31"/>
    <w:rsid w:val="006C44D0"/>
    <w:rsid w:val="006C4AD1"/>
    <w:rsid w:val="006D3BE8"/>
    <w:rsid w:val="006D5C00"/>
    <w:rsid w:val="006D7E53"/>
    <w:rsid w:val="006E1B53"/>
    <w:rsid w:val="006E21BA"/>
    <w:rsid w:val="006E7DDB"/>
    <w:rsid w:val="006F12C3"/>
    <w:rsid w:val="00704BD5"/>
    <w:rsid w:val="007217A9"/>
    <w:rsid w:val="00723D78"/>
    <w:rsid w:val="007247DF"/>
    <w:rsid w:val="00725DD7"/>
    <w:rsid w:val="007270FB"/>
    <w:rsid w:val="00731E11"/>
    <w:rsid w:val="00735630"/>
    <w:rsid w:val="00736D96"/>
    <w:rsid w:val="00740E25"/>
    <w:rsid w:val="00745D40"/>
    <w:rsid w:val="00746C57"/>
    <w:rsid w:val="00762C9A"/>
    <w:rsid w:val="00766C48"/>
    <w:rsid w:val="00770B95"/>
    <w:rsid w:val="00770F9D"/>
    <w:rsid w:val="00771ABA"/>
    <w:rsid w:val="0077764C"/>
    <w:rsid w:val="007821EC"/>
    <w:rsid w:val="00785782"/>
    <w:rsid w:val="00787F59"/>
    <w:rsid w:val="007931DB"/>
    <w:rsid w:val="00795FE7"/>
    <w:rsid w:val="0079772B"/>
    <w:rsid w:val="007A229E"/>
    <w:rsid w:val="007A3C9D"/>
    <w:rsid w:val="007C0AE6"/>
    <w:rsid w:val="007C1D53"/>
    <w:rsid w:val="007C3A91"/>
    <w:rsid w:val="007C7775"/>
    <w:rsid w:val="007E1004"/>
    <w:rsid w:val="007E1172"/>
    <w:rsid w:val="007E2F7A"/>
    <w:rsid w:val="007E5C0D"/>
    <w:rsid w:val="007F070D"/>
    <w:rsid w:val="007F2760"/>
    <w:rsid w:val="007F3C18"/>
    <w:rsid w:val="007F43FD"/>
    <w:rsid w:val="007F5588"/>
    <w:rsid w:val="007F6031"/>
    <w:rsid w:val="00812380"/>
    <w:rsid w:val="008136FF"/>
    <w:rsid w:val="00814342"/>
    <w:rsid w:val="0081570E"/>
    <w:rsid w:val="008163F5"/>
    <w:rsid w:val="00816931"/>
    <w:rsid w:val="00821062"/>
    <w:rsid w:val="008212D8"/>
    <w:rsid w:val="00822D1E"/>
    <w:rsid w:val="00823D2D"/>
    <w:rsid w:val="0082634D"/>
    <w:rsid w:val="008267EC"/>
    <w:rsid w:val="00826E2C"/>
    <w:rsid w:val="008311B7"/>
    <w:rsid w:val="00833484"/>
    <w:rsid w:val="00835BDE"/>
    <w:rsid w:val="00837DF4"/>
    <w:rsid w:val="0084548A"/>
    <w:rsid w:val="0084618D"/>
    <w:rsid w:val="00847B6B"/>
    <w:rsid w:val="00852A87"/>
    <w:rsid w:val="00853E5F"/>
    <w:rsid w:val="00854152"/>
    <w:rsid w:val="00860D6F"/>
    <w:rsid w:val="00862C1B"/>
    <w:rsid w:val="00866571"/>
    <w:rsid w:val="00866B3A"/>
    <w:rsid w:val="00872FEE"/>
    <w:rsid w:val="00874A1E"/>
    <w:rsid w:val="00874AD8"/>
    <w:rsid w:val="00875838"/>
    <w:rsid w:val="008807D8"/>
    <w:rsid w:val="00881986"/>
    <w:rsid w:val="00882095"/>
    <w:rsid w:val="0088245C"/>
    <w:rsid w:val="00892424"/>
    <w:rsid w:val="008942BD"/>
    <w:rsid w:val="00895401"/>
    <w:rsid w:val="008A35D1"/>
    <w:rsid w:val="008A4E04"/>
    <w:rsid w:val="008A4EBE"/>
    <w:rsid w:val="008A6190"/>
    <w:rsid w:val="008B5A28"/>
    <w:rsid w:val="008B6BE9"/>
    <w:rsid w:val="008B7AD2"/>
    <w:rsid w:val="008C033D"/>
    <w:rsid w:val="008C3308"/>
    <w:rsid w:val="008C3EFE"/>
    <w:rsid w:val="008C6358"/>
    <w:rsid w:val="008C63DC"/>
    <w:rsid w:val="008D12A6"/>
    <w:rsid w:val="008D5709"/>
    <w:rsid w:val="008D7733"/>
    <w:rsid w:val="008D7EAC"/>
    <w:rsid w:val="008E1A7E"/>
    <w:rsid w:val="008E2200"/>
    <w:rsid w:val="008E40E0"/>
    <w:rsid w:val="008F0F5C"/>
    <w:rsid w:val="008F1A99"/>
    <w:rsid w:val="008F33E9"/>
    <w:rsid w:val="008F437B"/>
    <w:rsid w:val="008F4C6C"/>
    <w:rsid w:val="008F643A"/>
    <w:rsid w:val="008F7A84"/>
    <w:rsid w:val="00900D68"/>
    <w:rsid w:val="00900F77"/>
    <w:rsid w:val="00902BAA"/>
    <w:rsid w:val="00903E8B"/>
    <w:rsid w:val="00910B5C"/>
    <w:rsid w:val="009112DC"/>
    <w:rsid w:val="00911A35"/>
    <w:rsid w:val="00911A90"/>
    <w:rsid w:val="009141A5"/>
    <w:rsid w:val="00914B62"/>
    <w:rsid w:val="009159ED"/>
    <w:rsid w:val="00915B3E"/>
    <w:rsid w:val="009161A0"/>
    <w:rsid w:val="00920B40"/>
    <w:rsid w:val="00920E89"/>
    <w:rsid w:val="0093511B"/>
    <w:rsid w:val="009353B1"/>
    <w:rsid w:val="00936E29"/>
    <w:rsid w:val="00937216"/>
    <w:rsid w:val="0094027E"/>
    <w:rsid w:val="00942C7D"/>
    <w:rsid w:val="009430FF"/>
    <w:rsid w:val="009454AD"/>
    <w:rsid w:val="00946172"/>
    <w:rsid w:val="0094797B"/>
    <w:rsid w:val="00947EAE"/>
    <w:rsid w:val="00952634"/>
    <w:rsid w:val="00953B3E"/>
    <w:rsid w:val="009548FC"/>
    <w:rsid w:val="00956B65"/>
    <w:rsid w:val="00961442"/>
    <w:rsid w:val="00961BAA"/>
    <w:rsid w:val="0096420E"/>
    <w:rsid w:val="00966545"/>
    <w:rsid w:val="00966BCA"/>
    <w:rsid w:val="009670CC"/>
    <w:rsid w:val="00967114"/>
    <w:rsid w:val="00981F80"/>
    <w:rsid w:val="0098246B"/>
    <w:rsid w:val="00985DC9"/>
    <w:rsid w:val="009907F3"/>
    <w:rsid w:val="00994CDE"/>
    <w:rsid w:val="009952F5"/>
    <w:rsid w:val="0099533C"/>
    <w:rsid w:val="0099774E"/>
    <w:rsid w:val="009A414B"/>
    <w:rsid w:val="009A5D9A"/>
    <w:rsid w:val="009B0162"/>
    <w:rsid w:val="009B0983"/>
    <w:rsid w:val="009B27E4"/>
    <w:rsid w:val="009B2952"/>
    <w:rsid w:val="009B305E"/>
    <w:rsid w:val="009B60FF"/>
    <w:rsid w:val="009B62D2"/>
    <w:rsid w:val="009B6516"/>
    <w:rsid w:val="009C15C3"/>
    <w:rsid w:val="009C15CD"/>
    <w:rsid w:val="009C1FCA"/>
    <w:rsid w:val="009C5DE6"/>
    <w:rsid w:val="009C749F"/>
    <w:rsid w:val="009D2C65"/>
    <w:rsid w:val="009D6257"/>
    <w:rsid w:val="009E4D60"/>
    <w:rsid w:val="009E5212"/>
    <w:rsid w:val="009E7369"/>
    <w:rsid w:val="009F2976"/>
    <w:rsid w:val="009F2AC7"/>
    <w:rsid w:val="009F426B"/>
    <w:rsid w:val="009F51CA"/>
    <w:rsid w:val="009F7582"/>
    <w:rsid w:val="00A012A1"/>
    <w:rsid w:val="00A058B4"/>
    <w:rsid w:val="00A06FA9"/>
    <w:rsid w:val="00A07455"/>
    <w:rsid w:val="00A10E01"/>
    <w:rsid w:val="00A1157C"/>
    <w:rsid w:val="00A14E80"/>
    <w:rsid w:val="00A16856"/>
    <w:rsid w:val="00A20B25"/>
    <w:rsid w:val="00A22FCE"/>
    <w:rsid w:val="00A31B88"/>
    <w:rsid w:val="00A33899"/>
    <w:rsid w:val="00A34C38"/>
    <w:rsid w:val="00A37781"/>
    <w:rsid w:val="00A40ECE"/>
    <w:rsid w:val="00A44AA1"/>
    <w:rsid w:val="00A46DD4"/>
    <w:rsid w:val="00A5112E"/>
    <w:rsid w:val="00A52402"/>
    <w:rsid w:val="00A56326"/>
    <w:rsid w:val="00A617F2"/>
    <w:rsid w:val="00A63683"/>
    <w:rsid w:val="00A64690"/>
    <w:rsid w:val="00A66DD8"/>
    <w:rsid w:val="00A7067B"/>
    <w:rsid w:val="00A7082E"/>
    <w:rsid w:val="00A70BB8"/>
    <w:rsid w:val="00A72921"/>
    <w:rsid w:val="00A72E6B"/>
    <w:rsid w:val="00A75499"/>
    <w:rsid w:val="00A775F8"/>
    <w:rsid w:val="00A83CE0"/>
    <w:rsid w:val="00A85BAF"/>
    <w:rsid w:val="00A86AE7"/>
    <w:rsid w:val="00A90E68"/>
    <w:rsid w:val="00A97839"/>
    <w:rsid w:val="00AA07D4"/>
    <w:rsid w:val="00AA0BAF"/>
    <w:rsid w:val="00AA5FDA"/>
    <w:rsid w:val="00AA71F6"/>
    <w:rsid w:val="00AB4561"/>
    <w:rsid w:val="00AB5407"/>
    <w:rsid w:val="00AB5D2B"/>
    <w:rsid w:val="00AC4048"/>
    <w:rsid w:val="00AC5AF0"/>
    <w:rsid w:val="00AC7B86"/>
    <w:rsid w:val="00AD0563"/>
    <w:rsid w:val="00AD35C6"/>
    <w:rsid w:val="00AD4CD0"/>
    <w:rsid w:val="00AD55F6"/>
    <w:rsid w:val="00AE1555"/>
    <w:rsid w:val="00AE2DC8"/>
    <w:rsid w:val="00AE6676"/>
    <w:rsid w:val="00AE6C0D"/>
    <w:rsid w:val="00AF6A14"/>
    <w:rsid w:val="00B00310"/>
    <w:rsid w:val="00B0390A"/>
    <w:rsid w:val="00B05E93"/>
    <w:rsid w:val="00B110BB"/>
    <w:rsid w:val="00B13D22"/>
    <w:rsid w:val="00B151E7"/>
    <w:rsid w:val="00B214C6"/>
    <w:rsid w:val="00B24770"/>
    <w:rsid w:val="00B2547A"/>
    <w:rsid w:val="00B3094E"/>
    <w:rsid w:val="00B30C31"/>
    <w:rsid w:val="00B319A3"/>
    <w:rsid w:val="00B357F9"/>
    <w:rsid w:val="00B37165"/>
    <w:rsid w:val="00B4482F"/>
    <w:rsid w:val="00B477FD"/>
    <w:rsid w:val="00B50385"/>
    <w:rsid w:val="00B50FFE"/>
    <w:rsid w:val="00B52514"/>
    <w:rsid w:val="00B52B6E"/>
    <w:rsid w:val="00B53A3C"/>
    <w:rsid w:val="00B5444B"/>
    <w:rsid w:val="00B64855"/>
    <w:rsid w:val="00B7026A"/>
    <w:rsid w:val="00B70E41"/>
    <w:rsid w:val="00B71F5D"/>
    <w:rsid w:val="00B7772D"/>
    <w:rsid w:val="00B814AD"/>
    <w:rsid w:val="00B816EA"/>
    <w:rsid w:val="00B85458"/>
    <w:rsid w:val="00B872F2"/>
    <w:rsid w:val="00B907C7"/>
    <w:rsid w:val="00B9347E"/>
    <w:rsid w:val="00B938E1"/>
    <w:rsid w:val="00B93BC5"/>
    <w:rsid w:val="00BA02DB"/>
    <w:rsid w:val="00BA06A0"/>
    <w:rsid w:val="00BA3574"/>
    <w:rsid w:val="00BA3AF3"/>
    <w:rsid w:val="00BB0A60"/>
    <w:rsid w:val="00BB28C9"/>
    <w:rsid w:val="00BB6962"/>
    <w:rsid w:val="00BC0050"/>
    <w:rsid w:val="00BC0EB0"/>
    <w:rsid w:val="00BC1CBC"/>
    <w:rsid w:val="00BC218D"/>
    <w:rsid w:val="00BC6065"/>
    <w:rsid w:val="00BD3BB7"/>
    <w:rsid w:val="00BD5B66"/>
    <w:rsid w:val="00BE0180"/>
    <w:rsid w:val="00BE7E48"/>
    <w:rsid w:val="00BF08BC"/>
    <w:rsid w:val="00BF2DE0"/>
    <w:rsid w:val="00BF3AAB"/>
    <w:rsid w:val="00BF3ED5"/>
    <w:rsid w:val="00BF6E31"/>
    <w:rsid w:val="00C0079B"/>
    <w:rsid w:val="00C00C49"/>
    <w:rsid w:val="00C05AEB"/>
    <w:rsid w:val="00C05D93"/>
    <w:rsid w:val="00C14A3A"/>
    <w:rsid w:val="00C15D00"/>
    <w:rsid w:val="00C17765"/>
    <w:rsid w:val="00C20B55"/>
    <w:rsid w:val="00C23498"/>
    <w:rsid w:val="00C237C8"/>
    <w:rsid w:val="00C310B8"/>
    <w:rsid w:val="00C3230A"/>
    <w:rsid w:val="00C3705E"/>
    <w:rsid w:val="00C4181A"/>
    <w:rsid w:val="00C44A60"/>
    <w:rsid w:val="00C51519"/>
    <w:rsid w:val="00C61119"/>
    <w:rsid w:val="00C6263B"/>
    <w:rsid w:val="00C634CC"/>
    <w:rsid w:val="00C63C18"/>
    <w:rsid w:val="00C6448A"/>
    <w:rsid w:val="00C70564"/>
    <w:rsid w:val="00C72E80"/>
    <w:rsid w:val="00C72EB4"/>
    <w:rsid w:val="00C73983"/>
    <w:rsid w:val="00C74BB9"/>
    <w:rsid w:val="00C82342"/>
    <w:rsid w:val="00C861CE"/>
    <w:rsid w:val="00C9027C"/>
    <w:rsid w:val="00C935A5"/>
    <w:rsid w:val="00CA09FB"/>
    <w:rsid w:val="00CA0B70"/>
    <w:rsid w:val="00CA3689"/>
    <w:rsid w:val="00CA3EDB"/>
    <w:rsid w:val="00CA5879"/>
    <w:rsid w:val="00CA6A3F"/>
    <w:rsid w:val="00CB2DED"/>
    <w:rsid w:val="00CB390A"/>
    <w:rsid w:val="00CB57CC"/>
    <w:rsid w:val="00CC20D9"/>
    <w:rsid w:val="00CC51BF"/>
    <w:rsid w:val="00CC51D3"/>
    <w:rsid w:val="00CC56D7"/>
    <w:rsid w:val="00CD1445"/>
    <w:rsid w:val="00CD1447"/>
    <w:rsid w:val="00CD18CC"/>
    <w:rsid w:val="00CD377D"/>
    <w:rsid w:val="00CD6A0B"/>
    <w:rsid w:val="00CD76B9"/>
    <w:rsid w:val="00CF024C"/>
    <w:rsid w:val="00CF12B8"/>
    <w:rsid w:val="00CF38C9"/>
    <w:rsid w:val="00CF7196"/>
    <w:rsid w:val="00CF758B"/>
    <w:rsid w:val="00CF7DBC"/>
    <w:rsid w:val="00D027C9"/>
    <w:rsid w:val="00D03473"/>
    <w:rsid w:val="00D04E0D"/>
    <w:rsid w:val="00D0572D"/>
    <w:rsid w:val="00D1335E"/>
    <w:rsid w:val="00D1378A"/>
    <w:rsid w:val="00D147E9"/>
    <w:rsid w:val="00D17500"/>
    <w:rsid w:val="00D20782"/>
    <w:rsid w:val="00D22E86"/>
    <w:rsid w:val="00D237A7"/>
    <w:rsid w:val="00D30848"/>
    <w:rsid w:val="00D31B12"/>
    <w:rsid w:val="00D35A5C"/>
    <w:rsid w:val="00D360E1"/>
    <w:rsid w:val="00D44B4F"/>
    <w:rsid w:val="00D508CE"/>
    <w:rsid w:val="00D52EC0"/>
    <w:rsid w:val="00D56D48"/>
    <w:rsid w:val="00D57CE8"/>
    <w:rsid w:val="00D62716"/>
    <w:rsid w:val="00D639B9"/>
    <w:rsid w:val="00D646F8"/>
    <w:rsid w:val="00D6473E"/>
    <w:rsid w:val="00D66F34"/>
    <w:rsid w:val="00D72F79"/>
    <w:rsid w:val="00D77D07"/>
    <w:rsid w:val="00D800E2"/>
    <w:rsid w:val="00D8022E"/>
    <w:rsid w:val="00D82C3A"/>
    <w:rsid w:val="00D849FC"/>
    <w:rsid w:val="00D859D9"/>
    <w:rsid w:val="00D8784E"/>
    <w:rsid w:val="00D90212"/>
    <w:rsid w:val="00D97A45"/>
    <w:rsid w:val="00DA01C4"/>
    <w:rsid w:val="00DA2314"/>
    <w:rsid w:val="00DA4C0C"/>
    <w:rsid w:val="00DA6427"/>
    <w:rsid w:val="00DB13AB"/>
    <w:rsid w:val="00DB1591"/>
    <w:rsid w:val="00DB3DD9"/>
    <w:rsid w:val="00DB58B3"/>
    <w:rsid w:val="00DC040A"/>
    <w:rsid w:val="00DD144D"/>
    <w:rsid w:val="00DD5CA1"/>
    <w:rsid w:val="00DD649F"/>
    <w:rsid w:val="00DE314D"/>
    <w:rsid w:val="00DE42F5"/>
    <w:rsid w:val="00DE6A00"/>
    <w:rsid w:val="00DF120B"/>
    <w:rsid w:val="00DF156B"/>
    <w:rsid w:val="00DF2FEC"/>
    <w:rsid w:val="00DF3928"/>
    <w:rsid w:val="00DF5655"/>
    <w:rsid w:val="00DF712C"/>
    <w:rsid w:val="00E02FFE"/>
    <w:rsid w:val="00E04AE8"/>
    <w:rsid w:val="00E04B5C"/>
    <w:rsid w:val="00E05286"/>
    <w:rsid w:val="00E10777"/>
    <w:rsid w:val="00E1204E"/>
    <w:rsid w:val="00E13D56"/>
    <w:rsid w:val="00E16A75"/>
    <w:rsid w:val="00E17EB0"/>
    <w:rsid w:val="00E20A33"/>
    <w:rsid w:val="00E22702"/>
    <w:rsid w:val="00E248F9"/>
    <w:rsid w:val="00E258FF"/>
    <w:rsid w:val="00E25B35"/>
    <w:rsid w:val="00E261FC"/>
    <w:rsid w:val="00E26779"/>
    <w:rsid w:val="00E418AE"/>
    <w:rsid w:val="00E41953"/>
    <w:rsid w:val="00E423D4"/>
    <w:rsid w:val="00E44826"/>
    <w:rsid w:val="00E45FA3"/>
    <w:rsid w:val="00E50F74"/>
    <w:rsid w:val="00E5247B"/>
    <w:rsid w:val="00E53AEF"/>
    <w:rsid w:val="00E54132"/>
    <w:rsid w:val="00E54324"/>
    <w:rsid w:val="00E55737"/>
    <w:rsid w:val="00E625DC"/>
    <w:rsid w:val="00E63D3E"/>
    <w:rsid w:val="00E73B7A"/>
    <w:rsid w:val="00E8171A"/>
    <w:rsid w:val="00E83C91"/>
    <w:rsid w:val="00E85038"/>
    <w:rsid w:val="00E86EB1"/>
    <w:rsid w:val="00E9229C"/>
    <w:rsid w:val="00E93E41"/>
    <w:rsid w:val="00E94F2B"/>
    <w:rsid w:val="00E96247"/>
    <w:rsid w:val="00EA4867"/>
    <w:rsid w:val="00EA523A"/>
    <w:rsid w:val="00EB2B46"/>
    <w:rsid w:val="00EC0CA0"/>
    <w:rsid w:val="00EC19EA"/>
    <w:rsid w:val="00EC6FDC"/>
    <w:rsid w:val="00EC7881"/>
    <w:rsid w:val="00ED1DBA"/>
    <w:rsid w:val="00ED6123"/>
    <w:rsid w:val="00EE2395"/>
    <w:rsid w:val="00EE7372"/>
    <w:rsid w:val="00EF1926"/>
    <w:rsid w:val="00EF29EB"/>
    <w:rsid w:val="00EF3B70"/>
    <w:rsid w:val="00EF6755"/>
    <w:rsid w:val="00F00396"/>
    <w:rsid w:val="00F1253D"/>
    <w:rsid w:val="00F135BA"/>
    <w:rsid w:val="00F13E3D"/>
    <w:rsid w:val="00F13FD0"/>
    <w:rsid w:val="00F14055"/>
    <w:rsid w:val="00F1710C"/>
    <w:rsid w:val="00F210B6"/>
    <w:rsid w:val="00F21AE9"/>
    <w:rsid w:val="00F22219"/>
    <w:rsid w:val="00F2566F"/>
    <w:rsid w:val="00F31CBC"/>
    <w:rsid w:val="00F366A2"/>
    <w:rsid w:val="00F37D9F"/>
    <w:rsid w:val="00F44190"/>
    <w:rsid w:val="00F4615C"/>
    <w:rsid w:val="00F464CF"/>
    <w:rsid w:val="00F52B1D"/>
    <w:rsid w:val="00F55912"/>
    <w:rsid w:val="00F55C87"/>
    <w:rsid w:val="00F55CDF"/>
    <w:rsid w:val="00F56F34"/>
    <w:rsid w:val="00F61EDE"/>
    <w:rsid w:val="00F62814"/>
    <w:rsid w:val="00F65A10"/>
    <w:rsid w:val="00F65D47"/>
    <w:rsid w:val="00F66D55"/>
    <w:rsid w:val="00F70C73"/>
    <w:rsid w:val="00F70E70"/>
    <w:rsid w:val="00F73C6F"/>
    <w:rsid w:val="00F7756B"/>
    <w:rsid w:val="00F77846"/>
    <w:rsid w:val="00F77CE4"/>
    <w:rsid w:val="00F806A6"/>
    <w:rsid w:val="00F82205"/>
    <w:rsid w:val="00F82766"/>
    <w:rsid w:val="00F829BA"/>
    <w:rsid w:val="00F83355"/>
    <w:rsid w:val="00F83F38"/>
    <w:rsid w:val="00F84F78"/>
    <w:rsid w:val="00F864CA"/>
    <w:rsid w:val="00F86E57"/>
    <w:rsid w:val="00F87694"/>
    <w:rsid w:val="00F90961"/>
    <w:rsid w:val="00F9115A"/>
    <w:rsid w:val="00F945AA"/>
    <w:rsid w:val="00F96DAB"/>
    <w:rsid w:val="00F97512"/>
    <w:rsid w:val="00FB2223"/>
    <w:rsid w:val="00FB31D5"/>
    <w:rsid w:val="00FB6B99"/>
    <w:rsid w:val="00FB701D"/>
    <w:rsid w:val="00FC033B"/>
    <w:rsid w:val="00FC126E"/>
    <w:rsid w:val="00FC2366"/>
    <w:rsid w:val="00FC2E78"/>
    <w:rsid w:val="00FC3574"/>
    <w:rsid w:val="00FC54D6"/>
    <w:rsid w:val="00FC62FC"/>
    <w:rsid w:val="00FC7981"/>
    <w:rsid w:val="00FD3A5F"/>
    <w:rsid w:val="00FD473C"/>
    <w:rsid w:val="00FD7152"/>
    <w:rsid w:val="00FD7F72"/>
    <w:rsid w:val="00FE08E4"/>
    <w:rsid w:val="00FE092B"/>
    <w:rsid w:val="00FE1258"/>
    <w:rsid w:val="00FE1C50"/>
    <w:rsid w:val="00FE74AC"/>
    <w:rsid w:val="00FF40C4"/>
    <w:rsid w:val="00FF4920"/>
    <w:rsid w:val="00FF7E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C78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600C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D508CE"/>
  </w:style>
  <w:style w:type="character" w:customStyle="1" w:styleId="Titre1Car">
    <w:name w:val="Titre 1 Car"/>
    <w:basedOn w:val="Policepardfaut"/>
    <w:link w:val="Titre1"/>
    <w:uiPriority w:val="9"/>
    <w:rsid w:val="005C78F5"/>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semiHidden/>
    <w:unhideWhenUsed/>
    <w:rsid w:val="0089540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5401"/>
    <w:rPr>
      <w:sz w:val="20"/>
      <w:szCs w:val="20"/>
    </w:rPr>
  </w:style>
  <w:style w:type="character" w:styleId="Appelnotedebasdep">
    <w:name w:val="footnote reference"/>
    <w:basedOn w:val="Policepardfaut"/>
    <w:uiPriority w:val="99"/>
    <w:semiHidden/>
    <w:unhideWhenUsed/>
    <w:rsid w:val="00895401"/>
    <w:rPr>
      <w:vertAlign w:val="superscript"/>
    </w:rPr>
  </w:style>
  <w:style w:type="paragraph" w:styleId="Paragraphedeliste">
    <w:name w:val="List Paragraph"/>
    <w:basedOn w:val="Normal"/>
    <w:uiPriority w:val="34"/>
    <w:qFormat/>
    <w:rsid w:val="00A44AA1"/>
    <w:pPr>
      <w:ind w:left="720"/>
      <w:contextualSpacing/>
    </w:pPr>
  </w:style>
  <w:style w:type="paragraph" w:styleId="Textedebulles">
    <w:name w:val="Balloon Text"/>
    <w:basedOn w:val="Normal"/>
    <w:link w:val="TextedebullesCar"/>
    <w:uiPriority w:val="99"/>
    <w:semiHidden/>
    <w:unhideWhenUsed/>
    <w:rsid w:val="00FC03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033B"/>
    <w:rPr>
      <w:rFonts w:ascii="Tahoma" w:hAnsi="Tahoma" w:cs="Tahoma"/>
      <w:sz w:val="16"/>
      <w:szCs w:val="16"/>
    </w:rPr>
  </w:style>
  <w:style w:type="paragraph" w:styleId="En-tte">
    <w:name w:val="header"/>
    <w:basedOn w:val="Normal"/>
    <w:link w:val="En-tteCar"/>
    <w:uiPriority w:val="99"/>
    <w:unhideWhenUsed/>
    <w:rsid w:val="00F66D55"/>
    <w:pPr>
      <w:tabs>
        <w:tab w:val="center" w:pos="4536"/>
        <w:tab w:val="right" w:pos="9072"/>
      </w:tabs>
      <w:spacing w:after="0" w:line="240" w:lineRule="auto"/>
    </w:pPr>
  </w:style>
  <w:style w:type="character" w:customStyle="1" w:styleId="En-tteCar">
    <w:name w:val="En-tête Car"/>
    <w:basedOn w:val="Policepardfaut"/>
    <w:link w:val="En-tte"/>
    <w:uiPriority w:val="99"/>
    <w:rsid w:val="00F66D55"/>
  </w:style>
  <w:style w:type="paragraph" w:styleId="Pieddepage">
    <w:name w:val="footer"/>
    <w:basedOn w:val="Normal"/>
    <w:link w:val="PieddepageCar"/>
    <w:uiPriority w:val="99"/>
    <w:unhideWhenUsed/>
    <w:rsid w:val="00F66D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D55"/>
  </w:style>
  <w:style w:type="paragraph" w:styleId="En-ttedetabledesmatires">
    <w:name w:val="TOC Heading"/>
    <w:basedOn w:val="Titre1"/>
    <w:next w:val="Normal"/>
    <w:uiPriority w:val="39"/>
    <w:semiHidden/>
    <w:unhideWhenUsed/>
    <w:qFormat/>
    <w:rsid w:val="005351E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M1">
    <w:name w:val="toc 1"/>
    <w:basedOn w:val="Normal"/>
    <w:next w:val="Normal"/>
    <w:autoRedefine/>
    <w:uiPriority w:val="39"/>
    <w:unhideWhenUsed/>
    <w:rsid w:val="005351E2"/>
    <w:pPr>
      <w:spacing w:after="100"/>
    </w:pPr>
  </w:style>
  <w:style w:type="character" w:styleId="Lienhypertexte">
    <w:name w:val="Hyperlink"/>
    <w:basedOn w:val="Policepardfaut"/>
    <w:uiPriority w:val="99"/>
    <w:unhideWhenUsed/>
    <w:rsid w:val="005351E2"/>
    <w:rPr>
      <w:color w:val="0000FF" w:themeColor="hyperlink"/>
      <w:u w:val="single"/>
    </w:rPr>
  </w:style>
  <w:style w:type="character" w:styleId="lev">
    <w:name w:val="Strong"/>
    <w:basedOn w:val="Policepardfaut"/>
    <w:uiPriority w:val="22"/>
    <w:qFormat/>
    <w:rsid w:val="00511624"/>
    <w:rPr>
      <w:b/>
      <w:bCs/>
    </w:rPr>
  </w:style>
  <w:style w:type="character" w:customStyle="1" w:styleId="Titre2Car">
    <w:name w:val="Titre 2 Car"/>
    <w:basedOn w:val="Policepardfaut"/>
    <w:link w:val="Titre2"/>
    <w:uiPriority w:val="9"/>
    <w:rsid w:val="00600C98"/>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600C98"/>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C78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600C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D508CE"/>
  </w:style>
  <w:style w:type="character" w:customStyle="1" w:styleId="Titre1Car">
    <w:name w:val="Titre 1 Car"/>
    <w:basedOn w:val="Policepardfaut"/>
    <w:link w:val="Titre1"/>
    <w:uiPriority w:val="9"/>
    <w:rsid w:val="005C78F5"/>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semiHidden/>
    <w:unhideWhenUsed/>
    <w:rsid w:val="0089540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5401"/>
    <w:rPr>
      <w:sz w:val="20"/>
      <w:szCs w:val="20"/>
    </w:rPr>
  </w:style>
  <w:style w:type="character" w:styleId="Appelnotedebasdep">
    <w:name w:val="footnote reference"/>
    <w:basedOn w:val="Policepardfaut"/>
    <w:uiPriority w:val="99"/>
    <w:semiHidden/>
    <w:unhideWhenUsed/>
    <w:rsid w:val="00895401"/>
    <w:rPr>
      <w:vertAlign w:val="superscript"/>
    </w:rPr>
  </w:style>
  <w:style w:type="paragraph" w:styleId="Paragraphedeliste">
    <w:name w:val="List Paragraph"/>
    <w:basedOn w:val="Normal"/>
    <w:uiPriority w:val="34"/>
    <w:qFormat/>
    <w:rsid w:val="00A44AA1"/>
    <w:pPr>
      <w:ind w:left="720"/>
      <w:contextualSpacing/>
    </w:pPr>
  </w:style>
  <w:style w:type="paragraph" w:styleId="Textedebulles">
    <w:name w:val="Balloon Text"/>
    <w:basedOn w:val="Normal"/>
    <w:link w:val="TextedebullesCar"/>
    <w:uiPriority w:val="99"/>
    <w:semiHidden/>
    <w:unhideWhenUsed/>
    <w:rsid w:val="00FC03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033B"/>
    <w:rPr>
      <w:rFonts w:ascii="Tahoma" w:hAnsi="Tahoma" w:cs="Tahoma"/>
      <w:sz w:val="16"/>
      <w:szCs w:val="16"/>
    </w:rPr>
  </w:style>
  <w:style w:type="paragraph" w:styleId="En-tte">
    <w:name w:val="header"/>
    <w:basedOn w:val="Normal"/>
    <w:link w:val="En-tteCar"/>
    <w:uiPriority w:val="99"/>
    <w:unhideWhenUsed/>
    <w:rsid w:val="00F66D55"/>
    <w:pPr>
      <w:tabs>
        <w:tab w:val="center" w:pos="4536"/>
        <w:tab w:val="right" w:pos="9072"/>
      </w:tabs>
      <w:spacing w:after="0" w:line="240" w:lineRule="auto"/>
    </w:pPr>
  </w:style>
  <w:style w:type="character" w:customStyle="1" w:styleId="En-tteCar">
    <w:name w:val="En-tête Car"/>
    <w:basedOn w:val="Policepardfaut"/>
    <w:link w:val="En-tte"/>
    <w:uiPriority w:val="99"/>
    <w:rsid w:val="00F66D55"/>
  </w:style>
  <w:style w:type="paragraph" w:styleId="Pieddepage">
    <w:name w:val="footer"/>
    <w:basedOn w:val="Normal"/>
    <w:link w:val="PieddepageCar"/>
    <w:uiPriority w:val="99"/>
    <w:unhideWhenUsed/>
    <w:rsid w:val="00F66D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D55"/>
  </w:style>
  <w:style w:type="paragraph" w:styleId="En-ttedetabledesmatires">
    <w:name w:val="TOC Heading"/>
    <w:basedOn w:val="Titre1"/>
    <w:next w:val="Normal"/>
    <w:uiPriority w:val="39"/>
    <w:semiHidden/>
    <w:unhideWhenUsed/>
    <w:qFormat/>
    <w:rsid w:val="005351E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M1">
    <w:name w:val="toc 1"/>
    <w:basedOn w:val="Normal"/>
    <w:next w:val="Normal"/>
    <w:autoRedefine/>
    <w:uiPriority w:val="39"/>
    <w:unhideWhenUsed/>
    <w:rsid w:val="005351E2"/>
    <w:pPr>
      <w:spacing w:after="100"/>
    </w:pPr>
  </w:style>
  <w:style w:type="character" w:styleId="Lienhypertexte">
    <w:name w:val="Hyperlink"/>
    <w:basedOn w:val="Policepardfaut"/>
    <w:uiPriority w:val="99"/>
    <w:unhideWhenUsed/>
    <w:rsid w:val="005351E2"/>
    <w:rPr>
      <w:color w:val="0000FF" w:themeColor="hyperlink"/>
      <w:u w:val="single"/>
    </w:rPr>
  </w:style>
  <w:style w:type="character" w:styleId="lev">
    <w:name w:val="Strong"/>
    <w:basedOn w:val="Policepardfaut"/>
    <w:uiPriority w:val="22"/>
    <w:qFormat/>
    <w:rsid w:val="00511624"/>
    <w:rPr>
      <w:b/>
      <w:bCs/>
    </w:rPr>
  </w:style>
  <w:style w:type="character" w:customStyle="1" w:styleId="Titre2Car">
    <w:name w:val="Titre 2 Car"/>
    <w:basedOn w:val="Policepardfaut"/>
    <w:link w:val="Titre2"/>
    <w:uiPriority w:val="9"/>
    <w:rsid w:val="00600C98"/>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600C9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3624">
      <w:bodyDiv w:val="1"/>
      <w:marLeft w:val="0"/>
      <w:marRight w:val="0"/>
      <w:marTop w:val="0"/>
      <w:marBottom w:val="0"/>
      <w:divBdr>
        <w:top w:val="none" w:sz="0" w:space="0" w:color="auto"/>
        <w:left w:val="none" w:sz="0" w:space="0" w:color="auto"/>
        <w:bottom w:val="none" w:sz="0" w:space="0" w:color="auto"/>
        <w:right w:val="none" w:sz="0" w:space="0" w:color="auto"/>
      </w:divBdr>
      <w:divsChild>
        <w:div w:id="768743553">
          <w:marLeft w:val="0"/>
          <w:marRight w:val="0"/>
          <w:marTop w:val="0"/>
          <w:marBottom w:val="0"/>
          <w:divBdr>
            <w:top w:val="none" w:sz="0" w:space="0" w:color="auto"/>
            <w:left w:val="none" w:sz="0" w:space="0" w:color="auto"/>
            <w:bottom w:val="none" w:sz="0" w:space="0" w:color="auto"/>
            <w:right w:val="none" w:sz="0" w:space="0" w:color="auto"/>
          </w:divBdr>
        </w:div>
        <w:div w:id="625739708">
          <w:marLeft w:val="0"/>
          <w:marRight w:val="0"/>
          <w:marTop w:val="0"/>
          <w:marBottom w:val="0"/>
          <w:divBdr>
            <w:top w:val="none" w:sz="0" w:space="0" w:color="auto"/>
            <w:left w:val="none" w:sz="0" w:space="0" w:color="auto"/>
            <w:bottom w:val="none" w:sz="0" w:space="0" w:color="auto"/>
            <w:right w:val="none" w:sz="0" w:space="0" w:color="auto"/>
          </w:divBdr>
        </w:div>
        <w:div w:id="1105880955">
          <w:marLeft w:val="0"/>
          <w:marRight w:val="0"/>
          <w:marTop w:val="0"/>
          <w:marBottom w:val="0"/>
          <w:divBdr>
            <w:top w:val="none" w:sz="0" w:space="0" w:color="auto"/>
            <w:left w:val="none" w:sz="0" w:space="0" w:color="auto"/>
            <w:bottom w:val="none" w:sz="0" w:space="0" w:color="auto"/>
            <w:right w:val="none" w:sz="0" w:space="0" w:color="auto"/>
          </w:divBdr>
        </w:div>
        <w:div w:id="1882130097">
          <w:marLeft w:val="0"/>
          <w:marRight w:val="0"/>
          <w:marTop w:val="0"/>
          <w:marBottom w:val="0"/>
          <w:divBdr>
            <w:top w:val="none" w:sz="0" w:space="0" w:color="auto"/>
            <w:left w:val="none" w:sz="0" w:space="0" w:color="auto"/>
            <w:bottom w:val="none" w:sz="0" w:space="0" w:color="auto"/>
            <w:right w:val="none" w:sz="0" w:space="0" w:color="auto"/>
          </w:divBdr>
        </w:div>
        <w:div w:id="904873982">
          <w:marLeft w:val="0"/>
          <w:marRight w:val="0"/>
          <w:marTop w:val="0"/>
          <w:marBottom w:val="0"/>
          <w:divBdr>
            <w:top w:val="none" w:sz="0" w:space="0" w:color="auto"/>
            <w:left w:val="none" w:sz="0" w:space="0" w:color="auto"/>
            <w:bottom w:val="none" w:sz="0" w:space="0" w:color="auto"/>
            <w:right w:val="none" w:sz="0" w:space="0" w:color="auto"/>
          </w:divBdr>
        </w:div>
        <w:div w:id="2110158019">
          <w:marLeft w:val="0"/>
          <w:marRight w:val="0"/>
          <w:marTop w:val="0"/>
          <w:marBottom w:val="0"/>
          <w:divBdr>
            <w:top w:val="none" w:sz="0" w:space="0" w:color="auto"/>
            <w:left w:val="none" w:sz="0" w:space="0" w:color="auto"/>
            <w:bottom w:val="none" w:sz="0" w:space="0" w:color="auto"/>
            <w:right w:val="none" w:sz="0" w:space="0" w:color="auto"/>
          </w:divBdr>
        </w:div>
      </w:divsChild>
    </w:div>
    <w:div w:id="19624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file:///K:\Backup%20disc%20WD\PERSO\Livre\Articles\Comptes%20d%20operation%20zone%20franc.xlsx!Comptes%20d'op&#233;rations!%5bComptes%20d%20operation%20zone%20franc.xlsx%5dComptes%20d'op&#233;rations%20Graphique%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senat.fr/rap/np07_04ami/np07_04ami_mono.html" TargetMode="External"/><Relationship Id="rId10" Type="http://schemas.openxmlformats.org/officeDocument/2006/relationships/oleObject" Target="file:///K:\Backup%20disc%20WD\PERSO\Livre\Articles\Comptes%20d%20operation%20zone%20franc.xlsx!Taux%20de%20couverture!%5bComptes%20d%20operation%20zone%20franc.xlsx%5dTaux%20de%20couverture%20Graphique%202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K:\Backup%20disc%20WD\PERSO\Livre\Articles\Comptes%20d%20operation%20zone%20franc.xlsx!Avoirs%20exterieurs%20nets!%5bComptes%20d%20operation%20zone%20franc.xlsx%5dAvoirs%20exterieurs%20nets%20Graphique%2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220A-F97D-434E-B5B8-29BBCB63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Pages>
  <Words>5204</Words>
  <Characters>28625</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Tidiani SIDIBE</dc:creator>
  <cp:keywords/>
  <dc:description/>
  <cp:lastModifiedBy>Tidiani SIDIBE</cp:lastModifiedBy>
  <cp:revision>66</cp:revision>
  <cp:lastPrinted>2015-08-17T13:06:00Z</cp:lastPrinted>
  <dcterms:created xsi:type="dcterms:W3CDTF">2015-08-25T15:56:00Z</dcterms:created>
  <dcterms:modified xsi:type="dcterms:W3CDTF">2015-09-02T16:41:00Z</dcterms:modified>
</cp:coreProperties>
</file>