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25" w:rsidRPr="00B2206E" w:rsidRDefault="00751C25" w:rsidP="00104803">
      <w:pPr>
        <w:autoSpaceDE w:val="0"/>
        <w:autoSpaceDN w:val="0"/>
        <w:adjustRightInd w:val="0"/>
        <w:spacing w:after="0" w:line="240" w:lineRule="auto"/>
        <w:jc w:val="center"/>
        <w:rPr>
          <w:rFonts w:ascii="Impact" w:hAnsi="Impact" w:cs="Times New Roman"/>
          <w:bCs/>
          <w:color w:val="000000"/>
          <w:sz w:val="32"/>
          <w:szCs w:val="34"/>
        </w:rPr>
      </w:pPr>
      <w:r w:rsidRPr="00B2206E">
        <w:rPr>
          <w:rFonts w:ascii="Times New Roman" w:hAnsi="Times New Roman" w:cs="Times New Roman"/>
          <w:b/>
          <w:bCs/>
          <w:color w:val="222222"/>
          <w:sz w:val="28"/>
          <w:szCs w:val="24"/>
        </w:rPr>
        <w:t>T</w:t>
      </w:r>
      <w:r w:rsidR="00300008">
        <w:rPr>
          <w:rFonts w:ascii="Times New Roman" w:hAnsi="Times New Roman" w:cs="Times New Roman"/>
          <w:b/>
          <w:bCs/>
          <w:color w:val="222222"/>
          <w:sz w:val="28"/>
          <w:szCs w:val="24"/>
        </w:rPr>
        <w:t>HE RELATI</w:t>
      </w:r>
      <w:r w:rsidRPr="00B2206E">
        <w:rPr>
          <w:rFonts w:ascii="Times New Roman" w:hAnsi="Times New Roman" w:cs="Times New Roman"/>
          <w:b/>
          <w:bCs/>
          <w:color w:val="222222"/>
          <w:sz w:val="28"/>
          <w:szCs w:val="24"/>
        </w:rPr>
        <w:t>O</w:t>
      </w:r>
      <w:r w:rsidR="00300008">
        <w:rPr>
          <w:rFonts w:ascii="Times New Roman" w:hAnsi="Times New Roman" w:cs="Times New Roman"/>
          <w:b/>
          <w:bCs/>
          <w:color w:val="222222"/>
          <w:sz w:val="28"/>
          <w:szCs w:val="24"/>
        </w:rPr>
        <w:t>N</w:t>
      </w:r>
      <w:r w:rsidRPr="00B2206E">
        <w:rPr>
          <w:rFonts w:ascii="Times New Roman" w:hAnsi="Times New Roman" w:cs="Times New Roman"/>
          <w:b/>
          <w:bCs/>
          <w:color w:val="222222"/>
          <w:sz w:val="28"/>
          <w:szCs w:val="24"/>
        </w:rPr>
        <w:t xml:space="preserve">SHIP BETWEEN HUMAN CAPITAL </w:t>
      </w:r>
      <w:r w:rsidR="008D51FE">
        <w:rPr>
          <w:rFonts w:ascii="Times New Roman" w:hAnsi="Times New Roman" w:cs="Times New Roman"/>
          <w:b/>
          <w:bCs/>
          <w:color w:val="222222"/>
          <w:sz w:val="28"/>
          <w:szCs w:val="24"/>
        </w:rPr>
        <w:t xml:space="preserve">                           </w:t>
      </w:r>
      <w:r w:rsidRPr="00B2206E">
        <w:rPr>
          <w:rFonts w:ascii="Times New Roman" w:hAnsi="Times New Roman" w:cs="Times New Roman"/>
          <w:b/>
          <w:bCs/>
          <w:color w:val="222222"/>
          <w:sz w:val="28"/>
          <w:szCs w:val="24"/>
        </w:rPr>
        <w:t xml:space="preserve">AND </w:t>
      </w:r>
      <w:r w:rsidR="001F0BA3">
        <w:rPr>
          <w:rFonts w:ascii="Times New Roman" w:hAnsi="Times New Roman" w:cs="Times New Roman"/>
          <w:b/>
          <w:bCs/>
          <w:color w:val="222222"/>
          <w:sz w:val="28"/>
          <w:szCs w:val="24"/>
        </w:rPr>
        <w:t xml:space="preserve">MBA </w:t>
      </w:r>
      <w:r w:rsidR="001F0BA3" w:rsidRPr="00B2206E">
        <w:rPr>
          <w:rFonts w:ascii="Times New Roman" w:hAnsi="Times New Roman" w:cs="Times New Roman"/>
          <w:b/>
          <w:bCs/>
          <w:color w:val="222222"/>
          <w:sz w:val="28"/>
          <w:szCs w:val="24"/>
        </w:rPr>
        <w:t>EDUCATION</w:t>
      </w:r>
      <w:r w:rsidR="00A60E4D">
        <w:rPr>
          <w:rFonts w:ascii="Times New Roman" w:hAnsi="Times New Roman" w:cs="Times New Roman"/>
          <w:b/>
          <w:bCs/>
          <w:color w:val="222222"/>
          <w:sz w:val="28"/>
          <w:szCs w:val="24"/>
        </w:rPr>
        <w:t xml:space="preserve">: THE CASE OF </w:t>
      </w:r>
      <w:r w:rsidRPr="00B2206E">
        <w:rPr>
          <w:rFonts w:ascii="Times New Roman" w:hAnsi="Times New Roman" w:cs="Times New Roman"/>
          <w:b/>
          <w:bCs/>
          <w:color w:val="222222"/>
          <w:sz w:val="28"/>
          <w:szCs w:val="24"/>
        </w:rPr>
        <w:t xml:space="preserve">TURKEY </w:t>
      </w:r>
    </w:p>
    <w:p w:rsidR="00B2206E" w:rsidRDefault="00B2206E" w:rsidP="006347CE">
      <w:pPr>
        <w:autoSpaceDE w:val="0"/>
        <w:autoSpaceDN w:val="0"/>
        <w:adjustRightInd w:val="0"/>
        <w:spacing w:before="120" w:after="0" w:line="240" w:lineRule="auto"/>
        <w:jc w:val="center"/>
        <w:rPr>
          <w:rFonts w:ascii="Times New Roman" w:hAnsi="Times New Roman" w:cs="Times New Roman"/>
          <w:b/>
          <w:bCs/>
          <w:color w:val="000000"/>
          <w:sz w:val="24"/>
          <w:szCs w:val="20"/>
        </w:rPr>
      </w:pPr>
    </w:p>
    <w:p w:rsidR="00104803" w:rsidRPr="001D27CC" w:rsidRDefault="0043459D" w:rsidP="006347CE">
      <w:pPr>
        <w:autoSpaceDE w:val="0"/>
        <w:autoSpaceDN w:val="0"/>
        <w:adjustRightInd w:val="0"/>
        <w:spacing w:before="120" w:after="0" w:line="240" w:lineRule="auto"/>
        <w:jc w:val="center"/>
        <w:rPr>
          <w:rFonts w:ascii="Times New Roman" w:hAnsi="Times New Roman" w:cs="Times New Roman"/>
          <w:bCs/>
          <w:i/>
          <w:color w:val="000000"/>
          <w:sz w:val="24"/>
          <w:szCs w:val="20"/>
        </w:rPr>
      </w:pPr>
      <w:r w:rsidRPr="001D27CC">
        <w:rPr>
          <w:rFonts w:ascii="Times New Roman" w:hAnsi="Times New Roman" w:cs="Times New Roman"/>
          <w:bCs/>
          <w:i/>
          <w:color w:val="000000"/>
          <w:sz w:val="24"/>
          <w:szCs w:val="20"/>
        </w:rPr>
        <w:t>Osman Nuri Aras</w:t>
      </w:r>
      <w:r w:rsidR="000C4702">
        <w:rPr>
          <w:rFonts w:ascii="Times New Roman" w:hAnsi="Times New Roman" w:cs="Times New Roman"/>
          <w:bCs/>
          <w:i/>
          <w:color w:val="000000"/>
          <w:sz w:val="24"/>
          <w:szCs w:val="20"/>
        </w:rPr>
        <w:t xml:space="preserve">, Mustafa Öztürk  </w:t>
      </w:r>
    </w:p>
    <w:p w:rsidR="00E94F4F" w:rsidRPr="001D27CC" w:rsidRDefault="00E94F4F" w:rsidP="006347CE">
      <w:pPr>
        <w:autoSpaceDE w:val="0"/>
        <w:autoSpaceDN w:val="0"/>
        <w:adjustRightInd w:val="0"/>
        <w:spacing w:before="120" w:after="0" w:line="240" w:lineRule="auto"/>
        <w:jc w:val="center"/>
        <w:rPr>
          <w:rFonts w:ascii="Times New Roman" w:hAnsi="Times New Roman" w:cs="Times New Roman"/>
          <w:bCs/>
          <w:i/>
          <w:color w:val="000000"/>
          <w:sz w:val="24"/>
          <w:szCs w:val="20"/>
        </w:rPr>
      </w:pPr>
    </w:p>
    <w:p w:rsidR="001F0BA3" w:rsidRPr="00577FF5" w:rsidRDefault="00986757" w:rsidP="00A60E4D">
      <w:pPr>
        <w:spacing w:before="240" w:after="120" w:line="336" w:lineRule="auto"/>
        <w:jc w:val="both"/>
        <w:rPr>
          <w:rFonts w:ascii="Times New Roman" w:hAnsi="Times New Roman" w:cs="Times New Roman"/>
          <w:b/>
          <w:sz w:val="24"/>
          <w:szCs w:val="24"/>
          <w:lang w:val="en-US"/>
        </w:rPr>
      </w:pPr>
      <w:r>
        <w:rPr>
          <w:noProof/>
          <w:sz w:val="24"/>
        </w:rPr>
        <w:pict>
          <v:shapetype id="_x0000_t202" coordsize="21600,21600" o:spt="202" path="m,l,21600r21600,l21600,xe">
            <v:stroke joinstyle="miter"/>
            <v:path gradientshapeok="t" o:connecttype="rect"/>
          </v:shapetype>
          <v:shape id="Text Box 35" o:spid="_x0000_s1027" type="#_x0000_t202" style="position:absolute;left:0;text-align:left;margin-left:-12.3pt;margin-top:40.55pt;width:132pt;height:543.75pt;z-index:251659264;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" filled="f" stroked="f">
            <v:textbox>
              <w:txbxContent>
                <w:p w:rsidR="00F12A6D" w:rsidRDefault="00F12A6D" w:rsidP="006603AE">
                  <w:r w:rsidRPr="00D35A45">
                    <w:rPr>
                      <w:noProof/>
                      <w:lang w:eastAsia="tr-TR"/>
                    </w:rPr>
                    <w:drawing>
                      <wp:inline distT="0" distB="0" distL="0" distR="0" wp14:anchorId="3E70F7DA" wp14:editId="0EE131A7">
                        <wp:extent cx="1492351" cy="964800"/>
                        <wp:effectExtent l="0" t="0" r="0" b="6985"/>
                        <wp:docPr id="3" name="Resim 3" descr="C:\Users\Ona\Desktop\ıss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a\Desktop\ıss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351" cy="964800"/>
                                </a:xfrm>
                                <a:prstGeom prst="rect">
                                  <a:avLst/>
                                </a:prstGeom>
                                <a:noFill/>
                                <a:ln>
                                  <a:noFill/>
                                </a:ln>
                              </pic:spPr>
                            </pic:pic>
                          </a:graphicData>
                        </a:graphic>
                      </wp:inline>
                    </w:drawing>
                  </w:r>
                  <w:r w:rsidRPr="00D35A45">
                    <w:rPr>
                      <w:noProof/>
                    </w:rPr>
                    <w:t xml:space="preserve"> </w:t>
                  </w:r>
                </w:p>
                <w:p w:rsidR="00F12A6D" w:rsidRDefault="00F12A6D" w:rsidP="006603AE">
                  <w:pPr>
                    <w:spacing w:after="0" w:line="240" w:lineRule="auto"/>
                    <w:rPr>
                      <w:rFonts w:ascii="Times" w:hAnsi="Times"/>
                      <w:sz w:val="20"/>
                      <w:szCs w:val="20"/>
                      <w:lang w:val="en-MY"/>
                    </w:rPr>
                  </w:pPr>
                  <w:r>
                    <w:rPr>
                      <w:rFonts w:ascii="Times" w:hAnsi="Times"/>
                      <w:sz w:val="20"/>
                      <w:szCs w:val="20"/>
                      <w:lang w:val="en-MY"/>
                    </w:rPr>
                    <w:t>Received 14 May 2017</w:t>
                  </w:r>
                </w:p>
                <w:p w:rsidR="00F12A6D" w:rsidRDefault="00F12A6D" w:rsidP="006603AE">
                  <w:pPr>
                    <w:spacing w:after="0" w:line="240" w:lineRule="auto"/>
                    <w:rPr>
                      <w:rFonts w:ascii="Times" w:hAnsi="Times"/>
                      <w:sz w:val="20"/>
                      <w:szCs w:val="20"/>
                      <w:lang w:val="en-MY"/>
                    </w:rPr>
                  </w:pPr>
                  <w:r>
                    <w:rPr>
                      <w:rFonts w:ascii="Times" w:hAnsi="Times"/>
                      <w:sz w:val="20"/>
                      <w:szCs w:val="20"/>
                      <w:lang w:val="en-MY"/>
                    </w:rPr>
                    <w:t>Revised</w:t>
                  </w:r>
                  <w:r>
                    <w:rPr>
                      <w:rFonts w:ascii="Times" w:hAnsi="Times"/>
                      <w:sz w:val="20"/>
                      <w:szCs w:val="20"/>
                      <w:lang w:val="en-MY"/>
                    </w:rPr>
                    <w:tab/>
                    <w:t>26</w:t>
                  </w:r>
                  <w:r w:rsidRPr="00704F4C">
                    <w:rPr>
                      <w:rFonts w:ascii="Times" w:hAnsi="Times"/>
                      <w:sz w:val="20"/>
                      <w:szCs w:val="20"/>
                      <w:lang w:val="en-MY"/>
                    </w:rPr>
                    <w:t xml:space="preserve"> </w:t>
                  </w:r>
                  <w:r>
                    <w:rPr>
                      <w:rFonts w:ascii="Times" w:hAnsi="Times"/>
                      <w:sz w:val="20"/>
                      <w:szCs w:val="20"/>
                      <w:lang w:val="en-MY"/>
                    </w:rPr>
                    <w:t>June 2017</w:t>
                  </w:r>
                </w:p>
                <w:p w:rsidR="00F12A6D" w:rsidRPr="00704F4C" w:rsidRDefault="00F12A6D" w:rsidP="006603AE">
                  <w:pPr>
                    <w:spacing w:after="0" w:line="240" w:lineRule="auto"/>
                    <w:rPr>
                      <w:rFonts w:ascii="Times" w:hAnsi="Times"/>
                      <w:sz w:val="20"/>
                      <w:szCs w:val="20"/>
                      <w:lang w:val="en-MY"/>
                    </w:rPr>
                  </w:pPr>
                  <w:r w:rsidRPr="00704F4C">
                    <w:rPr>
                      <w:rFonts w:ascii="Times" w:hAnsi="Times"/>
                      <w:sz w:val="20"/>
                      <w:szCs w:val="20"/>
                      <w:lang w:val="en-MY"/>
                    </w:rPr>
                    <w:t xml:space="preserve">Accepted </w:t>
                  </w:r>
                  <w:r>
                    <w:rPr>
                      <w:rFonts w:ascii="Times" w:hAnsi="Times"/>
                      <w:sz w:val="20"/>
                      <w:szCs w:val="20"/>
                      <w:lang w:val="en-MY"/>
                    </w:rPr>
                    <w:t>06</w:t>
                  </w:r>
                  <w:r w:rsidRPr="00704F4C">
                    <w:rPr>
                      <w:rFonts w:ascii="Times" w:hAnsi="Times"/>
                      <w:sz w:val="20"/>
                      <w:szCs w:val="20"/>
                      <w:lang w:val="en-MY"/>
                    </w:rPr>
                    <w:t xml:space="preserve"> </w:t>
                  </w:r>
                  <w:r>
                    <w:rPr>
                      <w:rFonts w:ascii="Times" w:hAnsi="Times"/>
                      <w:sz w:val="20"/>
                      <w:szCs w:val="20"/>
                      <w:lang w:val="en-MY"/>
                    </w:rPr>
                    <w:t>August</w:t>
                  </w:r>
                  <w:r w:rsidRPr="00704F4C">
                    <w:rPr>
                      <w:rFonts w:ascii="Times" w:hAnsi="Times"/>
                      <w:sz w:val="20"/>
                      <w:szCs w:val="20"/>
                      <w:lang w:val="en-MY"/>
                    </w:rPr>
                    <w:t xml:space="preserve"> </w:t>
                  </w:r>
                  <w:r>
                    <w:rPr>
                      <w:rFonts w:ascii="Times" w:hAnsi="Times"/>
                      <w:sz w:val="20"/>
                      <w:szCs w:val="20"/>
                      <w:lang w:val="en-MY"/>
                    </w:rPr>
                    <w:t>2017</w:t>
                  </w: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Pr="00A9647C" w:rsidRDefault="00F12A6D" w:rsidP="006603AE">
                  <w:pPr>
                    <w:spacing w:after="0" w:line="240" w:lineRule="auto"/>
                    <w:rPr>
                      <w:bCs/>
                      <w:sz w:val="14"/>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Default="00F12A6D" w:rsidP="006603AE">
                  <w:pPr>
                    <w:spacing w:after="0" w:line="240" w:lineRule="auto"/>
                    <w:rPr>
                      <w:bCs/>
                      <w:sz w:val="20"/>
                      <w:szCs w:val="20"/>
                      <w:shd w:val="clear" w:color="auto" w:fill="FFFFFF"/>
                      <w:lang w:val="en-MY"/>
                    </w:rPr>
                  </w:pPr>
                </w:p>
                <w:p w:rsidR="00F12A6D" w:rsidRPr="004E0546" w:rsidRDefault="00F12A6D" w:rsidP="006603AE">
                  <w:pPr>
                    <w:spacing w:after="0" w:line="240" w:lineRule="auto"/>
                    <w:rPr>
                      <w:sz w:val="20"/>
                      <w:szCs w:val="20"/>
                      <w:lang w:val="en-MY"/>
                    </w:rPr>
                  </w:pPr>
                  <w:r w:rsidRPr="004E0546">
                    <w:rPr>
                      <w:bCs/>
                      <w:sz w:val="20"/>
                      <w:szCs w:val="20"/>
                      <w:shd w:val="clear" w:color="auto" w:fill="FFFFFF"/>
                      <w:lang w:val="en-MY"/>
                    </w:rPr>
                    <w:t>Torain Publishing Limited</w:t>
                  </w:r>
                </w:p>
                <w:p w:rsidR="00F12A6D" w:rsidRDefault="00F12A6D" w:rsidP="006603AE">
                  <w:pPr>
                    <w:spacing w:after="0"/>
                  </w:pPr>
                </w:p>
                <w:p w:rsidR="00F12A6D" w:rsidRDefault="00F12A6D" w:rsidP="006603AE">
                  <w:pPr>
                    <w:spacing w:after="0"/>
                    <w:rPr>
                      <w:sz w:val="20"/>
                      <w:szCs w:val="20"/>
                    </w:rPr>
                  </w:pPr>
                </w:p>
                <w:p w:rsidR="00F12A6D" w:rsidRDefault="00F12A6D" w:rsidP="006603AE">
                  <w:pPr>
                    <w:spacing w:after="0"/>
                    <w:rPr>
                      <w:sz w:val="20"/>
                      <w:szCs w:val="20"/>
                    </w:rPr>
                  </w:pPr>
                </w:p>
                <w:p w:rsidR="00F12A6D" w:rsidRDefault="00F12A6D" w:rsidP="006603AE">
                  <w:pPr>
                    <w:spacing w:after="0"/>
                    <w:rPr>
                      <w:sz w:val="20"/>
                      <w:szCs w:val="20"/>
                    </w:rPr>
                  </w:pPr>
                </w:p>
                <w:p w:rsidR="00F12A6D" w:rsidRDefault="00F12A6D" w:rsidP="006603AE">
                  <w:pPr>
                    <w:spacing w:after="0"/>
                    <w:rPr>
                      <w:sz w:val="20"/>
                      <w:szCs w:val="20"/>
                    </w:rPr>
                  </w:pPr>
                </w:p>
                <w:p w:rsidR="00F12A6D" w:rsidRDefault="00F12A6D" w:rsidP="006603AE">
                  <w:pPr>
                    <w:spacing w:after="0"/>
                    <w:rPr>
                      <w:sz w:val="20"/>
                      <w:szCs w:val="20"/>
                    </w:rPr>
                  </w:pPr>
                </w:p>
                <w:p w:rsidR="00F12A6D" w:rsidRDefault="00F12A6D" w:rsidP="006603AE">
                  <w:pPr>
                    <w:spacing w:after="0"/>
                    <w:rPr>
                      <w:sz w:val="20"/>
                      <w:szCs w:val="20"/>
                    </w:rPr>
                  </w:pPr>
                  <w:r>
                    <w:rPr>
                      <w:sz w:val="20"/>
                      <w:szCs w:val="20"/>
                    </w:rPr>
                    <w:t>Corresponding author</w:t>
                  </w:r>
                  <w:r w:rsidRPr="002F1B4E">
                    <w:rPr>
                      <w:sz w:val="20"/>
                      <w:szCs w:val="20"/>
                    </w:rPr>
                    <w:t xml:space="preserve">: </w:t>
                  </w:r>
                </w:p>
                <w:p w:rsidR="00F12A6D" w:rsidRPr="002142C5" w:rsidRDefault="00F12A6D" w:rsidP="006603AE">
                  <w:pPr>
                    <w:spacing w:after="0"/>
                    <w:rPr>
                      <w:sz w:val="16"/>
                      <w:szCs w:val="20"/>
                    </w:rPr>
                  </w:pPr>
                  <w:r>
                    <w:rPr>
                      <w:i/>
                      <w:sz w:val="20"/>
                    </w:rPr>
                    <w:t>osmannuriaras@gmail.com</w:t>
                  </w:r>
                </w:p>
              </w:txbxContent>
            </v:textbox>
            <w10:wrap type="square" anchorx="margin"/>
          </v:shape>
        </w:pict>
      </w:r>
      <w:r w:rsidR="001F0BA3" w:rsidRPr="001F0BA3">
        <w:rPr>
          <w:rFonts w:ascii="Times New Roman" w:hAnsi="Times New Roman" w:cs="Times New Roman"/>
          <w:b/>
          <w:sz w:val="28"/>
          <w:szCs w:val="24"/>
          <w:lang w:val="en-US"/>
        </w:rPr>
        <w:t>Abstract</w:t>
      </w:r>
    </w:p>
    <w:p w:rsidR="00165679" w:rsidRPr="00165679" w:rsidRDefault="004C214D" w:rsidP="00165679">
      <w:pPr>
        <w:autoSpaceDE w:val="0"/>
        <w:autoSpaceDN w:val="0"/>
        <w:adjustRightInd w:val="0"/>
        <w:spacing w:before="120"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165679" w:rsidRPr="00165679">
        <w:rPr>
          <w:rFonts w:ascii="Times New Roman" w:hAnsi="Times New Roman" w:cs="Times New Roman"/>
          <w:color w:val="000000" w:themeColor="text1"/>
          <w:sz w:val="24"/>
          <w:szCs w:val="24"/>
        </w:rPr>
        <w:t>uman capital</w:t>
      </w:r>
      <w:r w:rsidR="00A43DCE">
        <w:rPr>
          <w:rFonts w:ascii="Times New Roman" w:hAnsi="Times New Roman" w:cs="Times New Roman"/>
          <w:color w:val="000000" w:themeColor="text1"/>
          <w:sz w:val="24"/>
          <w:szCs w:val="24"/>
        </w:rPr>
        <w:t xml:space="preserve"> is</w:t>
      </w:r>
      <w:r w:rsidR="00165679" w:rsidRPr="00165679">
        <w:rPr>
          <w:rFonts w:ascii="Times New Roman" w:hAnsi="Times New Roman" w:cs="Times New Roman"/>
          <w:color w:val="000000" w:themeColor="text1"/>
          <w:sz w:val="24"/>
          <w:szCs w:val="24"/>
        </w:rPr>
        <w:t xml:space="preserve"> one of the most imp</w:t>
      </w:r>
      <w:r>
        <w:rPr>
          <w:rFonts w:ascii="Times New Roman" w:hAnsi="Times New Roman" w:cs="Times New Roman"/>
          <w:color w:val="000000" w:themeColor="text1"/>
          <w:sz w:val="24"/>
          <w:szCs w:val="24"/>
        </w:rPr>
        <w:t xml:space="preserve">ortant source for economic development and </w:t>
      </w:r>
      <w:r w:rsidR="00165679" w:rsidRPr="00165679">
        <w:rPr>
          <w:rFonts w:ascii="Times New Roman" w:hAnsi="Times New Roman" w:cs="Times New Roman"/>
          <w:color w:val="000000" w:themeColor="text1"/>
          <w:sz w:val="24"/>
          <w:szCs w:val="24"/>
        </w:rPr>
        <w:t>econ</w:t>
      </w:r>
      <w:r>
        <w:rPr>
          <w:rFonts w:ascii="Times New Roman" w:hAnsi="Times New Roman" w:cs="Times New Roman"/>
          <w:color w:val="000000" w:themeColor="text1"/>
          <w:sz w:val="24"/>
          <w:szCs w:val="24"/>
        </w:rPr>
        <w:t xml:space="preserve">omic progress in </w:t>
      </w:r>
      <w:r w:rsidR="00165679" w:rsidRPr="00165679">
        <w:rPr>
          <w:rFonts w:ascii="Times New Roman" w:hAnsi="Times New Roman" w:cs="Times New Roman"/>
          <w:color w:val="000000" w:themeColor="text1"/>
          <w:sz w:val="24"/>
          <w:szCs w:val="24"/>
        </w:rPr>
        <w:t>a country. Of course, the quality of human capital will be determinative of the economic development and economic progress. Education, on the other hand, is the most important and the initial step in i</w:t>
      </w:r>
      <w:r>
        <w:rPr>
          <w:rFonts w:ascii="Times New Roman" w:hAnsi="Times New Roman" w:cs="Times New Roman"/>
          <w:color w:val="000000" w:themeColor="text1"/>
          <w:sz w:val="24"/>
          <w:szCs w:val="24"/>
        </w:rPr>
        <w:t>mproving</w:t>
      </w:r>
      <w:r w:rsidR="00165679" w:rsidRPr="00165679">
        <w:rPr>
          <w:rFonts w:ascii="Times New Roman" w:hAnsi="Times New Roman" w:cs="Times New Roman"/>
          <w:color w:val="000000" w:themeColor="text1"/>
          <w:sz w:val="24"/>
          <w:szCs w:val="24"/>
        </w:rPr>
        <w:t xml:space="preserve"> the quality of human capital and in achieving a sufficient level</w:t>
      </w:r>
      <w:r>
        <w:rPr>
          <w:rFonts w:ascii="Times New Roman" w:hAnsi="Times New Roman" w:cs="Times New Roman"/>
          <w:color w:val="000000" w:themeColor="text1"/>
          <w:sz w:val="24"/>
          <w:szCs w:val="24"/>
        </w:rPr>
        <w:t xml:space="preserve"> of qualification regarding </w:t>
      </w:r>
      <w:r w:rsidR="00165679" w:rsidRPr="00165679">
        <w:rPr>
          <w:rFonts w:ascii="Times New Roman" w:hAnsi="Times New Roman" w:cs="Times New Roman"/>
          <w:color w:val="000000" w:themeColor="text1"/>
          <w:sz w:val="24"/>
          <w:szCs w:val="24"/>
        </w:rPr>
        <w:t xml:space="preserve">human capital. Today, undergraduate education programs, especially Master of Business Administration (MBA) programs, make a greater contribution in upgrading the quality of the human capital. MBA programs have become widespread in Turkey as well as in many countries around the world. </w:t>
      </w:r>
    </w:p>
    <w:p w:rsidR="00165679" w:rsidRPr="00165679" w:rsidRDefault="001F0BA3" w:rsidP="00165679">
      <w:pPr>
        <w:autoSpaceDE w:val="0"/>
        <w:autoSpaceDN w:val="0"/>
        <w:adjustRightInd w:val="0"/>
        <w:spacing w:before="120" w:after="0"/>
        <w:jc w:val="both"/>
        <w:rPr>
          <w:rFonts w:ascii="Times New Roman" w:hAnsi="Times New Roman" w:cs="Times New Roman"/>
          <w:color w:val="000000" w:themeColor="text1"/>
          <w:sz w:val="24"/>
          <w:szCs w:val="24"/>
        </w:rPr>
      </w:pPr>
      <w:r w:rsidRPr="00165679">
        <w:rPr>
          <w:rFonts w:ascii="Times New Roman" w:hAnsi="Times New Roman" w:cs="Times New Roman"/>
          <w:color w:val="000000" w:themeColor="text1"/>
          <w:sz w:val="24"/>
          <w:lang w:val="en-US"/>
        </w:rPr>
        <w:t>There is a necessity of measuring the quality level of human capital which is provided b</w:t>
      </w:r>
      <w:r w:rsidR="004C214D">
        <w:rPr>
          <w:rFonts w:ascii="Times New Roman" w:hAnsi="Times New Roman" w:cs="Times New Roman"/>
          <w:color w:val="000000" w:themeColor="text1"/>
          <w:sz w:val="24"/>
          <w:lang w:val="en-US"/>
        </w:rPr>
        <w:t xml:space="preserve">y the education especially, </w:t>
      </w:r>
      <w:r w:rsidRPr="00165679">
        <w:rPr>
          <w:rFonts w:ascii="Times New Roman" w:hAnsi="Times New Roman" w:cs="Times New Roman"/>
          <w:color w:val="000000" w:themeColor="text1"/>
          <w:sz w:val="24"/>
          <w:lang w:val="en-US"/>
        </w:rPr>
        <w:t xml:space="preserve">MBA programs. Within the framework of this necessity, </w:t>
      </w:r>
      <w:r w:rsidR="00165679" w:rsidRPr="00165679">
        <w:rPr>
          <w:rFonts w:ascii="Times New Roman" w:hAnsi="Times New Roman" w:cs="Times New Roman"/>
          <w:color w:val="000000" w:themeColor="text1"/>
          <w:sz w:val="24"/>
          <w:lang w:val="en-US"/>
        </w:rPr>
        <w:t>i</w:t>
      </w:r>
      <w:r w:rsidR="00165679" w:rsidRPr="00165679">
        <w:rPr>
          <w:rFonts w:ascii="Times New Roman" w:hAnsi="Times New Roman" w:cs="Times New Roman"/>
          <w:color w:val="000000" w:themeColor="text1"/>
          <w:sz w:val="24"/>
          <w:szCs w:val="24"/>
        </w:rPr>
        <w:t>n this article, it is aimed to measure the</w:t>
      </w:r>
      <w:r w:rsidR="004C214D">
        <w:rPr>
          <w:rFonts w:ascii="Times New Roman" w:hAnsi="Times New Roman" w:cs="Times New Roman"/>
          <w:color w:val="000000" w:themeColor="text1"/>
          <w:sz w:val="24"/>
          <w:szCs w:val="24"/>
        </w:rPr>
        <w:t xml:space="preserve"> level of contribution of </w:t>
      </w:r>
      <w:r w:rsidR="00165679" w:rsidRPr="00165679">
        <w:rPr>
          <w:rFonts w:ascii="Times New Roman" w:hAnsi="Times New Roman" w:cs="Times New Roman"/>
          <w:color w:val="000000" w:themeColor="text1"/>
          <w:sz w:val="24"/>
          <w:szCs w:val="24"/>
        </w:rPr>
        <w:t>MBA programs to human capital in Turkey.</w:t>
      </w:r>
    </w:p>
    <w:p w:rsidR="00165679" w:rsidRDefault="00165679" w:rsidP="00165679">
      <w:pPr>
        <w:autoSpaceDE w:val="0"/>
        <w:autoSpaceDN w:val="0"/>
        <w:adjustRightInd w:val="0"/>
        <w:spacing w:before="120" w:after="0"/>
        <w:jc w:val="both"/>
        <w:rPr>
          <w:rFonts w:ascii="Times New Roman" w:hAnsi="Times New Roman" w:cs="Times New Roman"/>
          <w:sz w:val="24"/>
          <w:lang w:val="en-US"/>
        </w:rPr>
      </w:pPr>
      <w:r w:rsidRPr="00165679">
        <w:rPr>
          <w:rFonts w:ascii="Times New Roman" w:hAnsi="Times New Roman" w:cs="Times New Roman"/>
          <w:color w:val="000000" w:themeColor="text1"/>
          <w:sz w:val="24"/>
          <w:szCs w:val="24"/>
        </w:rPr>
        <w:t>According to the results of the study, there is a statistically significant relationship between economic per</w:t>
      </w:r>
      <w:r w:rsidR="004C214D">
        <w:rPr>
          <w:rFonts w:ascii="Times New Roman" w:hAnsi="Times New Roman" w:cs="Times New Roman"/>
          <w:color w:val="000000" w:themeColor="text1"/>
          <w:sz w:val="24"/>
          <w:szCs w:val="24"/>
        </w:rPr>
        <w:t xml:space="preserve">formance and the quality of </w:t>
      </w:r>
      <w:r w:rsidRPr="00165679">
        <w:rPr>
          <w:rFonts w:ascii="Times New Roman" w:hAnsi="Times New Roman" w:cs="Times New Roman"/>
          <w:color w:val="000000" w:themeColor="text1"/>
          <w:sz w:val="24"/>
          <w:szCs w:val="24"/>
        </w:rPr>
        <w:t>human capital obtained through MBA education. However, according to another result of the study, the effect of MBA education on the level of disposable personal income takes time.</w:t>
      </w:r>
      <w:r w:rsidRPr="00165679">
        <w:rPr>
          <w:rFonts w:ascii="Times New Roman" w:hAnsi="Times New Roman" w:cs="Times New Roman"/>
          <w:color w:val="000000" w:themeColor="text1"/>
          <w:sz w:val="24"/>
          <w:lang w:val="en-US"/>
        </w:rPr>
        <w:t xml:space="preserve"> </w:t>
      </w:r>
      <w:r w:rsidR="001F0BA3" w:rsidRPr="00165679">
        <w:rPr>
          <w:rFonts w:ascii="Times New Roman" w:hAnsi="Times New Roman" w:cs="Times New Roman"/>
          <w:color w:val="000000" w:themeColor="text1"/>
          <w:sz w:val="24"/>
          <w:lang w:val="en-US"/>
        </w:rPr>
        <w:t>Moreover, more effort to increase the awareness of the public and private institutions about the contribut</w:t>
      </w:r>
      <w:r w:rsidR="004C214D">
        <w:rPr>
          <w:rFonts w:ascii="Times New Roman" w:hAnsi="Times New Roman" w:cs="Times New Roman"/>
          <w:color w:val="000000" w:themeColor="text1"/>
          <w:sz w:val="24"/>
          <w:lang w:val="en-US"/>
        </w:rPr>
        <w:t xml:space="preserve">ion of MBA education to </w:t>
      </w:r>
      <w:r w:rsidR="001F0BA3" w:rsidRPr="00165679">
        <w:rPr>
          <w:rFonts w:ascii="Times New Roman" w:hAnsi="Times New Roman" w:cs="Times New Roman"/>
          <w:color w:val="000000" w:themeColor="text1"/>
          <w:sz w:val="24"/>
          <w:lang w:val="en-US"/>
        </w:rPr>
        <w:t xml:space="preserve">human capital is needed. </w:t>
      </w:r>
    </w:p>
    <w:p w:rsidR="001F0BA3" w:rsidRPr="00165679" w:rsidRDefault="001F0BA3" w:rsidP="00165679">
      <w:pPr>
        <w:autoSpaceDE w:val="0"/>
        <w:autoSpaceDN w:val="0"/>
        <w:adjustRightInd w:val="0"/>
        <w:spacing w:before="120" w:after="0"/>
        <w:jc w:val="both"/>
        <w:rPr>
          <w:rFonts w:ascii="Times New Roman" w:hAnsi="Times New Roman" w:cs="Times New Roman"/>
          <w:sz w:val="24"/>
          <w:lang w:val="en-US"/>
        </w:rPr>
      </w:pPr>
      <w:r w:rsidRPr="004B4EAC">
        <w:rPr>
          <w:rFonts w:ascii="Times New Roman" w:hAnsi="Times New Roman" w:cs="Times New Roman"/>
          <w:b/>
          <w:i/>
          <w:sz w:val="24"/>
          <w:lang w:val="en-US"/>
        </w:rPr>
        <w:t xml:space="preserve">Keywords: </w:t>
      </w:r>
      <w:r w:rsidRPr="004B4EAC">
        <w:rPr>
          <w:rFonts w:ascii="Times New Roman" w:hAnsi="Times New Roman" w:cs="Times New Roman"/>
          <w:i/>
          <w:sz w:val="24"/>
          <w:lang w:val="en-US"/>
        </w:rPr>
        <w:t>Economic Development, Human Capital, Social Capital, Education, MBA Programs.</w:t>
      </w:r>
    </w:p>
    <w:p w:rsidR="007448B0" w:rsidRPr="00751C25" w:rsidRDefault="007448B0" w:rsidP="001F0BA3">
      <w:pPr>
        <w:autoSpaceDE w:val="0"/>
        <w:autoSpaceDN w:val="0"/>
        <w:adjustRightInd w:val="0"/>
        <w:spacing w:before="120" w:after="0" w:line="240" w:lineRule="auto"/>
        <w:rPr>
          <w:rFonts w:ascii="Times New Roman" w:hAnsi="Times New Roman" w:cs="Times New Roman"/>
          <w:i/>
          <w:iCs/>
          <w:color w:val="222222"/>
          <w:sz w:val="24"/>
          <w:szCs w:val="24"/>
        </w:rPr>
      </w:pPr>
      <w:r w:rsidRPr="00751C25">
        <w:rPr>
          <w:rFonts w:ascii="Times New Roman" w:hAnsi="Times New Roman" w:cs="Times New Roman"/>
          <w:b/>
          <w:bCs/>
          <w:i/>
          <w:iCs/>
          <w:color w:val="222222"/>
          <w:sz w:val="24"/>
          <w:szCs w:val="24"/>
        </w:rPr>
        <w:t>JEL Classification:</w:t>
      </w:r>
      <w:r w:rsidR="00AF7455" w:rsidRPr="00751C25">
        <w:rPr>
          <w:rFonts w:ascii="Times New Roman" w:hAnsi="Times New Roman" w:cs="Times New Roman"/>
          <w:b/>
          <w:bCs/>
          <w:i/>
          <w:iCs/>
          <w:color w:val="222222"/>
          <w:sz w:val="24"/>
          <w:szCs w:val="24"/>
        </w:rPr>
        <w:t xml:space="preserve"> </w:t>
      </w:r>
      <w:r w:rsidR="002823F9">
        <w:rPr>
          <w:rFonts w:ascii="Times New Roman" w:hAnsi="Times New Roman" w:cs="Times New Roman"/>
          <w:bCs/>
          <w:i/>
          <w:iCs/>
          <w:color w:val="222222"/>
          <w:sz w:val="24"/>
          <w:szCs w:val="24"/>
        </w:rPr>
        <w:t>I23, I25, E22, E24.</w:t>
      </w:r>
    </w:p>
    <w:p w:rsidR="00104803" w:rsidRPr="002823F9" w:rsidRDefault="00104803" w:rsidP="006347CE">
      <w:pPr>
        <w:autoSpaceDE w:val="0"/>
        <w:autoSpaceDN w:val="0"/>
        <w:adjustRightInd w:val="0"/>
        <w:spacing w:before="240" w:after="120" w:line="240" w:lineRule="auto"/>
        <w:rPr>
          <w:rFonts w:ascii="Times New Roman" w:hAnsi="Times New Roman" w:cs="Times New Roman"/>
          <w:b/>
          <w:bCs/>
          <w:color w:val="222222"/>
          <w:sz w:val="28"/>
          <w:szCs w:val="24"/>
        </w:rPr>
      </w:pPr>
      <w:r w:rsidRPr="002823F9">
        <w:rPr>
          <w:rFonts w:ascii="Times New Roman" w:hAnsi="Times New Roman" w:cs="Times New Roman"/>
          <w:b/>
          <w:bCs/>
          <w:color w:val="222222"/>
          <w:sz w:val="28"/>
          <w:szCs w:val="24"/>
        </w:rPr>
        <w:t>Introduction</w:t>
      </w:r>
    </w:p>
    <w:p w:rsidR="00D46A1F" w:rsidRPr="00751C25" w:rsidRDefault="00104803" w:rsidP="001223B5">
      <w:pPr>
        <w:autoSpaceDE w:val="0"/>
        <w:autoSpaceDN w:val="0"/>
        <w:adjustRightInd w:val="0"/>
        <w:spacing w:before="120" w:after="0"/>
        <w:jc w:val="both"/>
        <w:rPr>
          <w:rFonts w:ascii="Times New Roman" w:hAnsi="Times New Roman" w:cs="Times New Roman"/>
          <w:color w:val="222222"/>
          <w:sz w:val="24"/>
          <w:szCs w:val="24"/>
        </w:rPr>
      </w:pPr>
      <w:r w:rsidRPr="00751C25">
        <w:rPr>
          <w:rFonts w:ascii="Times New Roman" w:hAnsi="Times New Roman" w:cs="Times New Roman"/>
          <w:color w:val="222222"/>
          <w:sz w:val="24"/>
          <w:szCs w:val="24"/>
        </w:rPr>
        <w:t xml:space="preserve">The basic driving forces for economic </w:t>
      </w:r>
      <w:r w:rsidR="00175C29">
        <w:rPr>
          <w:rFonts w:ascii="Times New Roman" w:hAnsi="Times New Roman" w:cs="Times New Roman"/>
          <w:color w:val="222222"/>
          <w:sz w:val="24"/>
          <w:szCs w:val="24"/>
        </w:rPr>
        <w:t>development</w:t>
      </w:r>
      <w:r w:rsidRPr="00751C25">
        <w:rPr>
          <w:rFonts w:ascii="Times New Roman" w:hAnsi="Times New Roman" w:cs="Times New Roman"/>
          <w:color w:val="222222"/>
          <w:sz w:val="24"/>
          <w:szCs w:val="24"/>
        </w:rPr>
        <w:t xml:space="preserve"> and economic progress are production factors, the quality and quantity of which must be taken into consideration since they are determinative of </w:t>
      </w:r>
      <w:r w:rsidR="00A02D66">
        <w:rPr>
          <w:rFonts w:ascii="Times New Roman" w:hAnsi="Times New Roman" w:cs="Times New Roman"/>
          <w:color w:val="222222"/>
          <w:sz w:val="24"/>
          <w:szCs w:val="24"/>
        </w:rPr>
        <w:t xml:space="preserve"> </w:t>
      </w:r>
      <w:r w:rsidRPr="00751C25">
        <w:rPr>
          <w:rFonts w:ascii="Times New Roman" w:hAnsi="Times New Roman" w:cs="Times New Roman"/>
          <w:color w:val="222222"/>
          <w:sz w:val="24"/>
          <w:szCs w:val="24"/>
        </w:rPr>
        <w:t>the level of development of a country.</w:t>
      </w:r>
      <w:r w:rsidR="00D46A1F" w:rsidRPr="00751C25">
        <w:rPr>
          <w:rFonts w:ascii="Times New Roman" w:hAnsi="Times New Roman" w:cs="Times New Roman"/>
          <w:color w:val="222222"/>
          <w:sz w:val="24"/>
          <w:szCs w:val="24"/>
        </w:rPr>
        <w:t xml:space="preserve"> </w:t>
      </w:r>
    </w:p>
    <w:p w:rsidR="00D46A1F"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222222"/>
          <w:sz w:val="24"/>
          <w:szCs w:val="24"/>
        </w:rPr>
        <w:lastRenderedPageBreak/>
        <w:t>The traditional perspective, which proposes that labour, capital, natural resources, and entrepreneurship are the only production factors necessary to understand our current economic and</w:t>
      </w:r>
      <w:r w:rsidR="00D46A1F" w:rsidRPr="00751C25">
        <w:rPr>
          <w:rFonts w:ascii="Times New Roman" w:hAnsi="Times New Roman" w:cs="Times New Roman"/>
          <w:color w:val="222222"/>
          <w:sz w:val="24"/>
          <w:szCs w:val="24"/>
        </w:rPr>
        <w:t xml:space="preserve"> </w:t>
      </w:r>
      <w:r w:rsidRPr="00751C25">
        <w:rPr>
          <w:rFonts w:ascii="Times New Roman" w:hAnsi="Times New Roman" w:cs="Times New Roman"/>
          <w:color w:val="222222"/>
          <w:sz w:val="24"/>
          <w:szCs w:val="24"/>
        </w:rPr>
        <w:t>business environment, is insufficient. Capital, which according to the traditional view represents</w:t>
      </w:r>
      <w:r w:rsidR="00D46A1F" w:rsidRPr="00751C25">
        <w:rPr>
          <w:rFonts w:ascii="Times New Roman" w:hAnsi="Times New Roman" w:cs="Times New Roman"/>
          <w:color w:val="222222"/>
          <w:sz w:val="24"/>
          <w:szCs w:val="24"/>
        </w:rPr>
        <w:t xml:space="preserve"> </w:t>
      </w:r>
      <w:r w:rsidRPr="00751C25">
        <w:rPr>
          <w:rFonts w:ascii="Times New Roman" w:hAnsi="Times New Roman" w:cs="Times New Roman"/>
          <w:color w:val="222222"/>
          <w:sz w:val="24"/>
          <w:szCs w:val="24"/>
        </w:rPr>
        <w:t>tangible assets, has currently been revised within wider individual and social perspectives. That</w:t>
      </w:r>
      <w:r w:rsidR="00D46A1F" w:rsidRPr="00751C25">
        <w:rPr>
          <w:rFonts w:ascii="Times New Roman" w:hAnsi="Times New Roman" w:cs="Times New Roman"/>
          <w:color w:val="222222"/>
          <w:sz w:val="24"/>
          <w:szCs w:val="24"/>
        </w:rPr>
        <w:t xml:space="preserve"> </w:t>
      </w:r>
      <w:r w:rsidRPr="00751C25">
        <w:rPr>
          <w:rFonts w:ascii="Times New Roman" w:hAnsi="Times New Roman" w:cs="Times New Roman"/>
          <w:color w:val="222222"/>
          <w:sz w:val="24"/>
          <w:szCs w:val="24"/>
        </w:rPr>
        <w:t>there exists</w:t>
      </w:r>
      <w:bookmarkStart w:id="0" w:name="_GoBack"/>
      <w:bookmarkEnd w:id="0"/>
      <w:r w:rsidRPr="00751C25">
        <w:rPr>
          <w:rFonts w:ascii="Times New Roman" w:hAnsi="Times New Roman" w:cs="Times New Roman"/>
          <w:color w:val="222222"/>
          <w:sz w:val="24"/>
          <w:szCs w:val="24"/>
        </w:rPr>
        <w:t xml:space="preserve"> a significant correlation between economic progress/growth and human capital, which</w:t>
      </w:r>
      <w:r w:rsidR="00D46A1F" w:rsidRPr="00751C25">
        <w:rPr>
          <w:rFonts w:ascii="Times New Roman" w:hAnsi="Times New Roman" w:cs="Times New Roman"/>
          <w:color w:val="222222"/>
          <w:sz w:val="24"/>
          <w:szCs w:val="24"/>
        </w:rPr>
        <w:t xml:space="preserve"> </w:t>
      </w:r>
      <w:r w:rsidRPr="00751C25">
        <w:rPr>
          <w:rFonts w:ascii="Times New Roman" w:hAnsi="Times New Roman" w:cs="Times New Roman"/>
          <w:color w:val="222222"/>
          <w:sz w:val="24"/>
          <w:szCs w:val="24"/>
        </w:rPr>
        <w:t>physically represents individuals’ competencies and experiences, has been</w:t>
      </w:r>
      <w:r w:rsidR="00D46A1F" w:rsidRPr="00751C25">
        <w:rPr>
          <w:rFonts w:ascii="Times New Roman" w:hAnsi="Times New Roman" w:cs="Times New Roman"/>
          <w:color w:val="222222"/>
          <w:sz w:val="24"/>
          <w:szCs w:val="24"/>
        </w:rPr>
        <w:t xml:space="preserve"> </w:t>
      </w:r>
      <w:r w:rsidRPr="00751C25">
        <w:rPr>
          <w:rFonts w:ascii="Times New Roman" w:hAnsi="Times New Roman" w:cs="Times New Roman"/>
          <w:color w:val="222222"/>
          <w:sz w:val="24"/>
          <w:szCs w:val="24"/>
        </w:rPr>
        <w:t xml:space="preserve">increasingly emphasized since the 1960s. Education </w:t>
      </w:r>
      <w:r w:rsidR="00E94F4F">
        <w:rPr>
          <w:rFonts w:ascii="Times New Roman" w:hAnsi="Times New Roman" w:cs="Times New Roman"/>
          <w:color w:val="222222"/>
          <w:sz w:val="24"/>
          <w:szCs w:val="24"/>
        </w:rPr>
        <w:t xml:space="preserve">has taken a central place among </w:t>
      </w:r>
      <w:r w:rsidRPr="00751C25">
        <w:rPr>
          <w:rFonts w:ascii="Times New Roman" w:hAnsi="Times New Roman" w:cs="Times New Roman"/>
          <w:color w:val="222222"/>
          <w:sz w:val="24"/>
          <w:szCs w:val="24"/>
        </w:rPr>
        <w:t>the factors,</w:t>
      </w:r>
      <w:r w:rsidR="00D46A1F" w:rsidRPr="00751C25">
        <w:rPr>
          <w:rFonts w:ascii="Times New Roman" w:hAnsi="Times New Roman" w:cs="Times New Roman"/>
          <w:color w:val="222222"/>
          <w:sz w:val="24"/>
          <w:szCs w:val="24"/>
        </w:rPr>
        <w:t xml:space="preserve"> </w:t>
      </w:r>
      <w:r w:rsidRPr="00751C25">
        <w:rPr>
          <w:rFonts w:ascii="Times New Roman" w:hAnsi="Times New Roman" w:cs="Times New Roman"/>
          <w:color w:val="222222"/>
          <w:sz w:val="24"/>
          <w:szCs w:val="24"/>
        </w:rPr>
        <w:t xml:space="preserve">which affect the quality of human capital, according to recent studies. </w:t>
      </w:r>
      <w:r w:rsidRPr="00751C25">
        <w:rPr>
          <w:rFonts w:ascii="Times New Roman" w:hAnsi="Times New Roman" w:cs="Times New Roman"/>
          <w:color w:val="000000"/>
          <w:sz w:val="24"/>
          <w:szCs w:val="24"/>
        </w:rPr>
        <w:t>It is thus evident that there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exists a strong correlation between education and economic progress and growth, in other words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economic performance.</w:t>
      </w:r>
      <w:r w:rsidR="00D46A1F" w:rsidRPr="00751C25">
        <w:rPr>
          <w:rFonts w:ascii="Times New Roman" w:hAnsi="Times New Roman" w:cs="Times New Roman"/>
          <w:color w:val="000000"/>
          <w:sz w:val="24"/>
          <w:szCs w:val="24"/>
        </w:rPr>
        <w:t xml:space="preserve"> </w:t>
      </w:r>
    </w:p>
    <w:p w:rsidR="00D46A1F"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Empirical studies regarding both the relationship between human capital and economic</w:t>
      </w:r>
      <w:r w:rsidR="00D46A1F" w:rsidRPr="00751C25">
        <w:rPr>
          <w:rFonts w:ascii="Times New Roman" w:hAnsi="Times New Roman" w:cs="Times New Roman"/>
          <w:color w:val="000000"/>
          <w:sz w:val="24"/>
          <w:szCs w:val="24"/>
        </w:rPr>
        <w:t xml:space="preserve"> </w:t>
      </w:r>
      <w:r w:rsidR="00175C29">
        <w:rPr>
          <w:rFonts w:ascii="Times New Roman" w:hAnsi="Times New Roman" w:cs="Times New Roman"/>
          <w:color w:val="000000"/>
          <w:sz w:val="24"/>
          <w:szCs w:val="24"/>
        </w:rPr>
        <w:t>progress/development</w:t>
      </w:r>
      <w:r w:rsidRPr="00751C25">
        <w:rPr>
          <w:rFonts w:ascii="Times New Roman" w:hAnsi="Times New Roman" w:cs="Times New Roman"/>
          <w:color w:val="000000"/>
          <w:sz w:val="24"/>
          <w:szCs w:val="24"/>
        </w:rPr>
        <w:t>, and the relationship between human capital increases through education and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economic performance, have been conducted in Turkey as well as in many other countries. Such</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research studies have been conducted in the field of Masters of Business Administration, MBA,</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programs which have become a common phenomenon in Turkey in recent years. These research</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studies enable one to make a meaningful assessment of </w:t>
      </w:r>
      <w:r w:rsidR="00175C29">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financial effects of the program</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through its contribution to human capital development with data analysis obtained concerning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expectations of the program students have and </w:t>
      </w:r>
      <w:r w:rsidR="00175C29">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program’s level of achievement in meeting</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those expectations. This paper arises from </w:t>
      </w:r>
      <w:r w:rsidR="00175C29">
        <w:rPr>
          <w:rFonts w:ascii="Times New Roman" w:hAnsi="Times New Roman" w:cs="Times New Roman"/>
          <w:color w:val="000000"/>
          <w:sz w:val="24"/>
          <w:szCs w:val="24"/>
        </w:rPr>
        <w:t xml:space="preserve">   the quest to reveal</w:t>
      </w:r>
      <w:r w:rsidR="00A02D66">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relationship between economic</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performance through human capital and an MBA education, and aims to produce certain empirical</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results beneficial for businesses, which are in need of quality human forces regardless of their</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being private or public corporations, and to contribute to the literature in question. The study</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encompasses five main parts, which are as follows:</w:t>
      </w:r>
      <w:r w:rsidR="00D46A1F" w:rsidRPr="00751C25">
        <w:rPr>
          <w:rFonts w:ascii="Times New Roman" w:hAnsi="Times New Roman" w:cs="Times New Roman"/>
          <w:color w:val="000000"/>
          <w:sz w:val="24"/>
          <w:szCs w:val="24"/>
        </w:rPr>
        <w:t xml:space="preserve"> </w:t>
      </w:r>
    </w:p>
    <w:p w:rsidR="00104803"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The first part examines the relationship between human capital and economic performance, while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the second part investigates the relationship between human capital and education. </w:t>
      </w:r>
      <w:r w:rsidR="00175C29">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third part</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provides a literature review of some leading related studies at the micro and macro levels.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forth part elaborates upon this current research to determine the level of contribution MBA</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programs make to human capital. The research is based on a questionnaire, and analysis of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questionnaire items, which is conducted with the sample group </w:t>
      </w:r>
      <w:r w:rsidR="001A28E1">
        <w:rPr>
          <w:rFonts w:ascii="Times New Roman" w:hAnsi="Times New Roman" w:cs="Times New Roman"/>
          <w:color w:val="000000"/>
          <w:sz w:val="24"/>
          <w:szCs w:val="24"/>
        </w:rPr>
        <w:t>g</w:t>
      </w:r>
      <w:r w:rsidR="001A28E1" w:rsidRPr="001A28E1">
        <w:rPr>
          <w:rFonts w:ascii="Times New Roman" w:hAnsi="Times New Roman" w:cs="Times New Roman"/>
          <w:color w:val="000000"/>
          <w:sz w:val="24"/>
          <w:szCs w:val="24"/>
        </w:rPr>
        <w:t>raduated from MBA education.</w:t>
      </w:r>
    </w:p>
    <w:p w:rsidR="00104803" w:rsidRPr="002823F9" w:rsidRDefault="00104803" w:rsidP="006347CE">
      <w:pPr>
        <w:autoSpaceDE w:val="0"/>
        <w:autoSpaceDN w:val="0"/>
        <w:adjustRightInd w:val="0"/>
        <w:spacing w:before="240" w:after="120" w:line="240" w:lineRule="auto"/>
        <w:rPr>
          <w:rFonts w:ascii="Times New Roman" w:hAnsi="Times New Roman" w:cs="Times New Roman"/>
          <w:b/>
          <w:bCs/>
          <w:color w:val="222222"/>
          <w:sz w:val="28"/>
          <w:szCs w:val="24"/>
        </w:rPr>
      </w:pPr>
      <w:r w:rsidRPr="002823F9">
        <w:rPr>
          <w:rFonts w:ascii="Times New Roman" w:hAnsi="Times New Roman" w:cs="Times New Roman"/>
          <w:b/>
          <w:bCs/>
          <w:color w:val="222222"/>
          <w:sz w:val="28"/>
          <w:szCs w:val="24"/>
        </w:rPr>
        <w:t xml:space="preserve">1. The </w:t>
      </w:r>
      <w:r w:rsidR="009E1028">
        <w:rPr>
          <w:rFonts w:ascii="Times New Roman" w:hAnsi="Times New Roman" w:cs="Times New Roman"/>
          <w:b/>
          <w:bCs/>
          <w:color w:val="222222"/>
          <w:sz w:val="28"/>
          <w:szCs w:val="24"/>
        </w:rPr>
        <w:t xml:space="preserve">Economic Importance of </w:t>
      </w:r>
      <w:r w:rsidRPr="002823F9">
        <w:rPr>
          <w:rFonts w:ascii="Times New Roman" w:hAnsi="Times New Roman" w:cs="Times New Roman"/>
          <w:b/>
          <w:bCs/>
          <w:color w:val="222222"/>
          <w:sz w:val="28"/>
          <w:szCs w:val="24"/>
        </w:rPr>
        <w:t xml:space="preserve">Human Capital </w:t>
      </w:r>
    </w:p>
    <w:p w:rsidR="00104803"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Inputs/resources required for the production of goods and services people consume to meet their</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related needs are called production factors. The financial objective to meet consumer needs in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terms of higher levels of quality and quantity is viewed as economic growth or progress and is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bound to the level of development of one country. Thus, production factors play an important role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from the economic development and growth. The production factors in both classical and neoclassical</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frameworks include labour, capital, natural resources and entrepreneurship. In that</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classical approach, capital as one of the production factors refers to physical units such as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machinery, tools and other technical equipment. From the common perspective, capital is believed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to express monetary power. Even though capital in human life </w:t>
      </w:r>
      <w:r w:rsidRPr="00751C25">
        <w:rPr>
          <w:rFonts w:ascii="Times New Roman" w:hAnsi="Times New Roman" w:cs="Times New Roman"/>
          <w:color w:val="000000"/>
          <w:sz w:val="24"/>
          <w:szCs w:val="24"/>
        </w:rPr>
        <w:lastRenderedPageBreak/>
        <w:t>means money and materials, which</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are purchased with it, capital in fact has a wider and different meaning when the production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process is now taken into account</w:t>
      </w:r>
      <w:r w:rsidR="00D46A1F" w:rsidRPr="00751C25">
        <w:rPr>
          <w:rFonts w:ascii="Times New Roman" w:hAnsi="Times New Roman" w:cs="Times New Roman"/>
          <w:color w:val="000000"/>
          <w:sz w:val="24"/>
          <w:szCs w:val="24"/>
        </w:rPr>
        <w:t>.</w:t>
      </w:r>
    </w:p>
    <w:p w:rsidR="00104803"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In the Classical model, production factors may be confined to only two, because labour and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entrepreneurship are both human-related resources. The Labour factor is also defined as </w:t>
      </w:r>
      <w:r w:rsidR="00A02D66">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unqualified human force while entrepreneurship is somehow viewed as a human resource, which</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may take risks and requires education. On the other hand, capital, in terms of physical and</w:t>
      </w:r>
      <w:r w:rsidR="0034268E">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financial perspective is savings that one acquires from incomes originating from utilizing natural</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resources in previous ages. Capital is also defined as accumulated labour. Both physical capital,</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which is also described as machinery, tool and other equipment used in production, and financial</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capital used to purchase physical capital are a combined factor. Thus, in other words, basic</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production factors are human and natural resources. This leads one to the conclusion that it is quite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important to have more human and natural resources, in terms of quality and quantity of both</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human and natural resources to maintain economic growth/progress. If one should redefine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term capital according to the above-mentioned classical model assumptions, taking also modern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production factors into consideration, capital then includes human capital and social capital as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well as physical and financial capital.</w:t>
      </w:r>
    </w:p>
    <w:p w:rsidR="00104803"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Individual and social capitals are more concrete compared to the classical view, which</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suggests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that physical and financial capitals are more concrete and observable. Human capital is embodied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in one’s knowledge and experience, social capital is reflected in the relationships between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individuals, both in society and in organizations. Capital may now be defined considering all four</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of these different aspects: Capital is the total sum of both materialistic and unmaterialistic</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(spiritual) assets, which are contributing factors in terms of quantitative and qualitative aspects of</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production process. Such a definition leads one to the conclusion that the essential production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factors in economic growth and progress are social and human capital, which emphasizes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quality of individuals and interpersonal relationships rather than physical and financial capital.</w:t>
      </w:r>
    </w:p>
    <w:p w:rsidR="00104803"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This paper reveals, as the literature review in the study also suggests that, classical model based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production factors and traditional definition of capital are not sufficient to explain financial</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activities in today’s production process of services and goods. As one study in </w:t>
      </w:r>
      <w:r w:rsidR="00A02D66">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literature review</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suggests, the impetus for economic growth in terms of production factors is more likely individual</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and social capital rather than labour and financial capital.</w:t>
      </w:r>
    </w:p>
    <w:p w:rsidR="00104803" w:rsidRPr="00751C25" w:rsidRDefault="00104803" w:rsidP="001223B5">
      <w:pPr>
        <w:autoSpaceDE w:val="0"/>
        <w:autoSpaceDN w:val="0"/>
        <w:adjustRightInd w:val="0"/>
        <w:spacing w:before="120" w:after="0"/>
        <w:rPr>
          <w:rFonts w:ascii="Times New Roman" w:hAnsi="Times New Roman" w:cs="Times New Roman"/>
          <w:color w:val="000000"/>
          <w:sz w:val="24"/>
          <w:szCs w:val="24"/>
        </w:rPr>
      </w:pPr>
      <w:r w:rsidRPr="00751C25">
        <w:rPr>
          <w:rFonts w:ascii="Times New Roman" w:hAnsi="Times New Roman" w:cs="Times New Roman"/>
          <w:color w:val="000000"/>
          <w:sz w:val="24"/>
          <w:szCs w:val="24"/>
        </w:rPr>
        <w:t>In the period where classical models prevails, that knowledge accumulation is not appreciated and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human being is viewed as an inconsequential factor, as a mere source for capital in the</w:t>
      </w:r>
    </w:p>
    <w:p w:rsidR="00104803" w:rsidRPr="00751C25" w:rsidRDefault="00104803" w:rsidP="001223B5">
      <w:pPr>
        <w:autoSpaceDE w:val="0"/>
        <w:autoSpaceDN w:val="0"/>
        <w:adjustRightInd w:val="0"/>
        <w:spacing w:before="120" w:after="0"/>
        <w:rPr>
          <w:rFonts w:ascii="Times New Roman" w:hAnsi="Times New Roman" w:cs="Times New Roman"/>
          <w:color w:val="000000"/>
          <w:sz w:val="24"/>
          <w:szCs w:val="24"/>
        </w:rPr>
      </w:pPr>
      <w:r w:rsidRPr="00751C25">
        <w:rPr>
          <w:rFonts w:ascii="Times New Roman" w:hAnsi="Times New Roman" w:cs="Times New Roman"/>
          <w:color w:val="000000"/>
          <w:sz w:val="24"/>
          <w:szCs w:val="24"/>
        </w:rPr>
        <w:t>production process has brought less attention to individual and social capital which emphasize</w:t>
      </w:r>
    </w:p>
    <w:p w:rsidR="00104803"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both individuals and interpersonal relationships. Both Marshall and Mill oppose the concept of</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human capital, since Marshall stresses the non-existence of human capital, and Mill proposes that</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welfare is for human beings and human beings should not be considered as </w:t>
      </w:r>
      <w:r w:rsidR="00A02D66">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 resource of welfare.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However, human capital should not be avoided, but in contrast, needs to be thoroughly addressed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more carefully in the production process where knowledge, education and experience play central</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roles. Because, a proper level of human capital in today’s economic business environment is an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important determinant in the technological </w:t>
      </w:r>
      <w:r w:rsidRPr="00751C25">
        <w:rPr>
          <w:rFonts w:ascii="Times New Roman" w:hAnsi="Times New Roman" w:cs="Times New Roman"/>
          <w:color w:val="000000"/>
          <w:sz w:val="24"/>
          <w:szCs w:val="24"/>
        </w:rPr>
        <w:lastRenderedPageBreak/>
        <w:t>advancement through Research and Development</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activities, and so is technological advancement in the area of economic development.</w:t>
      </w:r>
    </w:p>
    <w:p w:rsidR="00104803" w:rsidRPr="002823F9" w:rsidRDefault="00104803" w:rsidP="009D446A">
      <w:pPr>
        <w:autoSpaceDE w:val="0"/>
        <w:autoSpaceDN w:val="0"/>
        <w:adjustRightInd w:val="0"/>
        <w:spacing w:before="240" w:after="120" w:line="240" w:lineRule="auto"/>
        <w:rPr>
          <w:rFonts w:ascii="Times New Roman" w:hAnsi="Times New Roman" w:cs="Times New Roman"/>
          <w:b/>
          <w:bCs/>
          <w:color w:val="222222"/>
          <w:sz w:val="28"/>
          <w:szCs w:val="24"/>
        </w:rPr>
      </w:pPr>
      <w:r w:rsidRPr="002823F9">
        <w:rPr>
          <w:rFonts w:ascii="Times New Roman" w:hAnsi="Times New Roman" w:cs="Times New Roman"/>
          <w:b/>
          <w:bCs/>
          <w:color w:val="222222"/>
          <w:sz w:val="28"/>
          <w:szCs w:val="24"/>
        </w:rPr>
        <w:t>2. The Relationship between Human Capital</w:t>
      </w:r>
      <w:r w:rsidR="009D446A" w:rsidRPr="009D446A">
        <w:rPr>
          <w:rFonts w:ascii="Times New Roman" w:hAnsi="Times New Roman" w:cs="Times New Roman"/>
          <w:b/>
          <w:bCs/>
          <w:color w:val="222222"/>
          <w:sz w:val="28"/>
          <w:szCs w:val="24"/>
        </w:rPr>
        <w:t xml:space="preserve"> </w:t>
      </w:r>
      <w:r w:rsidR="009D446A">
        <w:rPr>
          <w:rFonts w:ascii="Times New Roman" w:hAnsi="Times New Roman" w:cs="Times New Roman"/>
          <w:b/>
          <w:bCs/>
          <w:color w:val="222222"/>
          <w:sz w:val="28"/>
          <w:szCs w:val="24"/>
        </w:rPr>
        <w:t xml:space="preserve">and </w:t>
      </w:r>
      <w:r w:rsidR="009D446A" w:rsidRPr="002823F9">
        <w:rPr>
          <w:rFonts w:ascii="Times New Roman" w:hAnsi="Times New Roman" w:cs="Times New Roman"/>
          <w:b/>
          <w:bCs/>
          <w:color w:val="222222"/>
          <w:sz w:val="28"/>
          <w:szCs w:val="24"/>
        </w:rPr>
        <w:t>Education</w:t>
      </w:r>
    </w:p>
    <w:p w:rsidR="00104803"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Although physical power potential, (in other words labour) as a production factor, has been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predominant in the classical model, human capital, in this sense, already represents labour. </w:t>
      </w:r>
      <w:r w:rsidR="00A02D66">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In a</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brief definition, human capital is a set of quality based on positive values, which represent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dynamism, experience, knowledge and skills of a workforce in the production process. In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accordance with the given definition, a person’s education level takes an important place in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surge in human capital. Many empirical studies conclude that there exists </w:t>
      </w:r>
      <w:r w:rsidR="00FB2239">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 positive relationship</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between education expenses and economic growth. However, any positive financial growth can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not be identified with education. Education and health are two pioneering determinants of human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capital. Education and health expenses have a priority on individual expenses. The component to</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make the work force more quality by raising their competence and performance is education, while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other component to raise their efficiency and effectiveness is health.</w:t>
      </w:r>
    </w:p>
    <w:p w:rsidR="00D46A1F"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Certain factors such as dynamic population and brain drain a</w:t>
      </w:r>
      <w:r w:rsidR="00704897">
        <w:rPr>
          <w:rFonts w:ascii="Times New Roman" w:hAnsi="Times New Roman" w:cs="Times New Roman"/>
          <w:color w:val="000000"/>
          <w:sz w:val="24"/>
          <w:szCs w:val="24"/>
        </w:rPr>
        <w:t xml:space="preserve">lso have a huge impact on human </w:t>
      </w:r>
      <w:r w:rsidRPr="00751C25">
        <w:rPr>
          <w:rFonts w:ascii="Times New Roman" w:hAnsi="Times New Roman" w:cs="Times New Roman"/>
          <w:color w:val="000000"/>
          <w:sz w:val="24"/>
          <w:szCs w:val="24"/>
        </w:rPr>
        <w:t>capital, in addition to the major factors: education and health. High quality human capital and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exploitation of this human capital enable one country to efficiently and conveniently implement its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financial and physical capital, and thus to sustain its economic growth/progress.</w:t>
      </w:r>
    </w:p>
    <w:p w:rsidR="00104803"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Education from the perspective of Human capital is divisible in</w:t>
      </w:r>
      <w:r w:rsidR="007D5DF2">
        <w:rPr>
          <w:rFonts w:ascii="Times New Roman" w:hAnsi="Times New Roman" w:cs="Times New Roman"/>
          <w:color w:val="000000"/>
          <w:sz w:val="24"/>
          <w:szCs w:val="24"/>
        </w:rPr>
        <w:t xml:space="preserve">to three categories; pre-school </w:t>
      </w:r>
      <w:r w:rsidRPr="00751C25">
        <w:rPr>
          <w:rFonts w:ascii="Times New Roman" w:hAnsi="Times New Roman" w:cs="Times New Roman"/>
          <w:color w:val="000000"/>
          <w:sz w:val="24"/>
          <w:szCs w:val="24"/>
        </w:rPr>
        <w:t>education, school-based education and in-service education. School-based instruction may further</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be divided in</w:t>
      </w:r>
      <w:r w:rsidR="001A28E1">
        <w:rPr>
          <w:rFonts w:ascii="Times New Roman" w:hAnsi="Times New Roman" w:cs="Times New Roman"/>
          <w:color w:val="000000"/>
          <w:sz w:val="24"/>
          <w:szCs w:val="24"/>
        </w:rPr>
        <w:t>to three groups, namely primary and</w:t>
      </w:r>
      <w:r w:rsidRPr="00751C25">
        <w:rPr>
          <w:rFonts w:ascii="Times New Roman" w:hAnsi="Times New Roman" w:cs="Times New Roman"/>
          <w:color w:val="000000"/>
          <w:sz w:val="24"/>
          <w:szCs w:val="24"/>
        </w:rPr>
        <w:t xml:space="preserve"> middle school, high school, and higher education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institutions. Higher education has also three main sub categories; associate degrees, undergraduate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degrees and post-graduate degrees. MBA plays a key role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amongst other master degrees to raise the quality of human capital. The program has become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common in parallel with the demand all around the world.</w:t>
      </w:r>
    </w:p>
    <w:p w:rsidR="00104803"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Some indicators, which express human capital’s potential adherence to education, are availability</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of schools country wide, literacy rate, the rate of higher education, budget allocation to education,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number of academic publishing and one’s educational expenses and education level.</w:t>
      </w:r>
    </w:p>
    <w:p w:rsidR="00104803"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The studies conducted in the context of Turkey like other studies worldwide, reveal that</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educational expenses incurred at any level and of any kind contribute to one’s financial intake and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efficiency and thus his country. The literature review examines the relationship between human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capital and economic performance (economic growth/progress) at both micro and macro levels.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authors’ literature review finds that some studies, regarding human capital and one’s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individual education level, were conducted, but most are only confined to primary, high schools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and undergraduate degrees, and that no particular study has been done on post-graduate degrees in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Turkish context. Nevertheless, it is vital to carry out quantitative researches with a focus on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relationship between economic growth/progress and education levels (to further studies). There is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also an emerging need to do quantitative research on, and </w:t>
      </w:r>
      <w:r w:rsidRPr="00751C25">
        <w:rPr>
          <w:rFonts w:ascii="Times New Roman" w:hAnsi="Times New Roman" w:cs="Times New Roman"/>
          <w:color w:val="000000"/>
          <w:sz w:val="24"/>
          <w:szCs w:val="24"/>
        </w:rPr>
        <w:lastRenderedPageBreak/>
        <w:t>to perform a research analysis for,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quality level, which an MBA program provides to human capital.</w:t>
      </w:r>
    </w:p>
    <w:p w:rsidR="00104803"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The findings between MBA programs and human capital will constitute the basis for a check-up</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on both the quality of the educational programs and the capac</w:t>
      </w:r>
      <w:r w:rsidR="00A02D66">
        <w:rPr>
          <w:rFonts w:ascii="Times New Roman" w:hAnsi="Times New Roman" w:cs="Times New Roman"/>
          <w:color w:val="000000"/>
          <w:sz w:val="24"/>
          <w:szCs w:val="24"/>
        </w:rPr>
        <w:t xml:space="preserve">ity utilization individuals and </w:t>
      </w:r>
      <w:r w:rsidRPr="00751C25">
        <w:rPr>
          <w:rFonts w:ascii="Times New Roman" w:hAnsi="Times New Roman" w:cs="Times New Roman"/>
          <w:color w:val="000000"/>
          <w:sz w:val="24"/>
          <w:szCs w:val="24"/>
        </w:rPr>
        <w:t>institutions try to obtain from MBA programs.</w:t>
      </w:r>
    </w:p>
    <w:p w:rsidR="00104803" w:rsidRPr="002823F9" w:rsidRDefault="00104803" w:rsidP="006347CE">
      <w:pPr>
        <w:autoSpaceDE w:val="0"/>
        <w:autoSpaceDN w:val="0"/>
        <w:adjustRightInd w:val="0"/>
        <w:spacing w:before="240" w:after="120" w:line="240" w:lineRule="auto"/>
        <w:rPr>
          <w:rFonts w:ascii="Times New Roman" w:hAnsi="Times New Roman" w:cs="Times New Roman"/>
          <w:b/>
          <w:bCs/>
          <w:color w:val="222222"/>
          <w:sz w:val="28"/>
          <w:szCs w:val="24"/>
        </w:rPr>
      </w:pPr>
      <w:r w:rsidRPr="002823F9">
        <w:rPr>
          <w:rFonts w:ascii="Times New Roman" w:hAnsi="Times New Roman" w:cs="Times New Roman"/>
          <w:b/>
          <w:bCs/>
          <w:color w:val="222222"/>
          <w:sz w:val="28"/>
          <w:szCs w:val="24"/>
        </w:rPr>
        <w:t>3. Literature Review</w:t>
      </w:r>
    </w:p>
    <w:p w:rsidR="00104803"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The Neoclassical growth model, which was predominant in the literature of economics and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constituted the basis for Solow’s 1956 work, was not able to elaborate the concept ‘growth’ in a</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fully proper way in the 1980s. Much of the Neoclassical growth model, which disregards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technological development and human capital, holding them as exogenous factors, is focused on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physical capital and asserts that the economic development in developing countries would be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achieved without any state intervention. Although the easy flow of money, a result of</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globalization, reduces the importance of differences of owning physical capital among the states, it</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has not been able to reduce the distinctions of the level of development of countries. Thus, this has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compelled economists to construct alternate growth models from Neo-classical growth theories,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which are insufficient to explain the concept ‘growth’.</w:t>
      </w:r>
    </w:p>
    <w:p w:rsidR="00104803"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In fact, the Solow model of economic growth has been a prevailing theory since the 1960s, an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early period, and has touched on how to foster human capital as a requirement of efficiency of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human factor. On the other hand, it is necessary to state that before the afore-mentioned period,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classical economists, such as A. Smith, Marhsall, Mill and Senior, mention about education (thus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human capital). The studies conducted by Denison (1962) and Schultz (since 1960) who were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accepted as the theoretical main contributors to the concept human capital, have paid close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attention to human capital. Since the second half of 1970s, the human factor has taken its place in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economic analysis and in particular, underscores the importance of investments made to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human factor (Doğan &amp; Şanlı, 2003; 173-196). For example, Denison measured the USA’s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average annual growth rate at 2.93%, between the years 1929-1959. However, Denison attempted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to break down the rate, finding that 0.92% accounts for labour and 2.01% for an increase in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efficiency related to education, and thus increased </w:t>
      </w:r>
      <w:r w:rsidR="00A02D66">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attention to human capital investment.</w:t>
      </w:r>
    </w:p>
    <w:p w:rsidR="00104803"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Since the mid-1980s, human capital and technology have be</w:t>
      </w:r>
      <w:r w:rsidR="007D5DF2">
        <w:rPr>
          <w:rFonts w:ascii="Times New Roman" w:hAnsi="Times New Roman" w:cs="Times New Roman"/>
          <w:color w:val="000000"/>
          <w:sz w:val="24"/>
          <w:szCs w:val="24"/>
        </w:rPr>
        <w:t xml:space="preserve">en highly valued and endogenous </w:t>
      </w:r>
      <w:r w:rsidRPr="00751C25">
        <w:rPr>
          <w:rFonts w:ascii="Times New Roman" w:hAnsi="Times New Roman" w:cs="Times New Roman"/>
          <w:color w:val="000000"/>
          <w:sz w:val="24"/>
          <w:szCs w:val="24"/>
        </w:rPr>
        <w:t>growth model has predominated Neo-classical growth. The concentration on both concepts sped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up in 1990s thanks to early, pioneer studies like Romer’s (1986) and Lucas’ (1988). Lucas claims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that Solow had not developed a direct and original growth theory and reached </w:t>
      </w:r>
      <w:r w:rsidR="00A02D66">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 conclusion based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only on the growth dynamics of the USA economy and suggests that </w:t>
      </w:r>
      <w:r w:rsidR="007D5DF2">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most vital factor in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long-term growth is human capital and that physical capital has been overvalued. Lucas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emphasizes, in his own growth model, that the Lucas Growth Model is meant to add the concept</w:t>
      </w:r>
      <w:r w:rsidR="00D46A1F" w:rsidRPr="00751C25">
        <w:rPr>
          <w:rFonts w:ascii="Times New Roman" w:hAnsi="Times New Roman" w:cs="Times New Roman"/>
          <w:color w:val="000000"/>
          <w:sz w:val="24"/>
          <w:szCs w:val="24"/>
        </w:rPr>
        <w:t xml:space="preserve"> </w:t>
      </w:r>
      <w:r w:rsidRPr="00756855">
        <w:rPr>
          <w:rFonts w:ascii="Times New Roman" w:hAnsi="Times New Roman" w:cs="Times New Roman"/>
          <w:iCs/>
          <w:color w:val="000000"/>
          <w:sz w:val="24"/>
          <w:szCs w:val="24"/>
        </w:rPr>
        <w:t>individual human capital</w:t>
      </w:r>
      <w:r w:rsidRPr="00751C25">
        <w:rPr>
          <w:rFonts w:ascii="Times New Roman" w:hAnsi="Times New Roman" w:cs="Times New Roman"/>
          <w:i/>
          <w:iCs/>
          <w:color w:val="000000"/>
          <w:sz w:val="24"/>
          <w:szCs w:val="24"/>
        </w:rPr>
        <w:t xml:space="preserve"> </w:t>
      </w:r>
      <w:r w:rsidRPr="00751C25">
        <w:rPr>
          <w:rFonts w:ascii="Times New Roman" w:hAnsi="Times New Roman" w:cs="Times New Roman"/>
          <w:color w:val="000000"/>
          <w:sz w:val="24"/>
          <w:szCs w:val="24"/>
        </w:rPr>
        <w:t>to the model. The basic assumptions in Lucas’ 1988 study have been a</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handy resource for many models, which examine the effect of ‘human capital’ on economic</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growth.</w:t>
      </w:r>
    </w:p>
    <w:p w:rsidR="00D31EA8" w:rsidRPr="00751C25" w:rsidRDefault="00D31EA8" w:rsidP="001223B5">
      <w:pPr>
        <w:autoSpaceDE w:val="0"/>
        <w:autoSpaceDN w:val="0"/>
        <w:adjustRightInd w:val="0"/>
        <w:spacing w:before="120" w:after="0"/>
        <w:jc w:val="both"/>
        <w:rPr>
          <w:rFonts w:ascii="Times New Roman" w:hAnsi="Times New Roman" w:cs="Times New Roman"/>
          <w:color w:val="000000"/>
          <w:sz w:val="24"/>
          <w:szCs w:val="24"/>
        </w:rPr>
      </w:pPr>
    </w:p>
    <w:p w:rsidR="00104803" w:rsidRPr="002823F9" w:rsidRDefault="00104803" w:rsidP="006347CE">
      <w:pPr>
        <w:autoSpaceDE w:val="0"/>
        <w:autoSpaceDN w:val="0"/>
        <w:adjustRightInd w:val="0"/>
        <w:spacing w:before="240" w:after="120" w:line="240" w:lineRule="auto"/>
        <w:rPr>
          <w:rFonts w:ascii="Times New Roman" w:hAnsi="Times New Roman" w:cs="Times New Roman"/>
          <w:b/>
          <w:bCs/>
          <w:color w:val="222222"/>
          <w:sz w:val="28"/>
          <w:szCs w:val="24"/>
        </w:rPr>
      </w:pPr>
      <w:r w:rsidRPr="002823F9">
        <w:rPr>
          <w:rFonts w:ascii="Times New Roman" w:hAnsi="Times New Roman" w:cs="Times New Roman"/>
          <w:b/>
          <w:bCs/>
          <w:color w:val="222222"/>
          <w:sz w:val="28"/>
          <w:szCs w:val="24"/>
        </w:rPr>
        <w:lastRenderedPageBreak/>
        <w:t>3.1 Literature Review on Macro Level</w:t>
      </w:r>
    </w:p>
    <w:p w:rsidR="00104803"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Schultz, one of the founders of human capital theory, suggests in one of his studies that any</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investment on human capital investment ensures economic development in the shorter period,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having emphasized the role of the human factor (Schultz, 1961;1-17). Psacharopoulos and Schultz</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made an international analysis on the impact of education on economic growth, according to their</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results education has influenced economic growth at certain rates, as 25% in Canada, 15% in the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USA, %2 in Germany, %6 in France, %7 in Italy, %16.5 in Argentina, %3.3 in Brazil, %0.8 in</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Mexica, %3.3 in Japan, %14.7 in Malaysia and %15.9 in South Korea (Psacharopoulos and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Schultz, 1984; 337).</w:t>
      </w:r>
    </w:p>
    <w:p w:rsidR="00D46A1F"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Following the pioneer studies of Schultz, Denison and Psacharopoulos, human capital, which were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initially used in the literature of economical growth, turned out to be a phenomenon, due to</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Lucas’s study conducted in late 1980s. Many different studies were done on the effects of</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educational investments and it is empirical to state that almost all of these studies conclude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that</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human capital has a positive impact on economic performance.</w:t>
      </w:r>
    </w:p>
    <w:p w:rsidR="00D46A1F"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Romer, who examined 112 countries between the years 1960-1985, rated those countries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according to their level of development, used as data the portion of total investments (including</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public investments) in GDP, the proportion of non-investment expenses in GDP and the income</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per capita in the mentioned period. The study, in which Endogenous growth model was used,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concludes that education (educational expenses) representing human capital has a positive effect of</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economic growth.</w:t>
      </w:r>
    </w:p>
    <w:p w:rsidR="00201BCD"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Mankiw, Romer and Weil conducted a comparative analysis by way of international data obtained,</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restructuring the Solow model by adding the concept of human capital (i.e. human capital was</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added to the Neo-classical growth model). They found that the integrated Solow model perfectly</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explains the data (Mankiw, Romer and Weil, 1992; 407-431).</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Barro and Lee who carried out a</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similar study on 129 countries, examined each individual five year between the years 1960-1985.</w:t>
      </w:r>
      <w:r w:rsidR="00D46A1F"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Barro and Lee examined each gender separately and established the level of education as a</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variable, having categorized the levels as illiterate, primary school graduate, middle school</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graduate, and higher education graduate. Barro and Lee conclude that an increase in one’s</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education level promotes economic development (Barro &amp; Lee, 1993; </w:t>
      </w:r>
      <w:r w:rsidR="00A02D66">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1-29).</w:t>
      </w:r>
    </w:p>
    <w:p w:rsidR="00201BCD"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Lau and his colleagues looked into Brazil’s economic performance between 1970 and 1980 and</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established four variables for economic growth, namely physical capital, labour, human capital</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and technological advancement. They initially found both average education period and level in</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country and conducted a further study later which found out that just a one-year increase in</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education level improves labour efficiency by an average of 20%. They additionally discovered</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that of these four variables technology itself totals efficiency at 40%, human capital at 24%,</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physical capital at 19% and finally labour at 17% (Lau, Jamison, Liu, Rivkin, 1993; 45-70).</w:t>
      </w:r>
    </w:p>
    <w:p w:rsidR="00201BCD"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Barro made the most comprehensive study on the relationship between human capital and</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economic growth in 1990s and found that one’s pursuing his education one more year results in</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0.44% increase in economical growth (Barro, 1998; 5-6).</w:t>
      </w:r>
    </w:p>
    <w:p w:rsidR="00201BCD"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lastRenderedPageBreak/>
        <w:t>Freire-Seren examined the empirical relationship between economic growth and human capital</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between 1960 and 1990, and discovered that human capital has a positive effect on economic</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development and economic development contributes to human capital in turn (Freire-Seren, 2001,</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585-602).</w:t>
      </w:r>
    </w:p>
    <w:p w:rsidR="00201BCD" w:rsidRPr="00751C25" w:rsidRDefault="00104803" w:rsidP="001223B5">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 xml:space="preserve">Asteriou and Agiomirgianakis, who did a similar study in the context of Greece on </w:t>
      </w:r>
      <w:r w:rsidR="00A02D66">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relationship</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between economic development and human capital, examined the correlation between income per</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capita and the number of registered students at primary, middle schools and higher educational</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 xml:space="preserve">institutions. They found that the number of registered students and </w:t>
      </w:r>
      <w:r w:rsidR="00A02D66">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growth rate is cointegrated</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(Asteriou, Agiormirgianakis, 2001; 481-489). In another study conducted in Japan between 1952</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and 1953, co-integration and causality analysis were administered. The results indicate the</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presence of bilateral causality between economic growth and human capital (Cheng, Hsu, 1997;</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393-395).</w:t>
      </w:r>
    </w:p>
    <w:p w:rsidR="00201BCD" w:rsidRPr="00751C25"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Likewise, the studies carried out in Turkey yielded similar results and concluded that there is a</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positive correlation between economic growth/performance and education. Doğan and Bozkut</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who examined the period between 1983 and 2001, set education (the enrollment rates and the rate</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of education budget allocation) and economic growth as variables in their study and reached the</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conclusion that education positively affects economic growth (Doğan and Bozkurt, 2003; 1-9).</w:t>
      </w:r>
    </w:p>
    <w:p w:rsidR="00201BCD" w:rsidRPr="00751C25"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It was concluded in another study conducted in Turkey that one year extension in period of</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education increases the rate of national income growth by 21% (Ergen, 1999; 54-55). Another</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study which was conducted to examine the effect of education on economical growth for the</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years</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between 1980 and 1990, in 67 cities of Turkey, detected a positive correlation between the</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employment of qualified staff and industrial output (Güngör, 1997; 211).</w:t>
      </w:r>
    </w:p>
    <w:p w:rsidR="00201BCD" w:rsidRPr="00751C25"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Kar and Taban, in their study, found that expenses on educati</w:t>
      </w:r>
      <w:r w:rsidR="007D5DF2">
        <w:rPr>
          <w:rFonts w:ascii="Times New Roman" w:hAnsi="Times New Roman" w:cs="Times New Roman"/>
          <w:color w:val="000000"/>
          <w:sz w:val="24"/>
          <w:szCs w:val="24"/>
        </w:rPr>
        <w:t xml:space="preserve">on and national social security </w:t>
      </w:r>
      <w:r w:rsidRPr="00751C25">
        <w:rPr>
          <w:rFonts w:ascii="Times New Roman" w:hAnsi="Times New Roman" w:cs="Times New Roman"/>
          <w:color w:val="000000"/>
          <w:sz w:val="24"/>
          <w:szCs w:val="24"/>
        </w:rPr>
        <w:t>contribute positively to economic growth (Kar and Taban, 2003; 145-170).</w:t>
      </w:r>
    </w:p>
    <w:p w:rsidR="00201BCD" w:rsidRPr="00751C25"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Kar and Ağır, in a subsequent study, examined the relationship between economic growth and</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human capital by means of a causality test – commonly used in endogenous growth models</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through the data obtained between 1926 and 1994, and concluded that causality analysis is</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sensitive to the human capital index (Kar and Ağır, 2003).</w:t>
      </w:r>
    </w:p>
    <w:p w:rsidR="00104803"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Sarı and Soytaş analyzed on the relationship between GDP and the number of the registered</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students for the period 1937-1996, and concluded that education and real GDP are</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cointegrated.</w:t>
      </w:r>
    </w:p>
    <w:p w:rsidR="00104803" w:rsidRPr="002823F9" w:rsidRDefault="00104803" w:rsidP="00D31EA8">
      <w:pPr>
        <w:autoSpaceDE w:val="0"/>
        <w:autoSpaceDN w:val="0"/>
        <w:adjustRightInd w:val="0"/>
        <w:spacing w:before="240" w:after="120"/>
        <w:rPr>
          <w:rFonts w:ascii="Times New Roman" w:hAnsi="Times New Roman" w:cs="Times New Roman"/>
          <w:b/>
          <w:bCs/>
          <w:color w:val="222222"/>
          <w:sz w:val="28"/>
          <w:szCs w:val="24"/>
        </w:rPr>
      </w:pPr>
      <w:r w:rsidRPr="002823F9">
        <w:rPr>
          <w:rFonts w:ascii="Times New Roman" w:hAnsi="Times New Roman" w:cs="Times New Roman"/>
          <w:b/>
          <w:bCs/>
          <w:color w:val="222222"/>
          <w:sz w:val="28"/>
          <w:szCs w:val="24"/>
        </w:rPr>
        <w:t>3.2 Literature on Micro Level</w:t>
      </w:r>
    </w:p>
    <w:p w:rsidR="00104803" w:rsidRPr="00751C25"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Many of the studies on human capital examine the impact of human capital on the economies at a</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micro level. There are only a few studies which focus on the individual factor compared to a large</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number of the studies measuring growth and development. In such studies, which look into human</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capital in terms of education, researchers assume that one certain effect of an additional higher</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education is higher wages at a micro level. It is also crucial to note that these studies found that</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education investments provide not only financial but also psychological contributions.</w:t>
      </w:r>
    </w:p>
    <w:p w:rsidR="00201BCD" w:rsidRPr="00751C25"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lastRenderedPageBreak/>
        <w:t>Barro states that education is not only an element which boosts one’s knowledge and skills,</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and</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thus his efficiency, but it is also a factor which increases the quality of one’s life and the welfare</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state (Barro, 2002; 9-24). Because any additional education completed generates a better chance of</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finding a better job in the labour market (Öztürk, 2005; 9), the result is higher wages. On the other</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hand, ceteris paribus, an educated workforce acquires higher pay. Thus, for the workforce to be</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more qualified there is a need for an educational investment (Ünal, 1993; 227).</w:t>
      </w:r>
    </w:p>
    <w:p w:rsidR="00201BCD" w:rsidRPr="00751C25"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 xml:space="preserve">There are various theoretical approaches to the contribution of </w:t>
      </w:r>
      <w:r w:rsidR="007D5DF2">
        <w:rPr>
          <w:rFonts w:ascii="Times New Roman" w:hAnsi="Times New Roman" w:cs="Times New Roman"/>
          <w:color w:val="000000"/>
          <w:sz w:val="24"/>
          <w:szCs w:val="24"/>
        </w:rPr>
        <w:t xml:space="preserve">education to one’s life. One of </w:t>
      </w:r>
      <w:r w:rsidRPr="00751C25">
        <w:rPr>
          <w:rFonts w:ascii="Times New Roman" w:hAnsi="Times New Roman" w:cs="Times New Roman"/>
          <w:color w:val="000000"/>
          <w:sz w:val="24"/>
          <w:szCs w:val="24"/>
        </w:rPr>
        <w:t>those approaches is Signaling. The Signaling Approach proposed by Micheal Spence (1974),</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is</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based on the idea that sellers send signals to buyers about the quality of their products. A seller</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here may be viewed as employees and a buyer as employer. When an employer chooses among</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potential employees, he tries to understand whether the employee’s qualifications are sufficient</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and finally strives to employ the best available in the market. Spence states that education</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credentials may be used as a reliable signal to differentiate individuals in terms of their</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capabilities, and that one’s educational degree may indicate his level of learning ability (Spence,</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1974; 296-332). It is worthy of mention that education is just a signal in this context, but may not</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be related to what one has learned in the process. Queuing Theory, which examines the role of</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education in one’s life, education is not a factor to increase an employee’s efficiency, because</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efficiency is a feature of work, not an employee’s trait. Those high efficiency oriented jobs are</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believed to pay high wages to employees (these jobs require the use of high technology) (Carnoy,</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1995; 1-9).</w:t>
      </w:r>
    </w:p>
    <w:p w:rsidR="00201BCD" w:rsidRPr="00751C25"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Some other similar studies also show that higher education lead</w:t>
      </w:r>
      <w:r w:rsidR="007D5DF2">
        <w:rPr>
          <w:rFonts w:ascii="Times New Roman" w:hAnsi="Times New Roman" w:cs="Times New Roman"/>
          <w:color w:val="000000"/>
          <w:sz w:val="24"/>
          <w:szCs w:val="24"/>
        </w:rPr>
        <w:t xml:space="preserve"> to individuals’ efficiency and </w:t>
      </w:r>
      <w:r w:rsidRPr="00751C25">
        <w:rPr>
          <w:rFonts w:ascii="Times New Roman" w:hAnsi="Times New Roman" w:cs="Times New Roman"/>
          <w:color w:val="000000"/>
          <w:sz w:val="24"/>
          <w:szCs w:val="24"/>
        </w:rPr>
        <w:t>wages. Breton found that a 4 year secondary school education increases one’s pay by 24%,</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associate schools by 47% and undergraduate degrees by 89% (Breton, 2003; 3).</w:t>
      </w:r>
      <w:r w:rsidR="00201BCD" w:rsidRPr="00751C25">
        <w:rPr>
          <w:rFonts w:ascii="Times New Roman" w:hAnsi="Times New Roman" w:cs="Times New Roman"/>
          <w:color w:val="000000"/>
          <w:sz w:val="24"/>
          <w:szCs w:val="24"/>
        </w:rPr>
        <w:t xml:space="preserve"> </w:t>
      </w:r>
    </w:p>
    <w:p w:rsidR="00201BCD" w:rsidRPr="00751C25"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According to another study which was conducted for both genders in the USA, between the years</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1967-1995, the turnover rates for secondary school degree to income level (a rate measured from</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real income) reduced to 10.8% from 12.5% for men and increased to 13.3% from 9.7% for</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women for the years between 1967 and 1980. The same rate for undergraduates (a rate measured</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from the real income) is 11.6% for male and 11.8% for female employees, between the years</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1967-1995 (Arias, Mcmahon, 2001; 121-138).</w:t>
      </w:r>
    </w:p>
    <w:p w:rsidR="00104803"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751C25">
        <w:rPr>
          <w:rFonts w:ascii="Times New Roman" w:hAnsi="Times New Roman" w:cs="Times New Roman"/>
          <w:color w:val="000000"/>
          <w:sz w:val="24"/>
          <w:szCs w:val="24"/>
        </w:rPr>
        <w:t>Psacharopoulos suggests that an increase in one’s education level is promoted in private</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enterprises more than in public and that leaving school one year later may cause an increase in</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income distribution from 12% to 15% in England (Psacharopoulos, 1984; 347). Turkmen’s</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study</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also concludes that the turnover of higher graduation to income level is quite high in Turkey, for</w:t>
      </w:r>
      <w:r w:rsidR="00201BCD" w:rsidRPr="00751C25">
        <w:rPr>
          <w:rFonts w:ascii="Times New Roman" w:hAnsi="Times New Roman" w:cs="Times New Roman"/>
          <w:color w:val="000000"/>
          <w:sz w:val="24"/>
          <w:szCs w:val="24"/>
        </w:rPr>
        <w:t xml:space="preserve"> </w:t>
      </w:r>
      <w:r w:rsidRPr="00751C25">
        <w:rPr>
          <w:rFonts w:ascii="Times New Roman" w:hAnsi="Times New Roman" w:cs="Times New Roman"/>
          <w:color w:val="000000"/>
          <w:sz w:val="24"/>
          <w:szCs w:val="24"/>
        </w:rPr>
        <w:t>the period 1980-1999 (Türkmen, 2002).</w:t>
      </w:r>
    </w:p>
    <w:p w:rsidR="00104803" w:rsidRPr="002823F9" w:rsidRDefault="00104803" w:rsidP="00D31EA8">
      <w:pPr>
        <w:autoSpaceDE w:val="0"/>
        <w:autoSpaceDN w:val="0"/>
        <w:adjustRightInd w:val="0"/>
        <w:spacing w:before="240" w:after="120"/>
        <w:rPr>
          <w:rFonts w:ascii="Times New Roman" w:hAnsi="Times New Roman" w:cs="Times New Roman"/>
          <w:b/>
          <w:bCs/>
          <w:color w:val="222222"/>
          <w:sz w:val="28"/>
          <w:szCs w:val="24"/>
        </w:rPr>
      </w:pPr>
      <w:r w:rsidRPr="002823F9">
        <w:rPr>
          <w:rFonts w:ascii="Times New Roman" w:hAnsi="Times New Roman" w:cs="Times New Roman"/>
          <w:b/>
          <w:bCs/>
          <w:color w:val="222222"/>
          <w:sz w:val="28"/>
          <w:szCs w:val="24"/>
        </w:rPr>
        <w:t xml:space="preserve">4. The </w:t>
      </w:r>
      <w:r w:rsidR="006426F1">
        <w:rPr>
          <w:rFonts w:ascii="Times New Roman" w:hAnsi="Times New Roman" w:cs="Times New Roman"/>
          <w:b/>
          <w:bCs/>
          <w:color w:val="222222"/>
          <w:sz w:val="28"/>
          <w:szCs w:val="24"/>
        </w:rPr>
        <w:t>M</w:t>
      </w:r>
      <w:r w:rsidR="006426F1" w:rsidRPr="006426F1">
        <w:rPr>
          <w:rFonts w:ascii="Times New Roman" w:hAnsi="Times New Roman" w:cs="Times New Roman"/>
          <w:b/>
          <w:bCs/>
          <w:color w:val="222222"/>
          <w:sz w:val="28"/>
          <w:szCs w:val="24"/>
        </w:rPr>
        <w:t>ethodology</w:t>
      </w:r>
    </w:p>
    <w:p w:rsidR="00FA25F8" w:rsidRDefault="00FA25F8" w:rsidP="00D31EA8">
      <w:pPr>
        <w:autoSpaceDE w:val="0"/>
        <w:autoSpaceDN w:val="0"/>
        <w:adjustRightInd w:val="0"/>
        <w:spacing w:before="120" w:after="0"/>
        <w:jc w:val="both"/>
        <w:rPr>
          <w:rFonts w:ascii="Times New Roman" w:hAnsi="Times New Roman" w:cs="Times New Roman"/>
          <w:color w:val="000000"/>
          <w:sz w:val="24"/>
          <w:szCs w:val="24"/>
        </w:rPr>
      </w:pPr>
      <w:r w:rsidRPr="00FA25F8">
        <w:rPr>
          <w:rFonts w:ascii="Times New Roman" w:hAnsi="Times New Roman" w:cs="Times New Roman"/>
          <w:color w:val="000000"/>
          <w:sz w:val="24"/>
          <w:szCs w:val="24"/>
        </w:rPr>
        <w:t xml:space="preserve">In the methodology </w:t>
      </w:r>
      <w:r>
        <w:rPr>
          <w:rFonts w:ascii="Times New Roman" w:hAnsi="Times New Roman" w:cs="Times New Roman"/>
          <w:color w:val="000000"/>
          <w:sz w:val="24"/>
          <w:szCs w:val="24"/>
        </w:rPr>
        <w:t>part</w:t>
      </w:r>
      <w:r w:rsidRPr="00FA25F8">
        <w:rPr>
          <w:rFonts w:ascii="Times New Roman" w:hAnsi="Times New Roman" w:cs="Times New Roman"/>
          <w:color w:val="000000"/>
          <w:sz w:val="24"/>
          <w:szCs w:val="24"/>
        </w:rPr>
        <w:t xml:space="preserve"> of the study, the analysis results and hypotheses of the obtained data are tested </w:t>
      </w:r>
      <w:r w:rsidR="00360F45" w:rsidRPr="00FA25F8">
        <w:rPr>
          <w:rFonts w:ascii="Times New Roman" w:hAnsi="Times New Roman" w:cs="Times New Roman"/>
          <w:color w:val="000000"/>
          <w:sz w:val="24"/>
          <w:szCs w:val="24"/>
        </w:rPr>
        <w:t xml:space="preserve">by </w:t>
      </w:r>
      <w:r w:rsidR="00360F45">
        <w:rPr>
          <w:rFonts w:ascii="Times New Roman" w:hAnsi="Times New Roman" w:cs="Times New Roman"/>
          <w:color w:val="000000"/>
          <w:sz w:val="24"/>
          <w:szCs w:val="24"/>
        </w:rPr>
        <w:t>taking into account</w:t>
      </w:r>
      <w:r>
        <w:rPr>
          <w:rFonts w:ascii="Times New Roman" w:hAnsi="Times New Roman" w:cs="Times New Roman"/>
          <w:color w:val="000000"/>
          <w:sz w:val="24"/>
          <w:szCs w:val="24"/>
        </w:rPr>
        <w:t xml:space="preserve"> </w:t>
      </w:r>
      <w:r w:rsidRPr="00FA25F8">
        <w:rPr>
          <w:rFonts w:ascii="Times New Roman" w:hAnsi="Times New Roman" w:cs="Times New Roman"/>
          <w:color w:val="000000"/>
          <w:sz w:val="24"/>
          <w:szCs w:val="24"/>
        </w:rPr>
        <w:t>the purpose and method of the research and the demographic information of the participants.</w:t>
      </w:r>
    </w:p>
    <w:p w:rsidR="00D31EA8" w:rsidRDefault="00D31EA8" w:rsidP="00D31EA8">
      <w:pPr>
        <w:autoSpaceDE w:val="0"/>
        <w:autoSpaceDN w:val="0"/>
        <w:adjustRightInd w:val="0"/>
        <w:spacing w:before="120" w:after="0"/>
        <w:jc w:val="both"/>
        <w:rPr>
          <w:rFonts w:ascii="Times New Roman" w:hAnsi="Times New Roman" w:cs="Times New Roman"/>
          <w:color w:val="000000"/>
          <w:sz w:val="24"/>
          <w:szCs w:val="24"/>
        </w:rPr>
      </w:pPr>
    </w:p>
    <w:p w:rsidR="00104803" w:rsidRDefault="00104803" w:rsidP="00D31EA8">
      <w:pPr>
        <w:autoSpaceDE w:val="0"/>
        <w:autoSpaceDN w:val="0"/>
        <w:adjustRightInd w:val="0"/>
        <w:spacing w:before="240" w:after="120"/>
        <w:rPr>
          <w:rFonts w:ascii="Times New Roman" w:hAnsi="Times New Roman" w:cs="Times New Roman"/>
          <w:b/>
          <w:bCs/>
          <w:color w:val="222222"/>
          <w:sz w:val="24"/>
          <w:szCs w:val="24"/>
        </w:rPr>
      </w:pPr>
      <w:r w:rsidRPr="002823F9">
        <w:rPr>
          <w:rFonts w:ascii="Times New Roman" w:hAnsi="Times New Roman" w:cs="Times New Roman"/>
          <w:b/>
          <w:bCs/>
          <w:color w:val="222222"/>
          <w:sz w:val="24"/>
          <w:szCs w:val="24"/>
        </w:rPr>
        <w:lastRenderedPageBreak/>
        <w:t xml:space="preserve">4.1. </w:t>
      </w:r>
      <w:r w:rsidR="00360F45">
        <w:rPr>
          <w:rFonts w:ascii="Times New Roman" w:hAnsi="Times New Roman" w:cs="Times New Roman"/>
          <w:b/>
          <w:bCs/>
          <w:color w:val="222222"/>
          <w:sz w:val="24"/>
          <w:szCs w:val="24"/>
        </w:rPr>
        <w:t>The Purpose of the R</w:t>
      </w:r>
      <w:r w:rsidR="00360F45" w:rsidRPr="00360F45">
        <w:rPr>
          <w:rFonts w:ascii="Times New Roman" w:hAnsi="Times New Roman" w:cs="Times New Roman"/>
          <w:b/>
          <w:bCs/>
          <w:color w:val="222222"/>
          <w:sz w:val="24"/>
          <w:szCs w:val="24"/>
        </w:rPr>
        <w:t>esearch</w:t>
      </w:r>
    </w:p>
    <w:p w:rsidR="00A94D58" w:rsidRDefault="00360F45" w:rsidP="00D31EA8">
      <w:pPr>
        <w:autoSpaceDE w:val="0"/>
        <w:autoSpaceDN w:val="0"/>
        <w:adjustRightInd w:val="0"/>
        <w:spacing w:before="240" w:after="120"/>
        <w:jc w:val="both"/>
        <w:rPr>
          <w:rFonts w:ascii="Times New Roman" w:hAnsi="Times New Roman" w:cs="Times New Roman"/>
          <w:bCs/>
          <w:color w:val="222222"/>
          <w:sz w:val="24"/>
          <w:szCs w:val="24"/>
        </w:rPr>
      </w:pPr>
      <w:r w:rsidRPr="00360F45">
        <w:rPr>
          <w:rFonts w:ascii="Times New Roman" w:hAnsi="Times New Roman" w:cs="Times New Roman"/>
          <w:bCs/>
          <w:color w:val="222222"/>
          <w:sz w:val="24"/>
          <w:szCs w:val="24"/>
        </w:rPr>
        <w:t>Employees join the MBA programs to improve the quality of their work and to make their work more productive in the institution.</w:t>
      </w:r>
      <w:r>
        <w:rPr>
          <w:rFonts w:ascii="Times New Roman" w:hAnsi="Times New Roman" w:cs="Times New Roman"/>
          <w:bCs/>
          <w:color w:val="222222"/>
          <w:sz w:val="24"/>
          <w:szCs w:val="24"/>
        </w:rPr>
        <w:t xml:space="preserve"> </w:t>
      </w:r>
      <w:r w:rsidR="00E52317" w:rsidRPr="00E52317">
        <w:rPr>
          <w:rFonts w:ascii="Times New Roman" w:hAnsi="Times New Roman" w:cs="Times New Roman"/>
          <w:bCs/>
          <w:color w:val="222222"/>
          <w:sz w:val="24"/>
          <w:szCs w:val="24"/>
        </w:rPr>
        <w:t>However, how satisfied are the parti</w:t>
      </w:r>
      <w:r w:rsidR="00E52317">
        <w:rPr>
          <w:rFonts w:ascii="Times New Roman" w:hAnsi="Times New Roman" w:cs="Times New Roman"/>
          <w:bCs/>
          <w:color w:val="222222"/>
          <w:sz w:val="24"/>
          <w:szCs w:val="24"/>
        </w:rPr>
        <w:t xml:space="preserve">cipants with the MBA programs, and at </w:t>
      </w:r>
      <w:r w:rsidR="00E52317" w:rsidRPr="00E52317">
        <w:rPr>
          <w:rFonts w:ascii="Times New Roman" w:hAnsi="Times New Roman" w:cs="Times New Roman"/>
          <w:bCs/>
          <w:color w:val="222222"/>
          <w:sz w:val="24"/>
          <w:szCs w:val="24"/>
        </w:rPr>
        <w:t>what level do participants in MBA programs recommend these programs to others?</w:t>
      </w:r>
      <w:r w:rsidR="00A94D58">
        <w:rPr>
          <w:rFonts w:ascii="Times New Roman" w:hAnsi="Times New Roman" w:cs="Times New Roman"/>
          <w:bCs/>
          <w:color w:val="222222"/>
          <w:sz w:val="24"/>
          <w:szCs w:val="24"/>
        </w:rPr>
        <w:t xml:space="preserve"> In this context, i</w:t>
      </w:r>
      <w:r w:rsidR="00A94D58" w:rsidRPr="00A94D58">
        <w:rPr>
          <w:rFonts w:ascii="Times New Roman" w:hAnsi="Times New Roman" w:cs="Times New Roman"/>
          <w:bCs/>
          <w:color w:val="222222"/>
          <w:sz w:val="24"/>
          <w:szCs w:val="24"/>
        </w:rPr>
        <w:t>n this research, the factors that are effective in the recommendation of MBA pro</w:t>
      </w:r>
      <w:r w:rsidR="00A94D58" w:rsidRPr="003B42D3">
        <w:rPr>
          <w:rFonts w:ascii="Times New Roman" w:hAnsi="Times New Roman" w:cs="Times New Roman"/>
          <w:bCs/>
          <w:color w:val="222222"/>
          <w:sz w:val="24"/>
          <w:szCs w:val="24"/>
        </w:rPr>
        <w:t>grams have been determined</w:t>
      </w:r>
      <w:r w:rsidR="003B42D3" w:rsidRPr="003B42D3">
        <w:rPr>
          <w:rFonts w:ascii="Times New Roman" w:hAnsi="Times New Roman" w:cs="Times New Roman"/>
          <w:bCs/>
          <w:color w:val="222222"/>
          <w:sz w:val="24"/>
          <w:szCs w:val="24"/>
        </w:rPr>
        <w:t>,</w:t>
      </w:r>
      <w:r w:rsidR="00A94D58" w:rsidRPr="003B42D3">
        <w:rPr>
          <w:rFonts w:ascii="Times New Roman" w:hAnsi="Times New Roman" w:cs="Times New Roman"/>
          <w:bCs/>
          <w:color w:val="222222"/>
          <w:sz w:val="24"/>
          <w:szCs w:val="24"/>
        </w:rPr>
        <w:t xml:space="preserve"> and </w:t>
      </w:r>
      <w:r w:rsidR="003B42D3" w:rsidRPr="003B42D3">
        <w:rPr>
          <w:rFonts w:ascii="Times New Roman" w:hAnsi="Times New Roman" w:cs="Times New Roman"/>
          <w:bCs/>
          <w:color w:val="222222"/>
          <w:sz w:val="24"/>
          <w:szCs w:val="24"/>
        </w:rPr>
        <w:t>t</w:t>
      </w:r>
      <w:r w:rsidR="00A94D58" w:rsidRPr="003B42D3">
        <w:rPr>
          <w:rFonts w:ascii="Times New Roman" w:hAnsi="Times New Roman" w:cs="Times New Roman"/>
          <w:bCs/>
          <w:color w:val="222222"/>
          <w:sz w:val="24"/>
          <w:szCs w:val="24"/>
        </w:rPr>
        <w:t>he impact level</w:t>
      </w:r>
      <w:r w:rsidR="003B42D3" w:rsidRPr="003B42D3">
        <w:rPr>
          <w:rFonts w:ascii="Times New Roman" w:hAnsi="Times New Roman" w:cs="Times New Roman"/>
          <w:bCs/>
          <w:color w:val="222222"/>
          <w:sz w:val="24"/>
          <w:szCs w:val="24"/>
        </w:rPr>
        <w:t xml:space="preserve">s of </w:t>
      </w:r>
      <w:r w:rsidR="00A94D58" w:rsidRPr="003B42D3">
        <w:rPr>
          <w:rFonts w:ascii="Times New Roman" w:hAnsi="Times New Roman" w:cs="Times New Roman"/>
          <w:bCs/>
          <w:color w:val="222222"/>
          <w:sz w:val="24"/>
          <w:szCs w:val="24"/>
        </w:rPr>
        <w:t>expectation o</w:t>
      </w:r>
      <w:r w:rsidR="003B42D3" w:rsidRPr="003B42D3">
        <w:rPr>
          <w:rFonts w:ascii="Times New Roman" w:hAnsi="Times New Roman" w:cs="Times New Roman"/>
          <w:bCs/>
          <w:color w:val="222222"/>
          <w:sz w:val="24"/>
          <w:szCs w:val="24"/>
        </w:rPr>
        <w:t xml:space="preserve">f contribution to human capital, </w:t>
      </w:r>
      <w:r w:rsidR="00A94D58" w:rsidRPr="003B42D3">
        <w:rPr>
          <w:rFonts w:ascii="Times New Roman" w:hAnsi="Times New Roman" w:cs="Times New Roman"/>
          <w:bCs/>
          <w:color w:val="222222"/>
          <w:sz w:val="24"/>
          <w:szCs w:val="24"/>
        </w:rPr>
        <w:t xml:space="preserve"> </w:t>
      </w:r>
      <w:r w:rsidR="003B42D3" w:rsidRPr="003B42D3">
        <w:rPr>
          <w:rFonts w:ascii="Times New Roman" w:hAnsi="Times New Roman" w:cs="Times New Roman"/>
          <w:bCs/>
          <w:color w:val="222222"/>
          <w:sz w:val="24"/>
          <w:szCs w:val="24"/>
        </w:rPr>
        <w:t xml:space="preserve">the </w:t>
      </w:r>
      <w:r w:rsidR="00386CD9" w:rsidRPr="003B42D3">
        <w:rPr>
          <w:rFonts w:ascii="Times New Roman" w:hAnsi="Times New Roman" w:cs="Times New Roman"/>
          <w:bCs/>
          <w:color w:val="222222"/>
          <w:sz w:val="24"/>
          <w:szCs w:val="24"/>
        </w:rPr>
        <w:t xml:space="preserve">contribution </w:t>
      </w:r>
      <w:r w:rsidR="000C27CF">
        <w:rPr>
          <w:rFonts w:ascii="Times New Roman" w:hAnsi="Times New Roman" w:cs="Times New Roman"/>
          <w:bCs/>
          <w:color w:val="222222"/>
          <w:sz w:val="24"/>
          <w:szCs w:val="24"/>
        </w:rPr>
        <w:t xml:space="preserve">of </w:t>
      </w:r>
      <w:r w:rsidR="000C27CF" w:rsidRPr="003B42D3">
        <w:rPr>
          <w:rFonts w:ascii="Times New Roman" w:hAnsi="Times New Roman" w:cs="Times New Roman"/>
          <w:bCs/>
          <w:color w:val="222222"/>
          <w:sz w:val="24"/>
          <w:szCs w:val="24"/>
        </w:rPr>
        <w:t xml:space="preserve">workplace </w:t>
      </w:r>
      <w:r w:rsidR="003B42D3" w:rsidRPr="003B42D3">
        <w:rPr>
          <w:rFonts w:ascii="Times New Roman" w:hAnsi="Times New Roman" w:cs="Times New Roman"/>
          <w:bCs/>
          <w:color w:val="222222"/>
          <w:sz w:val="24"/>
          <w:szCs w:val="24"/>
        </w:rPr>
        <w:t xml:space="preserve">and contribution to human capital </w:t>
      </w:r>
      <w:r w:rsidR="00A94D58" w:rsidRPr="003B42D3">
        <w:rPr>
          <w:rFonts w:ascii="Times New Roman" w:hAnsi="Times New Roman" w:cs="Times New Roman"/>
          <w:bCs/>
          <w:color w:val="222222"/>
          <w:sz w:val="24"/>
          <w:szCs w:val="24"/>
        </w:rPr>
        <w:t>in the MBA program was investigated.</w:t>
      </w:r>
      <w:r w:rsidR="000C27CF" w:rsidRPr="000C27CF">
        <w:rPr>
          <w:rFonts w:ascii="Times New Roman" w:hAnsi="Times New Roman" w:cs="Times New Roman"/>
          <w:bCs/>
          <w:color w:val="222222"/>
          <w:sz w:val="24"/>
          <w:szCs w:val="24"/>
        </w:rPr>
        <w:t xml:space="preserve"> </w:t>
      </w:r>
    </w:p>
    <w:p w:rsidR="00A94D58" w:rsidRPr="003B42D3" w:rsidRDefault="003B42D3" w:rsidP="00D31EA8">
      <w:pPr>
        <w:autoSpaceDE w:val="0"/>
        <w:autoSpaceDN w:val="0"/>
        <w:adjustRightInd w:val="0"/>
        <w:spacing w:before="240" w:after="120"/>
        <w:jc w:val="both"/>
        <w:rPr>
          <w:rFonts w:ascii="Times New Roman" w:hAnsi="Times New Roman" w:cs="Times New Roman"/>
          <w:b/>
          <w:bCs/>
          <w:color w:val="222222"/>
          <w:sz w:val="24"/>
          <w:szCs w:val="24"/>
        </w:rPr>
      </w:pPr>
      <w:r w:rsidRPr="003B42D3">
        <w:rPr>
          <w:rFonts w:ascii="Times New Roman" w:hAnsi="Times New Roman" w:cs="Times New Roman"/>
          <w:b/>
          <w:bCs/>
          <w:color w:val="222222"/>
          <w:sz w:val="24"/>
          <w:szCs w:val="24"/>
        </w:rPr>
        <w:t>4.2. The Method of</w:t>
      </w:r>
      <w:r>
        <w:rPr>
          <w:rFonts w:ascii="Times New Roman" w:hAnsi="Times New Roman" w:cs="Times New Roman"/>
          <w:b/>
          <w:bCs/>
          <w:color w:val="222222"/>
          <w:sz w:val="24"/>
          <w:szCs w:val="24"/>
        </w:rPr>
        <w:t xml:space="preserve"> the</w:t>
      </w:r>
      <w:r w:rsidRPr="003B42D3">
        <w:rPr>
          <w:rFonts w:ascii="Times New Roman" w:hAnsi="Times New Roman" w:cs="Times New Roman"/>
          <w:b/>
          <w:bCs/>
          <w:color w:val="222222"/>
          <w:sz w:val="24"/>
          <w:szCs w:val="24"/>
        </w:rPr>
        <w:t xml:space="preserve"> Research and Data Collection Tools</w:t>
      </w:r>
    </w:p>
    <w:p w:rsidR="003B42D3" w:rsidRPr="002823F9" w:rsidRDefault="003B42D3" w:rsidP="00D31EA8">
      <w:pPr>
        <w:autoSpaceDE w:val="0"/>
        <w:autoSpaceDN w:val="0"/>
        <w:adjustRightInd w:val="0"/>
        <w:spacing w:before="120" w:after="0"/>
        <w:jc w:val="both"/>
        <w:rPr>
          <w:rFonts w:ascii="Times New Roman" w:hAnsi="Times New Roman" w:cs="Times New Roman"/>
          <w:color w:val="000000"/>
          <w:sz w:val="24"/>
          <w:szCs w:val="24"/>
        </w:rPr>
      </w:pPr>
      <w:r w:rsidRPr="003B42D3">
        <w:rPr>
          <w:rFonts w:ascii="Times New Roman" w:hAnsi="Times New Roman" w:cs="Times New Roman"/>
          <w:color w:val="000000"/>
          <w:sz w:val="24"/>
          <w:szCs w:val="24"/>
        </w:rPr>
        <w:t>The research is structured in the form of a questionnaire and is designed in two steps</w:t>
      </w:r>
      <w:r>
        <w:rPr>
          <w:rFonts w:ascii="Times New Roman" w:hAnsi="Times New Roman" w:cs="Times New Roman"/>
          <w:color w:val="000000"/>
          <w:sz w:val="24"/>
          <w:szCs w:val="24"/>
        </w:rPr>
        <w:t xml:space="preserve"> as follows:</w:t>
      </w:r>
    </w:p>
    <w:p w:rsidR="003B42D3" w:rsidRPr="002823F9" w:rsidRDefault="003B42D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 xml:space="preserve">In the first step, the questions/items are generated, with the help of both the theoretical background, and the suggestions and ideas of the lecturers who tutor in certain MBA programs. In the </w:t>
      </w:r>
      <w:r>
        <w:rPr>
          <w:rFonts w:ascii="Times New Roman" w:hAnsi="Times New Roman" w:cs="Times New Roman"/>
          <w:color w:val="000000"/>
          <w:sz w:val="24"/>
          <w:szCs w:val="24"/>
        </w:rPr>
        <w:t xml:space="preserve">second </w:t>
      </w:r>
      <w:r w:rsidRPr="002823F9">
        <w:rPr>
          <w:rFonts w:ascii="Times New Roman" w:hAnsi="Times New Roman" w:cs="Times New Roman"/>
          <w:color w:val="000000"/>
          <w:sz w:val="24"/>
          <w:szCs w:val="24"/>
        </w:rPr>
        <w:t>step, the questionnaire was applied to a pilot MBA graduate program and eventually redesigned in consideration of their views.</w:t>
      </w:r>
    </w:p>
    <w:p w:rsidR="003B42D3" w:rsidRDefault="003B42D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A quantitative 5 point Likert scale (1</w:t>
      </w:r>
      <w:r w:rsidRPr="002823F9">
        <w:rPr>
          <w:rFonts w:ascii="Times New Roman" w:hAnsi="Times New Roman" w:cs="Times New Roman"/>
          <w:i/>
          <w:iCs/>
          <w:color w:val="000000"/>
          <w:sz w:val="24"/>
          <w:szCs w:val="24"/>
        </w:rPr>
        <w:t>- very little, 5- very much</w:t>
      </w:r>
      <w:r w:rsidRPr="002823F9">
        <w:rPr>
          <w:rFonts w:ascii="Times New Roman" w:hAnsi="Times New Roman" w:cs="Times New Roman"/>
          <w:color w:val="000000"/>
          <w:sz w:val="24"/>
          <w:szCs w:val="24"/>
        </w:rPr>
        <w:t xml:space="preserve">) was used in the questionnaire. The sampling group was selected from the MBA graduates (in both languages; Turkish and English). </w:t>
      </w:r>
    </w:p>
    <w:p w:rsidR="003B42D3" w:rsidRPr="003B42D3" w:rsidRDefault="003B42D3" w:rsidP="00D31EA8">
      <w:pPr>
        <w:autoSpaceDE w:val="0"/>
        <w:autoSpaceDN w:val="0"/>
        <w:adjustRightInd w:val="0"/>
        <w:spacing w:before="120" w:after="0"/>
        <w:jc w:val="both"/>
        <w:rPr>
          <w:rFonts w:ascii="Times New Roman" w:hAnsi="Times New Roman" w:cs="Times New Roman"/>
          <w:b/>
          <w:color w:val="000000"/>
          <w:sz w:val="24"/>
          <w:szCs w:val="24"/>
        </w:rPr>
      </w:pPr>
      <w:r w:rsidRPr="003B42D3">
        <w:rPr>
          <w:rFonts w:ascii="Times New Roman" w:hAnsi="Times New Roman" w:cs="Times New Roman"/>
          <w:b/>
          <w:color w:val="000000"/>
          <w:sz w:val="24"/>
          <w:szCs w:val="24"/>
        </w:rPr>
        <w:t>4.3. Sample and Demographic Characteristics of the Research</w:t>
      </w:r>
    </w:p>
    <w:p w:rsidR="001A28E1" w:rsidRDefault="003B42D3" w:rsidP="00D31EA8">
      <w:pPr>
        <w:autoSpaceDE w:val="0"/>
        <w:autoSpaceDN w:val="0"/>
        <w:adjustRightInd w:val="0"/>
        <w:spacing w:before="120" w:after="0"/>
        <w:jc w:val="both"/>
        <w:rPr>
          <w:rFonts w:ascii="Times New Roman" w:hAnsi="Times New Roman" w:cs="Times New Roman"/>
          <w:color w:val="000000"/>
          <w:sz w:val="24"/>
          <w:szCs w:val="24"/>
        </w:rPr>
      </w:pPr>
      <w:r w:rsidRPr="003B42D3">
        <w:rPr>
          <w:rFonts w:ascii="Times New Roman" w:hAnsi="Times New Roman" w:cs="Times New Roman"/>
          <w:color w:val="000000"/>
          <w:sz w:val="24"/>
          <w:szCs w:val="24"/>
        </w:rPr>
        <w:t xml:space="preserve">The questionnaire was sent to 1,187 graduates of </w:t>
      </w:r>
      <w:r w:rsidR="006018D5">
        <w:rPr>
          <w:rFonts w:ascii="Times New Roman" w:hAnsi="Times New Roman" w:cs="Times New Roman"/>
          <w:color w:val="000000"/>
          <w:sz w:val="24"/>
          <w:szCs w:val="24"/>
        </w:rPr>
        <w:t xml:space="preserve">the </w:t>
      </w:r>
      <w:r w:rsidRPr="003B42D3">
        <w:rPr>
          <w:rFonts w:ascii="Times New Roman" w:hAnsi="Times New Roman" w:cs="Times New Roman"/>
          <w:color w:val="000000"/>
          <w:sz w:val="24"/>
          <w:szCs w:val="24"/>
        </w:rPr>
        <w:t xml:space="preserve">MBA programs and 170 graduates </w:t>
      </w:r>
      <w:r w:rsidR="006018D5">
        <w:rPr>
          <w:rFonts w:ascii="Times New Roman" w:hAnsi="Times New Roman" w:cs="Times New Roman"/>
          <w:color w:val="000000"/>
          <w:sz w:val="24"/>
          <w:szCs w:val="24"/>
        </w:rPr>
        <w:t>responded</w:t>
      </w:r>
      <w:r w:rsidRPr="003B42D3">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Thus, t</w:t>
      </w:r>
      <w:r w:rsidR="00104803" w:rsidRPr="002823F9">
        <w:rPr>
          <w:rFonts w:ascii="Times New Roman" w:hAnsi="Times New Roman" w:cs="Times New Roman"/>
          <w:color w:val="000000"/>
          <w:sz w:val="24"/>
          <w:szCs w:val="24"/>
        </w:rPr>
        <w:t xml:space="preserve">he questionnaire </w:t>
      </w:r>
      <w:r w:rsidR="001A28E1" w:rsidRPr="001A28E1">
        <w:rPr>
          <w:rFonts w:ascii="Times New Roman" w:hAnsi="Times New Roman" w:cs="Times New Roman"/>
          <w:color w:val="000000"/>
          <w:sz w:val="24"/>
          <w:szCs w:val="24"/>
        </w:rPr>
        <w:t>includes 170 participants' responses.</w:t>
      </w:r>
    </w:p>
    <w:p w:rsidR="00104803"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Male respondents account for 70.39% of the whole sample group and female respondents account</w:t>
      </w:r>
      <w:r w:rsidR="00A27D42"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for 29.61%. The mean average age of the sample is 33.02 by the year they graduated and 35.03 by</w:t>
      </w:r>
      <w:r w:rsidR="00A27D42"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 xml:space="preserve">the date when the questionnaire was conducted. To provide more details, </w:t>
      </w:r>
      <w:r w:rsidR="00704897">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the average age among</w:t>
      </w:r>
      <w:r w:rsidR="00A27D42"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 xml:space="preserve">the male participants is 33.58 by their graduation year and 35.60 </w:t>
      </w:r>
      <w:r w:rsidR="00704897">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by the questionnaire date. As for</w:t>
      </w:r>
      <w:r w:rsidR="00A27D42"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 xml:space="preserve">the female respondents, the overall age mean is 31.69 </w:t>
      </w:r>
      <w:r w:rsidR="00704897">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by the year they graduated, and 33.71 by the</w:t>
      </w:r>
      <w:r w:rsidR="00A27D42"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 xml:space="preserve">date questionnaire was administered. 40% </w:t>
      </w:r>
      <w:r w:rsidR="00704897">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of the sample group works at public institutions and</w:t>
      </w:r>
      <w:r w:rsidR="00A27D42"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60% at private enterprises.</w:t>
      </w:r>
    </w:p>
    <w:p w:rsidR="00104803" w:rsidRPr="002823F9" w:rsidRDefault="00293A8E" w:rsidP="00D31EA8">
      <w:pPr>
        <w:autoSpaceDE w:val="0"/>
        <w:autoSpaceDN w:val="0"/>
        <w:adjustRightInd w:val="0"/>
        <w:spacing w:before="240" w:after="120"/>
        <w:rPr>
          <w:rFonts w:ascii="Times New Roman" w:hAnsi="Times New Roman" w:cs="Times New Roman"/>
          <w:b/>
          <w:bCs/>
          <w:color w:val="222222"/>
          <w:sz w:val="24"/>
          <w:szCs w:val="24"/>
        </w:rPr>
      </w:pPr>
      <w:r>
        <w:rPr>
          <w:rFonts w:ascii="Times New Roman" w:hAnsi="Times New Roman" w:cs="Times New Roman"/>
          <w:b/>
          <w:bCs/>
          <w:color w:val="222222"/>
          <w:sz w:val="24"/>
          <w:szCs w:val="24"/>
        </w:rPr>
        <w:t>4.4</w:t>
      </w:r>
      <w:r w:rsidR="00104803" w:rsidRPr="002823F9">
        <w:rPr>
          <w:rFonts w:ascii="Times New Roman" w:hAnsi="Times New Roman" w:cs="Times New Roman"/>
          <w:b/>
          <w:bCs/>
          <w:color w:val="222222"/>
          <w:sz w:val="24"/>
          <w:szCs w:val="24"/>
        </w:rPr>
        <w:t>. Research Hypothesis</w:t>
      </w:r>
    </w:p>
    <w:p w:rsidR="00104803" w:rsidRPr="002823F9" w:rsidRDefault="00104803" w:rsidP="00D31EA8">
      <w:pPr>
        <w:autoSpaceDE w:val="0"/>
        <w:autoSpaceDN w:val="0"/>
        <w:adjustRightInd w:val="0"/>
        <w:spacing w:before="120" w:after="0"/>
        <w:rPr>
          <w:rFonts w:ascii="Times New Roman" w:hAnsi="Times New Roman" w:cs="Times New Roman"/>
          <w:color w:val="000000"/>
          <w:sz w:val="24"/>
          <w:szCs w:val="24"/>
        </w:rPr>
      </w:pPr>
      <w:r w:rsidRPr="002823F9">
        <w:rPr>
          <w:rFonts w:ascii="Times New Roman" w:hAnsi="Times New Roman" w:cs="Times New Roman"/>
          <w:color w:val="000000"/>
          <w:sz w:val="24"/>
          <w:szCs w:val="24"/>
        </w:rPr>
        <w:t>The research h</w:t>
      </w:r>
      <w:r w:rsidR="006018D5">
        <w:rPr>
          <w:rFonts w:ascii="Times New Roman" w:hAnsi="Times New Roman" w:cs="Times New Roman"/>
          <w:color w:val="000000"/>
          <w:sz w:val="24"/>
          <w:szCs w:val="24"/>
        </w:rPr>
        <w:t>ypotheses are listed as follows:</w:t>
      </w:r>
    </w:p>
    <w:p w:rsidR="006018D5" w:rsidRDefault="00104803" w:rsidP="00D31EA8">
      <w:pPr>
        <w:autoSpaceDE w:val="0"/>
        <w:autoSpaceDN w:val="0"/>
        <w:adjustRightInd w:val="0"/>
        <w:spacing w:before="240" w:after="0"/>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H1</w:t>
      </w:r>
      <w:r w:rsidRPr="002823F9">
        <w:rPr>
          <w:rFonts w:ascii="Times New Roman" w:hAnsi="Times New Roman" w:cs="Times New Roman"/>
          <w:color w:val="000000"/>
          <w:sz w:val="24"/>
          <w:szCs w:val="24"/>
        </w:rPr>
        <w:t>:</w:t>
      </w:r>
      <w:r w:rsidR="006018D5">
        <w:rPr>
          <w:rFonts w:ascii="Times New Roman" w:hAnsi="Times New Roman" w:cs="Times New Roman"/>
          <w:color w:val="000000"/>
          <w:sz w:val="24"/>
          <w:szCs w:val="24"/>
        </w:rPr>
        <w:t xml:space="preserve"> </w:t>
      </w:r>
      <w:r w:rsidR="006018D5" w:rsidRPr="006018D5">
        <w:rPr>
          <w:rFonts w:ascii="Times New Roman" w:hAnsi="Times New Roman" w:cs="Times New Roman"/>
          <w:color w:val="000000"/>
          <w:sz w:val="24"/>
          <w:szCs w:val="24"/>
        </w:rPr>
        <w:t xml:space="preserve">There is no </w:t>
      </w:r>
      <w:r w:rsidR="006018D5">
        <w:rPr>
          <w:rFonts w:ascii="Times New Roman" w:hAnsi="Times New Roman" w:cs="Times New Roman"/>
          <w:color w:val="000000"/>
          <w:sz w:val="24"/>
          <w:szCs w:val="24"/>
        </w:rPr>
        <w:t>significant</w:t>
      </w:r>
      <w:r w:rsidR="006018D5" w:rsidRPr="006018D5">
        <w:rPr>
          <w:rFonts w:ascii="Times New Roman" w:hAnsi="Times New Roman" w:cs="Times New Roman"/>
          <w:color w:val="000000"/>
          <w:sz w:val="24"/>
          <w:szCs w:val="24"/>
        </w:rPr>
        <w:t xml:space="preserve"> effect of expectation of contribution to human capital </w:t>
      </w:r>
      <w:r w:rsidR="00386CD9">
        <w:rPr>
          <w:rFonts w:ascii="Times New Roman" w:hAnsi="Times New Roman" w:cs="Times New Roman"/>
          <w:color w:val="000000"/>
          <w:sz w:val="24"/>
          <w:szCs w:val="24"/>
        </w:rPr>
        <w:t>on</w:t>
      </w:r>
      <w:r w:rsidR="006018D5">
        <w:rPr>
          <w:rFonts w:ascii="Times New Roman" w:hAnsi="Times New Roman" w:cs="Times New Roman"/>
          <w:color w:val="000000"/>
          <w:sz w:val="24"/>
          <w:szCs w:val="24"/>
        </w:rPr>
        <w:t xml:space="preserve"> </w:t>
      </w:r>
      <w:r w:rsidR="006018D5" w:rsidRPr="006018D5">
        <w:rPr>
          <w:rFonts w:ascii="Times New Roman" w:hAnsi="Times New Roman" w:cs="Times New Roman"/>
          <w:color w:val="000000"/>
          <w:sz w:val="24"/>
          <w:szCs w:val="24"/>
        </w:rPr>
        <w:t>encouraging and recommending participation in the MBA program.</w:t>
      </w:r>
      <w:r w:rsidRPr="002823F9">
        <w:rPr>
          <w:rFonts w:ascii="Times New Roman" w:hAnsi="Times New Roman" w:cs="Times New Roman"/>
          <w:color w:val="000000"/>
          <w:sz w:val="24"/>
          <w:szCs w:val="24"/>
        </w:rPr>
        <w:t xml:space="preserve"> </w:t>
      </w:r>
    </w:p>
    <w:p w:rsidR="00386CD9" w:rsidRDefault="00386CD9" w:rsidP="00D31EA8">
      <w:pPr>
        <w:autoSpaceDE w:val="0"/>
        <w:autoSpaceDN w:val="0"/>
        <w:adjustRightInd w:val="0"/>
        <w:spacing w:before="240" w:after="0"/>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H2</w:t>
      </w:r>
      <w:r w:rsidRPr="002823F9">
        <w:rPr>
          <w:rFonts w:ascii="Times New Roman" w:hAnsi="Times New Roman" w:cs="Times New Roman"/>
          <w:color w:val="000000"/>
          <w:sz w:val="24"/>
          <w:szCs w:val="24"/>
        </w:rPr>
        <w:t xml:space="preserve">: </w:t>
      </w:r>
      <w:r w:rsidRPr="006018D5">
        <w:rPr>
          <w:rFonts w:ascii="Times New Roman" w:hAnsi="Times New Roman" w:cs="Times New Roman"/>
          <w:color w:val="000000"/>
          <w:sz w:val="24"/>
          <w:szCs w:val="24"/>
        </w:rPr>
        <w:t xml:space="preserve">There is no </w:t>
      </w:r>
      <w:r>
        <w:rPr>
          <w:rFonts w:ascii="Times New Roman" w:hAnsi="Times New Roman" w:cs="Times New Roman"/>
          <w:color w:val="000000"/>
          <w:sz w:val="24"/>
          <w:szCs w:val="24"/>
        </w:rPr>
        <w:t>significant</w:t>
      </w:r>
      <w:r w:rsidRPr="006018D5">
        <w:rPr>
          <w:rFonts w:ascii="Times New Roman" w:hAnsi="Times New Roman" w:cs="Times New Roman"/>
          <w:color w:val="000000"/>
          <w:sz w:val="24"/>
          <w:szCs w:val="24"/>
        </w:rPr>
        <w:t xml:space="preserve"> effect of </w:t>
      </w:r>
      <w:r w:rsidRPr="003B42D3">
        <w:rPr>
          <w:rFonts w:ascii="Times New Roman" w:hAnsi="Times New Roman" w:cs="Times New Roman"/>
          <w:bCs/>
          <w:color w:val="222222"/>
          <w:sz w:val="24"/>
          <w:szCs w:val="24"/>
        </w:rPr>
        <w:t>the contribution</w:t>
      </w:r>
      <w:r w:rsidRPr="006018D5">
        <w:rPr>
          <w:rFonts w:ascii="Times New Roman" w:hAnsi="Times New Roman" w:cs="Times New Roman"/>
          <w:color w:val="000000"/>
          <w:sz w:val="24"/>
          <w:szCs w:val="24"/>
        </w:rPr>
        <w:t xml:space="preserve"> </w:t>
      </w:r>
      <w:r w:rsidR="000C27CF">
        <w:rPr>
          <w:rFonts w:ascii="Times New Roman" w:hAnsi="Times New Roman" w:cs="Times New Roman"/>
          <w:color w:val="000000"/>
          <w:sz w:val="24"/>
          <w:szCs w:val="24"/>
        </w:rPr>
        <w:t xml:space="preserve">of </w:t>
      </w:r>
      <w:r w:rsidR="000C27CF" w:rsidRPr="003B42D3">
        <w:rPr>
          <w:rFonts w:ascii="Times New Roman" w:hAnsi="Times New Roman" w:cs="Times New Roman"/>
          <w:bCs/>
          <w:color w:val="222222"/>
          <w:sz w:val="24"/>
          <w:szCs w:val="24"/>
        </w:rPr>
        <w:t xml:space="preserve">workplace </w:t>
      </w:r>
      <w:r>
        <w:rPr>
          <w:rFonts w:ascii="Times New Roman" w:hAnsi="Times New Roman" w:cs="Times New Roman"/>
          <w:color w:val="000000"/>
          <w:sz w:val="24"/>
          <w:szCs w:val="24"/>
        </w:rPr>
        <w:t xml:space="preserve">on </w:t>
      </w:r>
      <w:r w:rsidRPr="006018D5">
        <w:rPr>
          <w:rFonts w:ascii="Times New Roman" w:hAnsi="Times New Roman" w:cs="Times New Roman"/>
          <w:color w:val="000000"/>
          <w:sz w:val="24"/>
          <w:szCs w:val="24"/>
        </w:rPr>
        <w:t>encouraging and recommending participation in the MBA program.</w:t>
      </w:r>
    </w:p>
    <w:p w:rsidR="00386CD9" w:rsidRDefault="00104803" w:rsidP="00D31EA8">
      <w:pPr>
        <w:autoSpaceDE w:val="0"/>
        <w:autoSpaceDN w:val="0"/>
        <w:adjustRightInd w:val="0"/>
        <w:spacing w:before="240" w:after="0"/>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H3</w:t>
      </w:r>
      <w:r w:rsidRPr="002823F9">
        <w:rPr>
          <w:rFonts w:ascii="Times New Roman" w:hAnsi="Times New Roman" w:cs="Times New Roman"/>
          <w:color w:val="000000"/>
          <w:sz w:val="24"/>
          <w:szCs w:val="24"/>
        </w:rPr>
        <w:t xml:space="preserve">: There is </w:t>
      </w:r>
      <w:r w:rsidR="00F12A6D">
        <w:rPr>
          <w:rFonts w:ascii="Times New Roman" w:hAnsi="Times New Roman" w:cs="Times New Roman"/>
          <w:color w:val="000000"/>
          <w:sz w:val="24"/>
          <w:szCs w:val="24"/>
        </w:rPr>
        <w:t>no</w:t>
      </w:r>
      <w:r w:rsidRPr="002823F9">
        <w:rPr>
          <w:rFonts w:ascii="Times New Roman" w:hAnsi="Times New Roman" w:cs="Times New Roman"/>
          <w:color w:val="000000"/>
          <w:sz w:val="24"/>
          <w:szCs w:val="24"/>
        </w:rPr>
        <w:t xml:space="preserve"> significant </w:t>
      </w:r>
      <w:r w:rsidR="00386CD9">
        <w:rPr>
          <w:rFonts w:ascii="Times New Roman" w:hAnsi="Times New Roman" w:cs="Times New Roman"/>
          <w:color w:val="000000"/>
          <w:sz w:val="24"/>
          <w:szCs w:val="24"/>
        </w:rPr>
        <w:t xml:space="preserve">effect of </w:t>
      </w:r>
      <w:r w:rsidR="00386CD9" w:rsidRPr="00386CD9">
        <w:rPr>
          <w:rFonts w:ascii="Times New Roman" w:hAnsi="Times New Roman" w:cs="Times New Roman"/>
          <w:color w:val="000000"/>
          <w:sz w:val="24"/>
          <w:szCs w:val="24"/>
        </w:rPr>
        <w:t>the contribution to human capital of participation in MBA program</w:t>
      </w:r>
      <w:r w:rsidR="00386CD9">
        <w:rPr>
          <w:rFonts w:ascii="Times New Roman" w:hAnsi="Times New Roman" w:cs="Times New Roman"/>
          <w:color w:val="000000"/>
          <w:sz w:val="24"/>
          <w:szCs w:val="24"/>
        </w:rPr>
        <w:t xml:space="preserve"> on </w:t>
      </w:r>
      <w:r w:rsidR="00386CD9" w:rsidRPr="006018D5">
        <w:rPr>
          <w:rFonts w:ascii="Times New Roman" w:hAnsi="Times New Roman" w:cs="Times New Roman"/>
          <w:color w:val="000000"/>
          <w:sz w:val="24"/>
          <w:szCs w:val="24"/>
        </w:rPr>
        <w:t>encouraging and recommending participation in the MBA program.</w:t>
      </w:r>
    </w:p>
    <w:p w:rsidR="00FB2239" w:rsidRDefault="00FB2239" w:rsidP="00D31EA8">
      <w:pPr>
        <w:spacing w:after="0"/>
        <w:jc w:val="both"/>
        <w:rPr>
          <w:rFonts w:ascii="Times New Roman" w:hAnsi="Times New Roman" w:cs="Times New Roman"/>
          <w:b/>
          <w:color w:val="000000" w:themeColor="text1"/>
          <w:sz w:val="24"/>
          <w:szCs w:val="24"/>
        </w:rPr>
      </w:pPr>
    </w:p>
    <w:p w:rsidR="00CB1192" w:rsidRPr="00CB1192" w:rsidRDefault="00CB1192" w:rsidP="00D31EA8">
      <w:pPr>
        <w:spacing w:after="0"/>
        <w:jc w:val="both"/>
        <w:rPr>
          <w:rFonts w:ascii="Times New Roman" w:hAnsi="Times New Roman" w:cs="Times New Roman"/>
          <w:b/>
          <w:color w:val="000000" w:themeColor="text1"/>
          <w:sz w:val="24"/>
          <w:szCs w:val="24"/>
        </w:rPr>
      </w:pPr>
      <w:r w:rsidRPr="00CB1192">
        <w:rPr>
          <w:rFonts w:ascii="Times New Roman" w:hAnsi="Times New Roman" w:cs="Times New Roman"/>
          <w:b/>
          <w:color w:val="000000" w:themeColor="text1"/>
          <w:sz w:val="24"/>
          <w:szCs w:val="24"/>
        </w:rPr>
        <w:lastRenderedPageBreak/>
        <w:t>4.5. Analysis of the Research Data</w:t>
      </w:r>
    </w:p>
    <w:p w:rsidR="00CB1192" w:rsidRDefault="00CB1192" w:rsidP="00D31EA8">
      <w:pPr>
        <w:jc w:val="both"/>
        <w:rPr>
          <w:rFonts w:ascii="Times New Roman" w:hAnsi="Times New Roman" w:cs="Times New Roman"/>
          <w:color w:val="000000" w:themeColor="text1"/>
          <w:sz w:val="24"/>
          <w:szCs w:val="24"/>
        </w:rPr>
      </w:pPr>
      <w:r w:rsidRPr="00CB1192">
        <w:rPr>
          <w:rFonts w:ascii="Times New Roman" w:hAnsi="Times New Roman" w:cs="Times New Roman"/>
          <w:color w:val="000000" w:themeColor="text1"/>
          <w:sz w:val="24"/>
          <w:szCs w:val="24"/>
        </w:rPr>
        <w:t>The answers to the survey questions were analyzed with the reliability of the questionnaire.</w:t>
      </w:r>
      <w:r>
        <w:rPr>
          <w:rFonts w:ascii="Times New Roman" w:hAnsi="Times New Roman" w:cs="Times New Roman"/>
          <w:color w:val="000000" w:themeColor="text1"/>
          <w:sz w:val="24"/>
          <w:szCs w:val="24"/>
        </w:rPr>
        <w:t xml:space="preserve"> </w:t>
      </w:r>
      <w:r w:rsidRPr="00CB1192">
        <w:rPr>
          <w:rFonts w:ascii="Times New Roman" w:hAnsi="Times New Roman" w:cs="Times New Roman"/>
          <w:color w:val="000000" w:themeColor="text1"/>
          <w:sz w:val="24"/>
          <w:szCs w:val="24"/>
        </w:rPr>
        <w:t>Main factors affecting research</w:t>
      </w:r>
      <w:r>
        <w:rPr>
          <w:rFonts w:ascii="Times New Roman" w:hAnsi="Times New Roman" w:cs="Times New Roman"/>
          <w:color w:val="000000" w:themeColor="text1"/>
          <w:sz w:val="24"/>
          <w:szCs w:val="24"/>
        </w:rPr>
        <w:t xml:space="preserve"> by doing factor analysis, s</w:t>
      </w:r>
      <w:r w:rsidRPr="00CB1192">
        <w:rPr>
          <w:rFonts w:ascii="Times New Roman" w:hAnsi="Times New Roman" w:cs="Times New Roman"/>
          <w:color w:val="000000" w:themeColor="text1"/>
          <w:sz w:val="24"/>
          <w:szCs w:val="24"/>
        </w:rPr>
        <w:t xml:space="preserve">ignificant effects of factors have been revealed </w:t>
      </w:r>
      <w:r>
        <w:rPr>
          <w:rFonts w:ascii="Times New Roman" w:hAnsi="Times New Roman" w:cs="Times New Roman"/>
          <w:color w:val="000000" w:themeColor="text1"/>
          <w:sz w:val="24"/>
          <w:szCs w:val="24"/>
        </w:rPr>
        <w:t>w</w:t>
      </w:r>
      <w:r w:rsidRPr="00CB1192">
        <w:rPr>
          <w:rFonts w:ascii="Times New Roman" w:hAnsi="Times New Roman" w:cs="Times New Roman"/>
          <w:color w:val="000000" w:themeColor="text1"/>
          <w:sz w:val="24"/>
          <w:szCs w:val="24"/>
        </w:rPr>
        <w:t>ith multiple regression analysis</w:t>
      </w:r>
      <w:r>
        <w:rPr>
          <w:rFonts w:ascii="Times New Roman" w:hAnsi="Times New Roman" w:cs="Times New Roman"/>
          <w:color w:val="000000" w:themeColor="text1"/>
          <w:sz w:val="24"/>
          <w:szCs w:val="24"/>
        </w:rPr>
        <w:t>, a</w:t>
      </w:r>
      <w:r w:rsidRPr="00CB1192">
        <w:rPr>
          <w:rFonts w:ascii="Times New Roman" w:hAnsi="Times New Roman" w:cs="Times New Roman"/>
          <w:color w:val="000000" w:themeColor="text1"/>
          <w:sz w:val="24"/>
          <w:szCs w:val="24"/>
        </w:rPr>
        <w:t>nd hypotheses have been tested.</w:t>
      </w:r>
      <w:r>
        <w:rPr>
          <w:rFonts w:ascii="Times New Roman" w:hAnsi="Times New Roman" w:cs="Times New Roman"/>
          <w:color w:val="000000" w:themeColor="text1"/>
          <w:sz w:val="24"/>
          <w:szCs w:val="24"/>
        </w:rPr>
        <w:t xml:space="preserve"> </w:t>
      </w:r>
      <w:r w:rsidRPr="00CB1192">
        <w:rPr>
          <w:rFonts w:ascii="Times New Roman" w:hAnsi="Times New Roman" w:cs="Times New Roman"/>
          <w:color w:val="000000" w:themeColor="text1"/>
          <w:sz w:val="24"/>
          <w:szCs w:val="24"/>
        </w:rPr>
        <w:t xml:space="preserve">IBM SPSS 21 statistical package program was used to analyze </w:t>
      </w:r>
      <w:r>
        <w:rPr>
          <w:rFonts w:ascii="Times New Roman" w:hAnsi="Times New Roman" w:cs="Times New Roman"/>
          <w:color w:val="000000" w:themeColor="text1"/>
          <w:sz w:val="24"/>
          <w:szCs w:val="24"/>
        </w:rPr>
        <w:t xml:space="preserve">the collected data. </w:t>
      </w:r>
    </w:p>
    <w:p w:rsidR="00F13862" w:rsidRPr="00F13862" w:rsidRDefault="00F13862" w:rsidP="00D31EA8">
      <w:pPr>
        <w:spacing w:after="0"/>
        <w:jc w:val="both"/>
        <w:rPr>
          <w:rFonts w:ascii="Times New Roman" w:hAnsi="Times New Roman" w:cs="Times New Roman"/>
          <w:b/>
          <w:color w:val="000000" w:themeColor="text1"/>
          <w:sz w:val="24"/>
          <w:szCs w:val="24"/>
        </w:rPr>
      </w:pPr>
      <w:r w:rsidRPr="00F13862">
        <w:rPr>
          <w:rFonts w:ascii="Times New Roman" w:hAnsi="Times New Roman" w:cs="Times New Roman"/>
          <w:b/>
          <w:color w:val="000000" w:themeColor="text1"/>
          <w:sz w:val="24"/>
          <w:szCs w:val="24"/>
        </w:rPr>
        <w:t xml:space="preserve">4.5.1. Reliability </w:t>
      </w:r>
      <w:r w:rsidR="008B270A">
        <w:rPr>
          <w:rFonts w:ascii="Times New Roman" w:hAnsi="Times New Roman" w:cs="Times New Roman"/>
          <w:b/>
          <w:color w:val="000000" w:themeColor="text1"/>
          <w:sz w:val="24"/>
          <w:szCs w:val="24"/>
        </w:rPr>
        <w:t>C</w:t>
      </w:r>
      <w:r w:rsidR="008B270A" w:rsidRPr="008B270A">
        <w:rPr>
          <w:rFonts w:ascii="Times New Roman" w:hAnsi="Times New Roman" w:cs="Times New Roman"/>
          <w:b/>
          <w:color w:val="000000" w:themeColor="text1"/>
          <w:sz w:val="24"/>
          <w:szCs w:val="24"/>
        </w:rPr>
        <w:t xml:space="preserve">oefficient </w:t>
      </w:r>
      <w:r w:rsidRPr="00F13862">
        <w:rPr>
          <w:rFonts w:ascii="Times New Roman" w:hAnsi="Times New Roman" w:cs="Times New Roman"/>
          <w:b/>
          <w:color w:val="000000" w:themeColor="text1"/>
          <w:sz w:val="24"/>
          <w:szCs w:val="24"/>
        </w:rPr>
        <w:t>Value</w:t>
      </w:r>
    </w:p>
    <w:p w:rsidR="00F13862" w:rsidRPr="00F13862" w:rsidRDefault="00F13862" w:rsidP="00D31EA8">
      <w:pPr>
        <w:spacing w:after="0"/>
        <w:jc w:val="both"/>
        <w:rPr>
          <w:rFonts w:ascii="Times New Roman" w:hAnsi="Times New Roman" w:cs="Times New Roman"/>
          <w:color w:val="000000" w:themeColor="text1"/>
          <w:sz w:val="24"/>
          <w:szCs w:val="24"/>
        </w:rPr>
      </w:pPr>
      <w:r w:rsidRPr="00F13862">
        <w:rPr>
          <w:rFonts w:ascii="Times New Roman" w:hAnsi="Times New Roman" w:cs="Times New Roman"/>
          <w:color w:val="000000" w:themeColor="text1"/>
          <w:sz w:val="24"/>
          <w:szCs w:val="24"/>
        </w:rPr>
        <w:t>According to the calculation of the reliability of the questionnaire, the internal reliability</w:t>
      </w:r>
      <w:r>
        <w:rPr>
          <w:rFonts w:ascii="Times New Roman" w:hAnsi="Times New Roman" w:cs="Times New Roman"/>
          <w:color w:val="000000" w:themeColor="text1"/>
          <w:sz w:val="24"/>
          <w:szCs w:val="24"/>
        </w:rPr>
        <w:t xml:space="preserve"> (consistency) </w:t>
      </w:r>
      <w:r w:rsidRPr="00F13862">
        <w:rPr>
          <w:rFonts w:ascii="Times New Roman" w:hAnsi="Times New Roman" w:cs="Times New Roman"/>
          <w:color w:val="000000" w:themeColor="text1"/>
          <w:sz w:val="24"/>
          <w:szCs w:val="24"/>
        </w:rPr>
        <w:t>coefficient (Cronbach's Alpha) of the scale was found to be 80.9%.</w:t>
      </w:r>
      <w:r w:rsidR="008B270A">
        <w:rPr>
          <w:rFonts w:ascii="Times New Roman" w:hAnsi="Times New Roman" w:cs="Times New Roman"/>
          <w:color w:val="000000" w:themeColor="text1"/>
          <w:sz w:val="24"/>
          <w:szCs w:val="24"/>
        </w:rPr>
        <w:t xml:space="preserve"> </w:t>
      </w:r>
      <w:r w:rsidRPr="00F13862">
        <w:rPr>
          <w:rFonts w:ascii="Times New Roman" w:hAnsi="Times New Roman" w:cs="Times New Roman"/>
          <w:color w:val="000000" w:themeColor="text1"/>
          <w:sz w:val="24"/>
          <w:szCs w:val="24"/>
        </w:rPr>
        <w:t xml:space="preserve">Values between 0.8 and 1 according to Alpha </w:t>
      </w:r>
      <w:r w:rsidR="008B270A">
        <w:rPr>
          <w:rFonts w:ascii="Times New Roman" w:hAnsi="Times New Roman" w:cs="Times New Roman"/>
          <w:color w:val="000000" w:themeColor="text1"/>
          <w:sz w:val="24"/>
          <w:szCs w:val="24"/>
        </w:rPr>
        <w:t xml:space="preserve">value </w:t>
      </w:r>
      <w:r w:rsidRPr="00F13862">
        <w:rPr>
          <w:rFonts w:ascii="Times New Roman" w:hAnsi="Times New Roman" w:cs="Times New Roman"/>
          <w:color w:val="000000" w:themeColor="text1"/>
          <w:sz w:val="24"/>
          <w:szCs w:val="24"/>
        </w:rPr>
        <w:t>indicate that the scale is highly reliable. (Akgül ve Çevik 2003; 435-436)</w:t>
      </w:r>
    </w:p>
    <w:p w:rsidR="00F13862" w:rsidRPr="00F13862" w:rsidRDefault="00F13862" w:rsidP="00D31EA8">
      <w:pPr>
        <w:autoSpaceDE w:val="0"/>
        <w:autoSpaceDN w:val="0"/>
        <w:adjustRightInd w:val="0"/>
        <w:spacing w:before="120" w:after="0"/>
        <w:jc w:val="both"/>
        <w:rPr>
          <w:rFonts w:ascii="Times New Roman" w:hAnsi="Times New Roman" w:cs="Times New Roman"/>
          <w:i/>
          <w:iCs/>
          <w:color w:val="000000"/>
          <w:sz w:val="24"/>
          <w:szCs w:val="24"/>
        </w:rPr>
      </w:pPr>
      <w:r>
        <w:rPr>
          <w:rFonts w:ascii="Times New Roman" w:hAnsi="Times New Roman" w:cs="Times New Roman"/>
          <w:color w:val="000000"/>
          <w:sz w:val="24"/>
          <w:szCs w:val="24"/>
        </w:rPr>
        <w:t>Th</w:t>
      </w:r>
      <w:r w:rsidRPr="002823F9">
        <w:rPr>
          <w:rFonts w:ascii="Times New Roman" w:hAnsi="Times New Roman" w:cs="Times New Roman"/>
          <w:color w:val="000000"/>
          <w:sz w:val="24"/>
          <w:szCs w:val="24"/>
        </w:rPr>
        <w:t>e findings derived from the questionnaire and their analysis are provided below as follows;</w:t>
      </w:r>
    </w:p>
    <w:p w:rsidR="00104803" w:rsidRPr="002823F9" w:rsidRDefault="008B270A" w:rsidP="00D31EA8">
      <w:pPr>
        <w:autoSpaceDE w:val="0"/>
        <w:autoSpaceDN w:val="0"/>
        <w:adjustRightInd w:val="0"/>
        <w:spacing w:before="240" w:after="120"/>
        <w:jc w:val="both"/>
        <w:rPr>
          <w:rFonts w:ascii="Times New Roman" w:hAnsi="Times New Roman" w:cs="Times New Roman"/>
          <w:b/>
          <w:bCs/>
          <w:color w:val="222222"/>
          <w:sz w:val="24"/>
          <w:szCs w:val="24"/>
        </w:rPr>
      </w:pPr>
      <w:r>
        <w:rPr>
          <w:rFonts w:ascii="Times New Roman" w:hAnsi="Times New Roman" w:cs="Times New Roman"/>
          <w:b/>
          <w:bCs/>
          <w:color w:val="222222"/>
          <w:sz w:val="24"/>
          <w:szCs w:val="24"/>
        </w:rPr>
        <w:t>4.5</w:t>
      </w:r>
      <w:r w:rsidR="00104803" w:rsidRPr="002823F9">
        <w:rPr>
          <w:rFonts w:ascii="Times New Roman" w:hAnsi="Times New Roman" w:cs="Times New Roman"/>
          <w:b/>
          <w:bCs/>
          <w:color w:val="222222"/>
          <w:sz w:val="24"/>
          <w:szCs w:val="24"/>
        </w:rPr>
        <w:t>.1.</w:t>
      </w:r>
      <w:r w:rsidR="00293A8E">
        <w:rPr>
          <w:rFonts w:ascii="Times New Roman" w:hAnsi="Times New Roman" w:cs="Times New Roman"/>
          <w:b/>
          <w:bCs/>
          <w:color w:val="222222"/>
          <w:sz w:val="24"/>
          <w:szCs w:val="24"/>
        </w:rPr>
        <w:t>1.</w:t>
      </w:r>
      <w:r w:rsidR="005641EC">
        <w:rPr>
          <w:rFonts w:ascii="Times New Roman" w:hAnsi="Times New Roman" w:cs="Times New Roman"/>
          <w:b/>
          <w:bCs/>
          <w:color w:val="222222"/>
          <w:sz w:val="24"/>
          <w:szCs w:val="24"/>
        </w:rPr>
        <w:t xml:space="preserve"> Impact of the d</w:t>
      </w:r>
      <w:r w:rsidR="00104803" w:rsidRPr="002823F9">
        <w:rPr>
          <w:rFonts w:ascii="Times New Roman" w:hAnsi="Times New Roman" w:cs="Times New Roman"/>
          <w:b/>
          <w:bCs/>
          <w:color w:val="222222"/>
          <w:sz w:val="24"/>
          <w:szCs w:val="24"/>
        </w:rPr>
        <w:t>ecision to do MBA on Future Career Plans and Higher Income</w:t>
      </w:r>
      <w:r w:rsidR="00EB1AB1" w:rsidRPr="002823F9">
        <w:rPr>
          <w:rFonts w:ascii="Times New Roman" w:hAnsi="Times New Roman" w:cs="Times New Roman"/>
          <w:b/>
          <w:bCs/>
          <w:color w:val="222222"/>
          <w:sz w:val="24"/>
          <w:szCs w:val="24"/>
        </w:rPr>
        <w:t xml:space="preserve"> </w:t>
      </w:r>
      <w:r w:rsidR="00104803" w:rsidRPr="002823F9">
        <w:rPr>
          <w:rFonts w:ascii="Times New Roman" w:hAnsi="Times New Roman" w:cs="Times New Roman"/>
          <w:b/>
          <w:bCs/>
          <w:color w:val="000000"/>
          <w:sz w:val="24"/>
          <w:szCs w:val="24"/>
        </w:rPr>
        <w:t>Expectation</w:t>
      </w:r>
    </w:p>
    <w:p w:rsidR="00EB1AB1"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82.4% of the participants state that their career plans contributed to their decision to pursue</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an MBA and 17.6% of the whole group state that they commenced the program without</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taking their career plans into consideration as a determinant factor.</w:t>
      </w:r>
    </w:p>
    <w:p w:rsidR="00EB1AB1"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46.5% of the graduates state that the expected increase in their income level had no effect</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on their decision, while 53.5% of the participants consider an increase in their income level</w:t>
      </w:r>
      <w:r w:rsidR="00EB1AB1" w:rsidRPr="002823F9">
        <w:rPr>
          <w:rFonts w:ascii="Times New Roman" w:hAnsi="Times New Roman" w:cs="Times New Roman"/>
          <w:color w:val="000000"/>
          <w:sz w:val="24"/>
          <w:szCs w:val="24"/>
        </w:rPr>
        <w:t xml:space="preserve"> </w:t>
      </w:r>
      <w:r w:rsidR="00704897">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as an impetus.</w:t>
      </w:r>
    </w:p>
    <w:p w:rsidR="00104803"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When the answers to both questions are analyzed, the respondents’ main driving force for</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 xml:space="preserve">pursuing an MBA is the program’s potential contribution to their future career plans. </w:t>
      </w:r>
      <w:r w:rsidR="00704897">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An</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increase in income level does not have an overly significant impact on their decision</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making process.</w:t>
      </w:r>
    </w:p>
    <w:p w:rsidR="00104803" w:rsidRPr="002823F9" w:rsidRDefault="008B270A" w:rsidP="00D31EA8">
      <w:pPr>
        <w:autoSpaceDE w:val="0"/>
        <w:autoSpaceDN w:val="0"/>
        <w:adjustRightInd w:val="0"/>
        <w:spacing w:before="240" w:after="120"/>
        <w:rPr>
          <w:rFonts w:ascii="Times New Roman" w:hAnsi="Times New Roman" w:cs="Times New Roman"/>
          <w:b/>
          <w:bCs/>
          <w:color w:val="222222"/>
          <w:sz w:val="24"/>
          <w:szCs w:val="24"/>
        </w:rPr>
      </w:pPr>
      <w:r>
        <w:rPr>
          <w:rFonts w:ascii="Times New Roman" w:hAnsi="Times New Roman" w:cs="Times New Roman"/>
          <w:b/>
          <w:bCs/>
          <w:color w:val="222222"/>
          <w:sz w:val="24"/>
          <w:szCs w:val="24"/>
        </w:rPr>
        <w:t>4.5</w:t>
      </w:r>
      <w:r w:rsidR="00104803" w:rsidRPr="002823F9">
        <w:rPr>
          <w:rFonts w:ascii="Times New Roman" w:hAnsi="Times New Roman" w:cs="Times New Roman"/>
          <w:b/>
          <w:bCs/>
          <w:color w:val="222222"/>
          <w:sz w:val="24"/>
          <w:szCs w:val="24"/>
        </w:rPr>
        <w:t>.</w:t>
      </w:r>
      <w:r w:rsidR="00293A8E">
        <w:rPr>
          <w:rFonts w:ascii="Times New Roman" w:hAnsi="Times New Roman" w:cs="Times New Roman"/>
          <w:b/>
          <w:bCs/>
          <w:color w:val="222222"/>
          <w:sz w:val="24"/>
          <w:szCs w:val="24"/>
        </w:rPr>
        <w:t>1.</w:t>
      </w:r>
      <w:r w:rsidR="00104803" w:rsidRPr="002823F9">
        <w:rPr>
          <w:rFonts w:ascii="Times New Roman" w:hAnsi="Times New Roman" w:cs="Times New Roman"/>
          <w:b/>
          <w:bCs/>
          <w:color w:val="222222"/>
          <w:sz w:val="24"/>
          <w:szCs w:val="24"/>
        </w:rPr>
        <w:t xml:space="preserve">2. Contribution of Workplace in the </w:t>
      </w:r>
      <w:r w:rsidR="00B851FC">
        <w:rPr>
          <w:rFonts w:ascii="Times New Roman" w:hAnsi="Times New Roman" w:cs="Times New Roman"/>
          <w:b/>
          <w:bCs/>
          <w:color w:val="222222"/>
          <w:sz w:val="24"/>
          <w:szCs w:val="24"/>
        </w:rPr>
        <w:t>P</w:t>
      </w:r>
      <w:r w:rsidR="00104803" w:rsidRPr="002823F9">
        <w:rPr>
          <w:rFonts w:ascii="Times New Roman" w:hAnsi="Times New Roman" w:cs="Times New Roman"/>
          <w:b/>
          <w:bCs/>
          <w:color w:val="222222"/>
          <w:sz w:val="24"/>
          <w:szCs w:val="24"/>
        </w:rPr>
        <w:t xml:space="preserve">articipants’ </w:t>
      </w:r>
      <w:r w:rsidR="00B851FC">
        <w:rPr>
          <w:rFonts w:ascii="Times New Roman" w:hAnsi="Times New Roman" w:cs="Times New Roman"/>
          <w:b/>
          <w:bCs/>
          <w:color w:val="222222"/>
          <w:sz w:val="24"/>
          <w:szCs w:val="24"/>
        </w:rPr>
        <w:t>D</w:t>
      </w:r>
      <w:r w:rsidR="00104803" w:rsidRPr="002823F9">
        <w:rPr>
          <w:rFonts w:ascii="Times New Roman" w:hAnsi="Times New Roman" w:cs="Times New Roman"/>
          <w:b/>
          <w:bCs/>
          <w:color w:val="222222"/>
          <w:sz w:val="24"/>
          <w:szCs w:val="24"/>
        </w:rPr>
        <w:t xml:space="preserve">ecision </w:t>
      </w:r>
      <w:r w:rsidR="00B851FC">
        <w:rPr>
          <w:rFonts w:ascii="Times New Roman" w:hAnsi="Times New Roman" w:cs="Times New Roman"/>
          <w:b/>
          <w:bCs/>
          <w:color w:val="222222"/>
          <w:sz w:val="24"/>
          <w:szCs w:val="24"/>
        </w:rPr>
        <w:t>M</w:t>
      </w:r>
      <w:r w:rsidR="00104803" w:rsidRPr="002823F9">
        <w:rPr>
          <w:rFonts w:ascii="Times New Roman" w:hAnsi="Times New Roman" w:cs="Times New Roman"/>
          <w:b/>
          <w:bCs/>
          <w:color w:val="222222"/>
          <w:sz w:val="24"/>
          <w:szCs w:val="24"/>
        </w:rPr>
        <w:t>aking on MBA</w:t>
      </w:r>
      <w:r w:rsidR="00EB1AB1" w:rsidRPr="002823F9">
        <w:rPr>
          <w:rFonts w:ascii="Times New Roman" w:hAnsi="Times New Roman" w:cs="Times New Roman"/>
          <w:b/>
          <w:bCs/>
          <w:color w:val="222222"/>
          <w:sz w:val="24"/>
          <w:szCs w:val="24"/>
        </w:rPr>
        <w:t xml:space="preserve"> </w:t>
      </w:r>
      <w:r w:rsidR="00B851FC">
        <w:rPr>
          <w:rFonts w:ascii="Times New Roman" w:hAnsi="Times New Roman" w:cs="Times New Roman"/>
          <w:b/>
          <w:bCs/>
          <w:color w:val="000000"/>
          <w:sz w:val="24"/>
          <w:szCs w:val="24"/>
        </w:rPr>
        <w:t>P</w:t>
      </w:r>
      <w:r w:rsidR="00EB1AB1" w:rsidRPr="002823F9">
        <w:rPr>
          <w:rFonts w:ascii="Times New Roman" w:hAnsi="Times New Roman" w:cs="Times New Roman"/>
          <w:b/>
          <w:bCs/>
          <w:color w:val="000000"/>
          <w:sz w:val="24"/>
          <w:szCs w:val="24"/>
        </w:rPr>
        <w:t>rogram</w:t>
      </w:r>
    </w:p>
    <w:p w:rsidR="00EB1AB1"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46.5% of the participants said that the institutions they work for contributed to their MBA</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education, while 53.5% of the group stated that they had no institutional contribution to</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their education.</w:t>
      </w:r>
    </w:p>
    <w:p w:rsidR="00104803"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When these mentioned rates are investigated, there is no certain trend observable. This</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result implies that there exists a need to increase the firms/institutions’ awareness of</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 xml:space="preserve">fostering </w:t>
      </w:r>
      <w:r w:rsidR="000334D4">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the quality of human capital.</w:t>
      </w:r>
    </w:p>
    <w:p w:rsidR="00104803" w:rsidRPr="002823F9" w:rsidRDefault="008B270A" w:rsidP="00D31EA8">
      <w:pPr>
        <w:autoSpaceDE w:val="0"/>
        <w:autoSpaceDN w:val="0"/>
        <w:adjustRightInd w:val="0"/>
        <w:spacing w:before="240" w:after="120"/>
        <w:rPr>
          <w:rFonts w:ascii="Times New Roman" w:hAnsi="Times New Roman" w:cs="Times New Roman"/>
          <w:b/>
          <w:bCs/>
          <w:color w:val="222222"/>
          <w:sz w:val="24"/>
          <w:szCs w:val="24"/>
        </w:rPr>
      </w:pPr>
      <w:r>
        <w:rPr>
          <w:rFonts w:ascii="Times New Roman" w:hAnsi="Times New Roman" w:cs="Times New Roman"/>
          <w:b/>
          <w:bCs/>
          <w:color w:val="222222"/>
          <w:sz w:val="24"/>
          <w:szCs w:val="24"/>
        </w:rPr>
        <w:t>4.5</w:t>
      </w:r>
      <w:r w:rsidR="00104803" w:rsidRPr="002823F9">
        <w:rPr>
          <w:rFonts w:ascii="Times New Roman" w:hAnsi="Times New Roman" w:cs="Times New Roman"/>
          <w:b/>
          <w:bCs/>
          <w:color w:val="222222"/>
          <w:sz w:val="24"/>
          <w:szCs w:val="24"/>
        </w:rPr>
        <w:t>.</w:t>
      </w:r>
      <w:r w:rsidR="00293A8E">
        <w:rPr>
          <w:rFonts w:ascii="Times New Roman" w:hAnsi="Times New Roman" w:cs="Times New Roman"/>
          <w:b/>
          <w:bCs/>
          <w:color w:val="222222"/>
          <w:sz w:val="24"/>
          <w:szCs w:val="24"/>
        </w:rPr>
        <w:t>1.</w:t>
      </w:r>
      <w:r w:rsidR="00104803" w:rsidRPr="002823F9">
        <w:rPr>
          <w:rFonts w:ascii="Times New Roman" w:hAnsi="Times New Roman" w:cs="Times New Roman"/>
          <w:b/>
          <w:bCs/>
          <w:color w:val="222222"/>
          <w:sz w:val="24"/>
          <w:szCs w:val="24"/>
        </w:rPr>
        <w:t>3. Impact of MBA on Personal Development</w:t>
      </w:r>
    </w:p>
    <w:p w:rsidR="00EB1AB1"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68.8% of the participants emphasized that their MBA training has a positive influence to</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improve their personal development, and the same percentage of the respondents mentioned</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that their self-esteem has been encouraged through the education they have received.</w:t>
      </w:r>
    </w:p>
    <w:p w:rsidR="00293A8E"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When the high rate of positive responses to the question is taken into consideration, one</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concludes that the participants have already realized the positive output of the program on</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their personal development.</w:t>
      </w:r>
    </w:p>
    <w:p w:rsidR="00104803" w:rsidRPr="002823F9" w:rsidRDefault="008B270A" w:rsidP="00D31EA8">
      <w:pPr>
        <w:autoSpaceDE w:val="0"/>
        <w:autoSpaceDN w:val="0"/>
        <w:adjustRightInd w:val="0"/>
        <w:spacing w:before="240" w:after="120"/>
        <w:rPr>
          <w:rFonts w:ascii="Times New Roman" w:hAnsi="Times New Roman" w:cs="Times New Roman"/>
          <w:b/>
          <w:bCs/>
          <w:color w:val="222222"/>
          <w:sz w:val="24"/>
          <w:szCs w:val="24"/>
        </w:rPr>
      </w:pPr>
      <w:r>
        <w:rPr>
          <w:rFonts w:ascii="Times New Roman" w:hAnsi="Times New Roman" w:cs="Times New Roman"/>
          <w:b/>
          <w:bCs/>
          <w:color w:val="222222"/>
          <w:sz w:val="24"/>
          <w:szCs w:val="24"/>
        </w:rPr>
        <w:lastRenderedPageBreak/>
        <w:t>4.5</w:t>
      </w:r>
      <w:r w:rsidR="00104803" w:rsidRPr="002823F9">
        <w:rPr>
          <w:rFonts w:ascii="Times New Roman" w:hAnsi="Times New Roman" w:cs="Times New Roman"/>
          <w:b/>
          <w:bCs/>
          <w:color w:val="222222"/>
          <w:sz w:val="24"/>
          <w:szCs w:val="24"/>
        </w:rPr>
        <w:t>.</w:t>
      </w:r>
      <w:r w:rsidR="00293A8E">
        <w:rPr>
          <w:rFonts w:ascii="Times New Roman" w:hAnsi="Times New Roman" w:cs="Times New Roman"/>
          <w:b/>
          <w:bCs/>
          <w:color w:val="222222"/>
          <w:sz w:val="24"/>
          <w:szCs w:val="24"/>
        </w:rPr>
        <w:t>1.</w:t>
      </w:r>
      <w:r w:rsidR="00104803" w:rsidRPr="002823F9">
        <w:rPr>
          <w:rFonts w:ascii="Times New Roman" w:hAnsi="Times New Roman" w:cs="Times New Roman"/>
          <w:b/>
          <w:bCs/>
          <w:color w:val="222222"/>
          <w:sz w:val="24"/>
          <w:szCs w:val="24"/>
        </w:rPr>
        <w:t>4. Impact of MBA on Motivation towards Work</w:t>
      </w:r>
    </w:p>
    <w:p w:rsidR="00104803"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Only 15.3% of the MBA graduates said that the program did not have any effect on their</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motivation level towards work. As the majority (84.7%) of the respondents believed that</w:t>
      </w:r>
      <w:r w:rsidR="00EB1AB1" w:rsidRPr="002823F9">
        <w:rPr>
          <w:rFonts w:ascii="Times New Roman" w:hAnsi="Times New Roman" w:cs="Times New Roman"/>
          <w:color w:val="000000"/>
          <w:sz w:val="24"/>
          <w:szCs w:val="24"/>
        </w:rPr>
        <w:t xml:space="preserve"> </w:t>
      </w:r>
      <w:r w:rsidR="000334D4">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the program increased their motivation at work, one may thus conclude that MBA increases</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people’s professional motivation.</w:t>
      </w:r>
    </w:p>
    <w:p w:rsidR="00104803" w:rsidRPr="002823F9" w:rsidRDefault="008B270A" w:rsidP="00D31EA8">
      <w:pPr>
        <w:autoSpaceDE w:val="0"/>
        <w:autoSpaceDN w:val="0"/>
        <w:adjustRightInd w:val="0"/>
        <w:spacing w:before="240" w:after="120"/>
        <w:rPr>
          <w:rFonts w:ascii="Times New Roman" w:hAnsi="Times New Roman" w:cs="Times New Roman"/>
          <w:b/>
          <w:bCs/>
          <w:color w:val="222222"/>
          <w:sz w:val="24"/>
          <w:szCs w:val="24"/>
        </w:rPr>
      </w:pPr>
      <w:r>
        <w:rPr>
          <w:rFonts w:ascii="Times New Roman" w:hAnsi="Times New Roman" w:cs="Times New Roman"/>
          <w:b/>
          <w:bCs/>
          <w:color w:val="222222"/>
          <w:sz w:val="24"/>
          <w:szCs w:val="24"/>
        </w:rPr>
        <w:t>4.5</w:t>
      </w:r>
      <w:r w:rsidR="00104803" w:rsidRPr="002823F9">
        <w:rPr>
          <w:rFonts w:ascii="Times New Roman" w:hAnsi="Times New Roman" w:cs="Times New Roman"/>
          <w:b/>
          <w:bCs/>
          <w:color w:val="222222"/>
          <w:sz w:val="24"/>
          <w:szCs w:val="24"/>
        </w:rPr>
        <w:t>.</w:t>
      </w:r>
      <w:r w:rsidR="00293A8E">
        <w:rPr>
          <w:rFonts w:ascii="Times New Roman" w:hAnsi="Times New Roman" w:cs="Times New Roman"/>
          <w:b/>
          <w:bCs/>
          <w:color w:val="222222"/>
          <w:sz w:val="24"/>
          <w:szCs w:val="24"/>
        </w:rPr>
        <w:t>1.</w:t>
      </w:r>
      <w:r w:rsidR="00104803" w:rsidRPr="002823F9">
        <w:rPr>
          <w:rFonts w:ascii="Times New Roman" w:hAnsi="Times New Roman" w:cs="Times New Roman"/>
          <w:b/>
          <w:bCs/>
          <w:color w:val="222222"/>
          <w:sz w:val="24"/>
          <w:szCs w:val="24"/>
        </w:rPr>
        <w:t>5. Impact of MBA on One’s Career</w:t>
      </w:r>
    </w:p>
    <w:p w:rsidR="00EB1AB1"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33.5% of the participants stated that an MBA had no positive effect on their career, while</w:t>
      </w:r>
      <w:r w:rsidR="00EB1AB1" w:rsidRPr="002823F9">
        <w:rPr>
          <w:rFonts w:ascii="Times New Roman" w:hAnsi="Times New Roman" w:cs="Times New Roman"/>
          <w:color w:val="000000"/>
          <w:sz w:val="24"/>
          <w:szCs w:val="24"/>
        </w:rPr>
        <w:t xml:space="preserve"> </w:t>
      </w:r>
      <w:r w:rsidR="00704897">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the rest (66.5%) claimed that it contributed positively to their career.</w:t>
      </w:r>
      <w:r w:rsidR="00EB1AB1" w:rsidRPr="002823F9">
        <w:rPr>
          <w:rFonts w:ascii="Times New Roman" w:hAnsi="Times New Roman" w:cs="Times New Roman"/>
          <w:color w:val="000000"/>
          <w:sz w:val="24"/>
          <w:szCs w:val="24"/>
        </w:rPr>
        <w:t xml:space="preserve"> </w:t>
      </w:r>
    </w:p>
    <w:p w:rsidR="00104803"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When only the participants whose career plans are taken into account in their decision are</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considered, 80.7% of this group has attained their career plans according to the study. This</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rate infers that an MBA is successful assisting to the graduates to realize their future career</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plans.</w:t>
      </w:r>
    </w:p>
    <w:p w:rsidR="00104803" w:rsidRPr="002823F9" w:rsidRDefault="008B270A" w:rsidP="00D31EA8">
      <w:pPr>
        <w:autoSpaceDE w:val="0"/>
        <w:autoSpaceDN w:val="0"/>
        <w:adjustRightInd w:val="0"/>
        <w:spacing w:before="240" w:after="120"/>
        <w:rPr>
          <w:rFonts w:ascii="Times New Roman" w:hAnsi="Times New Roman" w:cs="Times New Roman"/>
          <w:b/>
          <w:bCs/>
          <w:color w:val="222222"/>
          <w:sz w:val="24"/>
          <w:szCs w:val="24"/>
        </w:rPr>
      </w:pPr>
      <w:r>
        <w:rPr>
          <w:rFonts w:ascii="Times New Roman" w:hAnsi="Times New Roman" w:cs="Times New Roman"/>
          <w:b/>
          <w:bCs/>
          <w:color w:val="222222"/>
          <w:sz w:val="24"/>
          <w:szCs w:val="24"/>
        </w:rPr>
        <w:t>4.5</w:t>
      </w:r>
      <w:r w:rsidR="00104803" w:rsidRPr="002823F9">
        <w:rPr>
          <w:rFonts w:ascii="Times New Roman" w:hAnsi="Times New Roman" w:cs="Times New Roman"/>
          <w:b/>
          <w:bCs/>
          <w:color w:val="222222"/>
          <w:sz w:val="24"/>
          <w:szCs w:val="24"/>
        </w:rPr>
        <w:t>.</w:t>
      </w:r>
      <w:r w:rsidR="00293A8E">
        <w:rPr>
          <w:rFonts w:ascii="Times New Roman" w:hAnsi="Times New Roman" w:cs="Times New Roman"/>
          <w:b/>
          <w:bCs/>
          <w:color w:val="222222"/>
          <w:sz w:val="24"/>
          <w:szCs w:val="24"/>
        </w:rPr>
        <w:t>1.</w:t>
      </w:r>
      <w:r w:rsidR="00104803" w:rsidRPr="002823F9">
        <w:rPr>
          <w:rFonts w:ascii="Times New Roman" w:hAnsi="Times New Roman" w:cs="Times New Roman"/>
          <w:b/>
          <w:bCs/>
          <w:color w:val="222222"/>
          <w:sz w:val="24"/>
          <w:szCs w:val="24"/>
        </w:rPr>
        <w:t>6. S</w:t>
      </w:r>
      <w:r w:rsidR="00000D55">
        <w:rPr>
          <w:rFonts w:ascii="Times New Roman" w:hAnsi="Times New Roman" w:cs="Times New Roman"/>
          <w:b/>
          <w:bCs/>
          <w:color w:val="222222"/>
          <w:sz w:val="24"/>
          <w:szCs w:val="24"/>
        </w:rPr>
        <w:t>uccess Level of MBA Program to M</w:t>
      </w:r>
      <w:r w:rsidR="00104803" w:rsidRPr="002823F9">
        <w:rPr>
          <w:rFonts w:ascii="Times New Roman" w:hAnsi="Times New Roman" w:cs="Times New Roman"/>
          <w:b/>
          <w:bCs/>
          <w:color w:val="222222"/>
          <w:sz w:val="24"/>
          <w:szCs w:val="24"/>
        </w:rPr>
        <w:t xml:space="preserve">eet </w:t>
      </w:r>
      <w:r w:rsidR="00000D55">
        <w:rPr>
          <w:rFonts w:ascii="Times New Roman" w:hAnsi="Times New Roman" w:cs="Times New Roman"/>
          <w:b/>
          <w:bCs/>
          <w:color w:val="222222"/>
          <w:sz w:val="24"/>
          <w:szCs w:val="24"/>
        </w:rPr>
        <w:t>E</w:t>
      </w:r>
      <w:r w:rsidR="00104803" w:rsidRPr="002823F9">
        <w:rPr>
          <w:rFonts w:ascii="Times New Roman" w:hAnsi="Times New Roman" w:cs="Times New Roman"/>
          <w:b/>
          <w:bCs/>
          <w:color w:val="222222"/>
          <w:sz w:val="24"/>
          <w:szCs w:val="24"/>
        </w:rPr>
        <w:t>xpectations</w:t>
      </w:r>
    </w:p>
    <w:p w:rsidR="00EB1AB1"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Only 12.9% of the respondents in the whole group believe that the MBA program did not</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meet their expectations.</w:t>
      </w:r>
    </w:p>
    <w:p w:rsidR="00992701"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The ones who state their expectations are met at a medium-level is 42.9%, while the</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percentage of the ones believing that the program met their expectations to a high level of</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success is 44.1%. From the perspective of the success level of MBA programs only, an</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MBA program meets the expectations.</w:t>
      </w:r>
    </w:p>
    <w:p w:rsidR="00104803" w:rsidRPr="002823F9" w:rsidRDefault="008B270A" w:rsidP="00D31EA8">
      <w:pPr>
        <w:autoSpaceDE w:val="0"/>
        <w:autoSpaceDN w:val="0"/>
        <w:adjustRightInd w:val="0"/>
        <w:spacing w:before="240" w:after="120"/>
        <w:rPr>
          <w:rFonts w:ascii="Times New Roman" w:hAnsi="Times New Roman" w:cs="Times New Roman"/>
          <w:b/>
          <w:bCs/>
          <w:color w:val="222222"/>
          <w:sz w:val="24"/>
          <w:szCs w:val="24"/>
        </w:rPr>
      </w:pPr>
      <w:r>
        <w:rPr>
          <w:rFonts w:ascii="Times New Roman" w:hAnsi="Times New Roman" w:cs="Times New Roman"/>
          <w:b/>
          <w:bCs/>
          <w:color w:val="222222"/>
          <w:sz w:val="24"/>
          <w:szCs w:val="24"/>
        </w:rPr>
        <w:t>4.5</w:t>
      </w:r>
      <w:r w:rsidR="00104803" w:rsidRPr="002823F9">
        <w:rPr>
          <w:rFonts w:ascii="Times New Roman" w:hAnsi="Times New Roman" w:cs="Times New Roman"/>
          <w:b/>
          <w:bCs/>
          <w:color w:val="222222"/>
          <w:sz w:val="24"/>
          <w:szCs w:val="24"/>
        </w:rPr>
        <w:t>.</w:t>
      </w:r>
      <w:r w:rsidR="00293A8E">
        <w:rPr>
          <w:rFonts w:ascii="Times New Roman" w:hAnsi="Times New Roman" w:cs="Times New Roman"/>
          <w:b/>
          <w:bCs/>
          <w:color w:val="222222"/>
          <w:sz w:val="24"/>
          <w:szCs w:val="24"/>
        </w:rPr>
        <w:t>1.</w:t>
      </w:r>
      <w:r w:rsidR="00104803" w:rsidRPr="002823F9">
        <w:rPr>
          <w:rFonts w:ascii="Times New Roman" w:hAnsi="Times New Roman" w:cs="Times New Roman"/>
          <w:b/>
          <w:bCs/>
          <w:color w:val="222222"/>
          <w:sz w:val="24"/>
          <w:szCs w:val="24"/>
        </w:rPr>
        <w:t xml:space="preserve">7. Impact of MBA on Recognition at </w:t>
      </w:r>
      <w:r w:rsidR="000C27CF">
        <w:rPr>
          <w:rFonts w:ascii="Times New Roman" w:hAnsi="Times New Roman" w:cs="Times New Roman"/>
          <w:b/>
          <w:bCs/>
          <w:color w:val="222222"/>
          <w:sz w:val="24"/>
          <w:szCs w:val="24"/>
        </w:rPr>
        <w:t>W</w:t>
      </w:r>
      <w:r w:rsidR="00104803" w:rsidRPr="002823F9">
        <w:rPr>
          <w:rFonts w:ascii="Times New Roman" w:hAnsi="Times New Roman" w:cs="Times New Roman"/>
          <w:b/>
          <w:bCs/>
          <w:color w:val="222222"/>
          <w:sz w:val="24"/>
          <w:szCs w:val="24"/>
        </w:rPr>
        <w:t>ork</w:t>
      </w:r>
      <w:r w:rsidR="000C27CF">
        <w:rPr>
          <w:rFonts w:ascii="Times New Roman" w:hAnsi="Times New Roman" w:cs="Times New Roman"/>
          <w:b/>
          <w:bCs/>
          <w:color w:val="222222"/>
          <w:sz w:val="24"/>
          <w:szCs w:val="24"/>
        </w:rPr>
        <w:t>place</w:t>
      </w:r>
    </w:p>
    <w:p w:rsidR="00EB1AB1"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After the completion of the program, 32.9% of the participants believe that they do not get</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enough social recognition, 37.6% believe they have got respect at a medium level, and</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29.5% at above a medium level.</w:t>
      </w:r>
    </w:p>
    <w:p w:rsidR="00104803"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The figures suggest that there is no observed trend for any social recognition provided by</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completing an MBA.</w:t>
      </w:r>
    </w:p>
    <w:p w:rsidR="00104803" w:rsidRPr="002823F9" w:rsidRDefault="008B270A" w:rsidP="00D31EA8">
      <w:pPr>
        <w:autoSpaceDE w:val="0"/>
        <w:autoSpaceDN w:val="0"/>
        <w:adjustRightInd w:val="0"/>
        <w:spacing w:before="240" w:after="120"/>
        <w:rPr>
          <w:rFonts w:ascii="Times New Roman" w:hAnsi="Times New Roman" w:cs="Times New Roman"/>
          <w:b/>
          <w:bCs/>
          <w:color w:val="222222"/>
          <w:sz w:val="24"/>
          <w:szCs w:val="24"/>
        </w:rPr>
      </w:pPr>
      <w:r>
        <w:rPr>
          <w:rFonts w:ascii="Times New Roman" w:hAnsi="Times New Roman" w:cs="Times New Roman"/>
          <w:b/>
          <w:bCs/>
          <w:color w:val="222222"/>
          <w:sz w:val="24"/>
          <w:szCs w:val="24"/>
        </w:rPr>
        <w:t>4.5</w:t>
      </w:r>
      <w:r w:rsidR="00104803" w:rsidRPr="002823F9">
        <w:rPr>
          <w:rFonts w:ascii="Times New Roman" w:hAnsi="Times New Roman" w:cs="Times New Roman"/>
          <w:b/>
          <w:bCs/>
          <w:color w:val="222222"/>
          <w:sz w:val="24"/>
          <w:szCs w:val="24"/>
        </w:rPr>
        <w:t>.</w:t>
      </w:r>
      <w:r w:rsidR="00293A8E">
        <w:rPr>
          <w:rFonts w:ascii="Times New Roman" w:hAnsi="Times New Roman" w:cs="Times New Roman"/>
          <w:b/>
          <w:bCs/>
          <w:color w:val="222222"/>
          <w:sz w:val="24"/>
          <w:szCs w:val="24"/>
        </w:rPr>
        <w:t>1.</w:t>
      </w:r>
      <w:r w:rsidR="00104803" w:rsidRPr="002823F9">
        <w:rPr>
          <w:rFonts w:ascii="Times New Roman" w:hAnsi="Times New Roman" w:cs="Times New Roman"/>
          <w:b/>
          <w:bCs/>
          <w:color w:val="222222"/>
          <w:sz w:val="24"/>
          <w:szCs w:val="24"/>
        </w:rPr>
        <w:t>8. Impact of MBA on Income Level and Professional Position</w:t>
      </w:r>
    </w:p>
    <w:p w:rsidR="00EB1AB1"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The total percentage of participants whose income has indeed increased as a result of</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obtaining an MBA degree was only 14.7%.</w:t>
      </w:r>
    </w:p>
    <w:p w:rsidR="00EB1AB1"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On the other hand, the rate of participants who stated that they had received a promotion at</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work due to their MBA degree was 15.9%.</w:t>
      </w:r>
    </w:p>
    <w:p w:rsidR="00293A8E"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When both these rates are examined, one may conclude that the impact of an MBA degree</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on the income level and on a promotion at work is quite low. The main reason for these low</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results is that it takes a certain period of time to get promoted at work and to increase one’s</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income in response to a recently acquired degree. Some studies in the literature (Arias and</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McMahon, 2001) also confirm that it takes a long time to profit from the turnover of such</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human capital investments. Thus, when the impact of an MBA on both one’s career and</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other expectations are considered alone, it is expected that one may have a better position at</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 xml:space="preserve">work </w:t>
      </w:r>
      <w:r w:rsidRPr="002823F9">
        <w:rPr>
          <w:rFonts w:ascii="Times New Roman" w:hAnsi="Times New Roman" w:cs="Times New Roman"/>
          <w:color w:val="000000"/>
          <w:sz w:val="24"/>
          <w:szCs w:val="24"/>
        </w:rPr>
        <w:lastRenderedPageBreak/>
        <w:t>and a higher income in the following years, rather than having a more immediately</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effect following the completion of the degree.</w:t>
      </w:r>
    </w:p>
    <w:p w:rsidR="00104803" w:rsidRPr="002823F9" w:rsidRDefault="008B270A" w:rsidP="00D31EA8">
      <w:pPr>
        <w:autoSpaceDE w:val="0"/>
        <w:autoSpaceDN w:val="0"/>
        <w:adjustRightInd w:val="0"/>
        <w:spacing w:before="240" w:after="120"/>
        <w:rPr>
          <w:rFonts w:ascii="Times New Roman" w:hAnsi="Times New Roman" w:cs="Times New Roman"/>
          <w:b/>
          <w:bCs/>
          <w:color w:val="222222"/>
          <w:sz w:val="24"/>
          <w:szCs w:val="24"/>
        </w:rPr>
      </w:pPr>
      <w:r>
        <w:rPr>
          <w:rFonts w:ascii="Times New Roman" w:hAnsi="Times New Roman" w:cs="Times New Roman"/>
          <w:b/>
          <w:bCs/>
          <w:color w:val="222222"/>
          <w:sz w:val="24"/>
          <w:szCs w:val="24"/>
        </w:rPr>
        <w:t>4.5</w:t>
      </w:r>
      <w:r w:rsidR="00104803" w:rsidRPr="002823F9">
        <w:rPr>
          <w:rFonts w:ascii="Times New Roman" w:hAnsi="Times New Roman" w:cs="Times New Roman"/>
          <w:b/>
          <w:bCs/>
          <w:color w:val="222222"/>
          <w:sz w:val="24"/>
          <w:szCs w:val="24"/>
        </w:rPr>
        <w:t>.</w:t>
      </w:r>
      <w:r w:rsidR="00293A8E">
        <w:rPr>
          <w:rFonts w:ascii="Times New Roman" w:hAnsi="Times New Roman" w:cs="Times New Roman"/>
          <w:b/>
          <w:bCs/>
          <w:color w:val="222222"/>
          <w:sz w:val="24"/>
          <w:szCs w:val="24"/>
        </w:rPr>
        <w:t>1.</w:t>
      </w:r>
      <w:r w:rsidR="00104803" w:rsidRPr="002823F9">
        <w:rPr>
          <w:rFonts w:ascii="Times New Roman" w:hAnsi="Times New Roman" w:cs="Times New Roman"/>
          <w:b/>
          <w:bCs/>
          <w:color w:val="222222"/>
          <w:sz w:val="24"/>
          <w:szCs w:val="24"/>
        </w:rPr>
        <w:t>9. The Level of Recommendation of the Program</w:t>
      </w:r>
    </w:p>
    <w:p w:rsidR="00EB1AB1"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 xml:space="preserve">Only 4.7% of the participants do not recommend </w:t>
      </w:r>
      <w:r w:rsidR="001A28E1">
        <w:rPr>
          <w:rFonts w:ascii="Times New Roman" w:hAnsi="Times New Roman" w:cs="Times New Roman"/>
          <w:color w:val="000000"/>
          <w:sz w:val="24"/>
          <w:szCs w:val="24"/>
        </w:rPr>
        <w:t xml:space="preserve">the </w:t>
      </w:r>
      <w:r w:rsidRPr="002823F9">
        <w:rPr>
          <w:rFonts w:ascii="Times New Roman" w:hAnsi="Times New Roman" w:cs="Times New Roman"/>
          <w:color w:val="000000"/>
          <w:sz w:val="24"/>
          <w:szCs w:val="24"/>
        </w:rPr>
        <w:t xml:space="preserve">MBA </w:t>
      </w:r>
      <w:r w:rsidR="001A28E1">
        <w:rPr>
          <w:rFonts w:ascii="Times New Roman" w:hAnsi="Times New Roman" w:cs="Times New Roman"/>
          <w:color w:val="000000"/>
          <w:sz w:val="24"/>
          <w:szCs w:val="24"/>
        </w:rPr>
        <w:t>p</w:t>
      </w:r>
      <w:r w:rsidRPr="002823F9">
        <w:rPr>
          <w:rFonts w:ascii="Times New Roman" w:hAnsi="Times New Roman" w:cs="Times New Roman"/>
          <w:color w:val="000000"/>
          <w:sz w:val="24"/>
          <w:szCs w:val="24"/>
        </w:rPr>
        <w:t>rogram to</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others, while 80% strongly recommend it.</w:t>
      </w:r>
    </w:p>
    <w:p w:rsidR="00104803" w:rsidRPr="002823F9" w:rsidRDefault="00104803" w:rsidP="00D31EA8">
      <w:pPr>
        <w:autoSpaceDE w:val="0"/>
        <w:autoSpaceDN w:val="0"/>
        <w:adjustRightInd w:val="0"/>
        <w:spacing w:before="120" w:after="0"/>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When the above cited figures about the recommendation level are examined, it may be</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concluded that customer satisfaction attained on the MBA program is very high.</w:t>
      </w:r>
    </w:p>
    <w:p w:rsidR="00104803" w:rsidRPr="002823F9" w:rsidRDefault="008B270A" w:rsidP="00D31EA8">
      <w:pPr>
        <w:autoSpaceDE w:val="0"/>
        <w:autoSpaceDN w:val="0"/>
        <w:adjustRightInd w:val="0"/>
        <w:spacing w:before="240" w:after="120"/>
        <w:rPr>
          <w:rFonts w:ascii="Times New Roman" w:hAnsi="Times New Roman" w:cs="Times New Roman"/>
          <w:b/>
          <w:bCs/>
          <w:color w:val="222222"/>
          <w:sz w:val="24"/>
          <w:szCs w:val="24"/>
        </w:rPr>
      </w:pPr>
      <w:r>
        <w:rPr>
          <w:rFonts w:ascii="Times New Roman" w:hAnsi="Times New Roman" w:cs="Times New Roman"/>
          <w:b/>
          <w:bCs/>
          <w:color w:val="222222"/>
          <w:sz w:val="24"/>
          <w:szCs w:val="24"/>
        </w:rPr>
        <w:t>4.5</w:t>
      </w:r>
      <w:r w:rsidR="00104803" w:rsidRPr="002823F9">
        <w:rPr>
          <w:rFonts w:ascii="Times New Roman" w:hAnsi="Times New Roman" w:cs="Times New Roman"/>
          <w:b/>
          <w:bCs/>
          <w:color w:val="222222"/>
          <w:sz w:val="24"/>
          <w:szCs w:val="24"/>
        </w:rPr>
        <w:t>.</w:t>
      </w:r>
      <w:r w:rsidR="00293A8E">
        <w:rPr>
          <w:rFonts w:ascii="Times New Roman" w:hAnsi="Times New Roman" w:cs="Times New Roman"/>
          <w:b/>
          <w:bCs/>
          <w:color w:val="222222"/>
          <w:sz w:val="24"/>
          <w:szCs w:val="24"/>
        </w:rPr>
        <w:t>1.</w:t>
      </w:r>
      <w:r w:rsidR="00104803" w:rsidRPr="002823F9">
        <w:rPr>
          <w:rFonts w:ascii="Times New Roman" w:hAnsi="Times New Roman" w:cs="Times New Roman"/>
          <w:b/>
          <w:bCs/>
          <w:color w:val="222222"/>
          <w:sz w:val="24"/>
          <w:szCs w:val="24"/>
        </w:rPr>
        <w:t>10. Compared Analysis and Assessment</w:t>
      </w:r>
    </w:p>
    <w:p w:rsidR="00EB1AB1" w:rsidRPr="002823F9" w:rsidRDefault="00104803" w:rsidP="00D31EA8">
      <w:pPr>
        <w:autoSpaceDE w:val="0"/>
        <w:autoSpaceDN w:val="0"/>
        <w:adjustRightInd w:val="0"/>
        <w:spacing w:before="120" w:after="0" w:line="240" w:lineRule="auto"/>
        <w:ind w:left="708"/>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 xml:space="preserve">A. </w:t>
      </w:r>
      <w:r w:rsidRPr="002823F9">
        <w:rPr>
          <w:rFonts w:ascii="Times New Roman" w:hAnsi="Times New Roman" w:cs="Times New Roman"/>
          <w:color w:val="000000"/>
          <w:sz w:val="24"/>
          <w:szCs w:val="24"/>
        </w:rPr>
        <w:t xml:space="preserve">76% of the participants who have decided to pursue an MBA only in order have </w:t>
      </w:r>
      <w:r w:rsidR="00A02D66">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a</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better career trajectory consider that the program had a positive effect on their career.</w:t>
      </w:r>
    </w:p>
    <w:p w:rsidR="00EB1AB1" w:rsidRPr="002823F9" w:rsidRDefault="00104803" w:rsidP="00D31EA8">
      <w:pPr>
        <w:autoSpaceDE w:val="0"/>
        <w:autoSpaceDN w:val="0"/>
        <w:adjustRightInd w:val="0"/>
        <w:spacing w:before="120" w:after="0" w:line="240" w:lineRule="auto"/>
        <w:ind w:left="708"/>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 xml:space="preserve">B. </w:t>
      </w:r>
      <w:r w:rsidRPr="002823F9">
        <w:rPr>
          <w:rFonts w:ascii="Times New Roman" w:hAnsi="Times New Roman" w:cs="Times New Roman"/>
          <w:color w:val="000000"/>
          <w:sz w:val="24"/>
          <w:szCs w:val="24"/>
        </w:rPr>
        <w:t>90% of the MBA graduates, who take only their career plans into consideration in the</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decision making process, state the program was able to meet their expectations.</w:t>
      </w:r>
    </w:p>
    <w:p w:rsidR="00EB1AB1" w:rsidRPr="002823F9" w:rsidRDefault="00104803" w:rsidP="00D31EA8">
      <w:pPr>
        <w:autoSpaceDE w:val="0"/>
        <w:autoSpaceDN w:val="0"/>
        <w:adjustRightInd w:val="0"/>
        <w:spacing w:before="120" w:after="0" w:line="240" w:lineRule="auto"/>
        <w:ind w:left="708"/>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 xml:space="preserve">C. </w:t>
      </w:r>
      <w:r w:rsidRPr="002823F9">
        <w:rPr>
          <w:rFonts w:ascii="Times New Roman" w:hAnsi="Times New Roman" w:cs="Times New Roman"/>
          <w:color w:val="000000"/>
          <w:sz w:val="24"/>
          <w:szCs w:val="24"/>
        </w:rPr>
        <w:t>87% of the graduates, who take ‘the desire for a better income’ into account in their</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decision to do an MBA, state that the program was able to meet their expectations.</w:t>
      </w:r>
    </w:p>
    <w:p w:rsidR="00EB1AB1" w:rsidRPr="002823F9" w:rsidRDefault="00104803" w:rsidP="00D31EA8">
      <w:pPr>
        <w:autoSpaceDE w:val="0"/>
        <w:autoSpaceDN w:val="0"/>
        <w:adjustRightInd w:val="0"/>
        <w:spacing w:before="120" w:after="0" w:line="240" w:lineRule="auto"/>
        <w:ind w:left="708"/>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 xml:space="preserve">D. </w:t>
      </w:r>
      <w:r w:rsidRPr="002823F9">
        <w:rPr>
          <w:rFonts w:ascii="Times New Roman" w:hAnsi="Times New Roman" w:cs="Times New Roman"/>
          <w:color w:val="000000"/>
          <w:sz w:val="24"/>
          <w:szCs w:val="24"/>
        </w:rPr>
        <w:t xml:space="preserve">60% of those who take either their career plans </w:t>
      </w:r>
      <w:r w:rsidRPr="00000D55">
        <w:rPr>
          <w:rFonts w:ascii="Times New Roman" w:hAnsi="Times New Roman" w:cs="Times New Roman"/>
          <w:iCs/>
          <w:color w:val="000000"/>
          <w:sz w:val="24"/>
          <w:szCs w:val="24"/>
        </w:rPr>
        <w:t>or</w:t>
      </w:r>
      <w:r w:rsidRPr="002823F9">
        <w:rPr>
          <w:rFonts w:ascii="Times New Roman" w:hAnsi="Times New Roman" w:cs="Times New Roman"/>
          <w:i/>
          <w:iCs/>
          <w:color w:val="000000"/>
          <w:sz w:val="24"/>
          <w:szCs w:val="24"/>
        </w:rPr>
        <w:t xml:space="preserve"> </w:t>
      </w:r>
      <w:r w:rsidRPr="002823F9">
        <w:rPr>
          <w:rFonts w:ascii="Times New Roman" w:hAnsi="Times New Roman" w:cs="Times New Roman"/>
          <w:color w:val="000000"/>
          <w:sz w:val="24"/>
          <w:szCs w:val="24"/>
        </w:rPr>
        <w:t>a higher income into consideration</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in their decision to attend an MBA program, state that their expectations had been</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realized, while comparatively this rate was 20% for the participants who said that both of</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their</w:t>
      </w:r>
      <w:r w:rsidR="001A28E1">
        <w:rPr>
          <w:rFonts w:ascii="Times New Roman" w:hAnsi="Times New Roman" w:cs="Times New Roman"/>
          <w:color w:val="000000"/>
          <w:sz w:val="24"/>
          <w:szCs w:val="24"/>
        </w:rPr>
        <w:t xml:space="preserve"> expectations (a better career and</w:t>
      </w:r>
      <w:r w:rsidRPr="002823F9">
        <w:rPr>
          <w:rFonts w:ascii="Times New Roman" w:hAnsi="Times New Roman" w:cs="Times New Roman"/>
          <w:color w:val="000000"/>
          <w:sz w:val="24"/>
          <w:szCs w:val="24"/>
        </w:rPr>
        <w:t xml:space="preserve"> higher income) had been realized.</w:t>
      </w:r>
      <w:r w:rsidR="00EB1AB1" w:rsidRPr="002823F9">
        <w:rPr>
          <w:rFonts w:ascii="Times New Roman" w:hAnsi="Times New Roman" w:cs="Times New Roman"/>
          <w:color w:val="000000"/>
          <w:sz w:val="24"/>
          <w:szCs w:val="24"/>
        </w:rPr>
        <w:t xml:space="preserve"> </w:t>
      </w:r>
    </w:p>
    <w:p w:rsidR="00EB1AB1" w:rsidRPr="002823F9" w:rsidRDefault="00104803" w:rsidP="00D31EA8">
      <w:pPr>
        <w:autoSpaceDE w:val="0"/>
        <w:autoSpaceDN w:val="0"/>
        <w:adjustRightInd w:val="0"/>
        <w:spacing w:before="120" w:after="0" w:line="240" w:lineRule="auto"/>
        <w:ind w:left="708"/>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 xml:space="preserve">E. </w:t>
      </w:r>
      <w:r w:rsidRPr="002823F9">
        <w:rPr>
          <w:rFonts w:ascii="Times New Roman" w:hAnsi="Times New Roman" w:cs="Times New Roman"/>
          <w:color w:val="000000"/>
          <w:sz w:val="24"/>
          <w:szCs w:val="24"/>
        </w:rPr>
        <w:t>Of the graduates who affirmed that the program assisted them in their personal</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development, 96% confirmed to have gained an increase in their self-esteem.</w:t>
      </w:r>
      <w:r w:rsidR="00EB1AB1" w:rsidRPr="002823F9">
        <w:rPr>
          <w:rFonts w:ascii="Times New Roman" w:hAnsi="Times New Roman" w:cs="Times New Roman"/>
          <w:color w:val="000000"/>
          <w:sz w:val="24"/>
          <w:szCs w:val="24"/>
        </w:rPr>
        <w:t xml:space="preserve"> </w:t>
      </w:r>
    </w:p>
    <w:p w:rsidR="00EB1AB1" w:rsidRPr="002823F9" w:rsidRDefault="00104803" w:rsidP="00D31EA8">
      <w:pPr>
        <w:autoSpaceDE w:val="0"/>
        <w:autoSpaceDN w:val="0"/>
        <w:adjustRightInd w:val="0"/>
        <w:spacing w:before="120" w:after="0" w:line="240" w:lineRule="auto"/>
        <w:ind w:left="708"/>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 xml:space="preserve">F. </w:t>
      </w:r>
      <w:r w:rsidRPr="002823F9">
        <w:rPr>
          <w:rFonts w:ascii="Times New Roman" w:hAnsi="Times New Roman" w:cs="Times New Roman"/>
          <w:color w:val="000000"/>
          <w:sz w:val="24"/>
          <w:szCs w:val="24"/>
        </w:rPr>
        <w:t>94% of the participants who allege to have experienced a positive impact from their</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MBA on their career affirmed that their expectation was met successfully.</w:t>
      </w:r>
    </w:p>
    <w:p w:rsidR="00EB1AB1" w:rsidRPr="002823F9" w:rsidRDefault="00104803" w:rsidP="00D31EA8">
      <w:pPr>
        <w:autoSpaceDE w:val="0"/>
        <w:autoSpaceDN w:val="0"/>
        <w:adjustRightInd w:val="0"/>
        <w:spacing w:before="120" w:after="0" w:line="240" w:lineRule="auto"/>
        <w:ind w:left="708"/>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 xml:space="preserve">G. </w:t>
      </w:r>
      <w:r w:rsidRPr="002823F9">
        <w:rPr>
          <w:rFonts w:ascii="Times New Roman" w:hAnsi="Times New Roman" w:cs="Times New Roman"/>
          <w:color w:val="000000"/>
          <w:sz w:val="24"/>
          <w:szCs w:val="24"/>
        </w:rPr>
        <w:t>The total percentage who states that the program was able to meet their expectations</w:t>
      </w:r>
      <w:r w:rsidR="00EB1AB1" w:rsidRPr="002823F9">
        <w:rPr>
          <w:rFonts w:ascii="Times New Roman" w:hAnsi="Times New Roman" w:cs="Times New Roman"/>
          <w:color w:val="000000"/>
          <w:sz w:val="24"/>
          <w:szCs w:val="24"/>
        </w:rPr>
        <w:t xml:space="preserve"> </w:t>
      </w:r>
      <w:r w:rsidRPr="00000D55">
        <w:rPr>
          <w:rFonts w:ascii="Times New Roman" w:hAnsi="Times New Roman" w:cs="Times New Roman"/>
          <w:iCs/>
          <w:color w:val="000000"/>
          <w:sz w:val="24"/>
          <w:szCs w:val="24"/>
        </w:rPr>
        <w:t xml:space="preserve">and </w:t>
      </w:r>
      <w:r w:rsidRPr="00000D55">
        <w:rPr>
          <w:rFonts w:ascii="Times New Roman" w:hAnsi="Times New Roman" w:cs="Times New Roman"/>
          <w:color w:val="000000"/>
          <w:sz w:val="24"/>
          <w:szCs w:val="24"/>
        </w:rPr>
        <w:t>r</w:t>
      </w:r>
      <w:r w:rsidRPr="002823F9">
        <w:rPr>
          <w:rFonts w:ascii="Times New Roman" w:hAnsi="Times New Roman" w:cs="Times New Roman"/>
          <w:color w:val="000000"/>
          <w:sz w:val="24"/>
          <w:szCs w:val="24"/>
        </w:rPr>
        <w:t>ecommend the MBA program to others was at 99%.</w:t>
      </w:r>
    </w:p>
    <w:p w:rsidR="00EB1AB1" w:rsidRPr="002823F9" w:rsidRDefault="00104803" w:rsidP="00D31EA8">
      <w:pPr>
        <w:autoSpaceDE w:val="0"/>
        <w:autoSpaceDN w:val="0"/>
        <w:adjustRightInd w:val="0"/>
        <w:spacing w:before="120" w:after="0" w:line="240" w:lineRule="auto"/>
        <w:ind w:left="708"/>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 xml:space="preserve">H. </w:t>
      </w:r>
      <w:r w:rsidRPr="002823F9">
        <w:rPr>
          <w:rFonts w:ascii="Times New Roman" w:hAnsi="Times New Roman" w:cs="Times New Roman"/>
          <w:color w:val="000000"/>
          <w:sz w:val="24"/>
          <w:szCs w:val="24"/>
        </w:rPr>
        <w:t>Out of the graduates, 79% of the public officers and 84.5% of the employees at private</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enterprises state that their future career plans had an effect on their decision-making to do</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MBA.</w:t>
      </w:r>
    </w:p>
    <w:p w:rsidR="00EB1AB1" w:rsidRPr="002823F9" w:rsidRDefault="00104803" w:rsidP="00D31EA8">
      <w:pPr>
        <w:autoSpaceDE w:val="0"/>
        <w:autoSpaceDN w:val="0"/>
        <w:adjustRightInd w:val="0"/>
        <w:spacing w:before="120" w:after="0" w:line="240" w:lineRule="auto"/>
        <w:ind w:left="708"/>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 xml:space="preserve">I. </w:t>
      </w:r>
      <w:r w:rsidRPr="002823F9">
        <w:rPr>
          <w:rFonts w:ascii="Times New Roman" w:hAnsi="Times New Roman" w:cs="Times New Roman"/>
          <w:color w:val="000000"/>
          <w:sz w:val="24"/>
          <w:szCs w:val="24"/>
        </w:rPr>
        <w:t>46% of the public officers and 58% of the employers at private sector state that their</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expectation for a higher wage caused them to do MBA. When the figures are compared,</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 xml:space="preserve">one may conclude that the employees at private enterprises consign </w:t>
      </w:r>
      <w:r w:rsidR="00A02D66">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a higher level of</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importance on MBA programs.</w:t>
      </w:r>
    </w:p>
    <w:p w:rsidR="00EB1AB1" w:rsidRPr="002823F9" w:rsidRDefault="00104803" w:rsidP="00D31EA8">
      <w:pPr>
        <w:autoSpaceDE w:val="0"/>
        <w:autoSpaceDN w:val="0"/>
        <w:adjustRightInd w:val="0"/>
        <w:spacing w:before="120" w:after="0" w:line="240" w:lineRule="auto"/>
        <w:ind w:left="708"/>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 xml:space="preserve">J. </w:t>
      </w:r>
      <w:r w:rsidRPr="002823F9">
        <w:rPr>
          <w:rFonts w:ascii="Times New Roman" w:hAnsi="Times New Roman" w:cs="Times New Roman"/>
          <w:color w:val="000000"/>
          <w:sz w:val="24"/>
          <w:szCs w:val="24"/>
        </w:rPr>
        <w:t>61% of the public officers state that MBA had a positive effect on their career. This</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was 70% for the employees at private sector.</w:t>
      </w:r>
      <w:r w:rsidR="00EB1AB1" w:rsidRPr="002823F9">
        <w:rPr>
          <w:rFonts w:ascii="Times New Roman" w:hAnsi="Times New Roman" w:cs="Times New Roman"/>
          <w:color w:val="000000"/>
          <w:sz w:val="24"/>
          <w:szCs w:val="24"/>
        </w:rPr>
        <w:t xml:space="preserve"> </w:t>
      </w:r>
    </w:p>
    <w:p w:rsidR="00EB1AB1" w:rsidRPr="002823F9" w:rsidRDefault="00104803" w:rsidP="00D31EA8">
      <w:pPr>
        <w:autoSpaceDE w:val="0"/>
        <w:autoSpaceDN w:val="0"/>
        <w:adjustRightInd w:val="0"/>
        <w:spacing w:before="120" w:after="0" w:line="240" w:lineRule="auto"/>
        <w:ind w:left="708"/>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 xml:space="preserve">K. </w:t>
      </w:r>
      <w:r w:rsidRPr="002823F9">
        <w:rPr>
          <w:rFonts w:ascii="Times New Roman" w:hAnsi="Times New Roman" w:cs="Times New Roman"/>
          <w:color w:val="000000"/>
          <w:sz w:val="24"/>
          <w:szCs w:val="24"/>
        </w:rPr>
        <w:t>51% of the public officers and 55% of the private sector employees state that their</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institutions had a partial impact in their decision to do MBA.</w:t>
      </w:r>
    </w:p>
    <w:p w:rsidR="00EB1AB1" w:rsidRPr="002823F9" w:rsidRDefault="00104803" w:rsidP="00D31EA8">
      <w:pPr>
        <w:autoSpaceDE w:val="0"/>
        <w:autoSpaceDN w:val="0"/>
        <w:adjustRightInd w:val="0"/>
        <w:spacing w:before="120" w:after="0" w:line="240" w:lineRule="auto"/>
        <w:ind w:left="708"/>
        <w:jc w:val="both"/>
        <w:rPr>
          <w:rFonts w:ascii="Times New Roman" w:hAnsi="Times New Roman" w:cs="Times New Roman"/>
          <w:color w:val="000000"/>
          <w:sz w:val="24"/>
          <w:szCs w:val="24"/>
        </w:rPr>
      </w:pPr>
      <w:r w:rsidRPr="002823F9">
        <w:rPr>
          <w:rFonts w:ascii="Times New Roman" w:hAnsi="Times New Roman" w:cs="Times New Roman"/>
          <w:b/>
          <w:bCs/>
          <w:color w:val="000000"/>
          <w:sz w:val="24"/>
          <w:szCs w:val="24"/>
        </w:rPr>
        <w:t xml:space="preserve">L. </w:t>
      </w:r>
      <w:r w:rsidRPr="002823F9">
        <w:rPr>
          <w:rFonts w:ascii="Times New Roman" w:hAnsi="Times New Roman" w:cs="Times New Roman"/>
          <w:color w:val="000000"/>
          <w:sz w:val="24"/>
          <w:szCs w:val="24"/>
        </w:rPr>
        <w:t>67% of the public servants who take their career plans into consideration in their</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decision making to do MBA state that the program had a positive effect in their career,</w:t>
      </w:r>
      <w:r w:rsidR="00EB1AB1" w:rsidRPr="002823F9">
        <w:rPr>
          <w:rFonts w:ascii="Times New Roman" w:hAnsi="Times New Roman" w:cs="Times New Roman"/>
          <w:color w:val="000000"/>
          <w:sz w:val="24"/>
          <w:szCs w:val="24"/>
        </w:rPr>
        <w:t xml:space="preserve"> </w:t>
      </w:r>
      <w:r w:rsidRPr="002823F9">
        <w:rPr>
          <w:rFonts w:ascii="Times New Roman" w:hAnsi="Times New Roman" w:cs="Times New Roman"/>
          <w:color w:val="000000"/>
          <w:sz w:val="24"/>
          <w:szCs w:val="24"/>
        </w:rPr>
        <w:t>and this was 78% for their counterparts at private sector.</w:t>
      </w:r>
      <w:r w:rsidR="00EB1AB1" w:rsidRPr="002823F9">
        <w:rPr>
          <w:rFonts w:ascii="Times New Roman" w:hAnsi="Times New Roman" w:cs="Times New Roman"/>
          <w:color w:val="000000"/>
          <w:sz w:val="24"/>
          <w:szCs w:val="24"/>
        </w:rPr>
        <w:t xml:space="preserve"> </w:t>
      </w:r>
    </w:p>
    <w:p w:rsidR="00104803" w:rsidRPr="002823F9" w:rsidRDefault="00EB1AB1" w:rsidP="00D31EA8">
      <w:pPr>
        <w:autoSpaceDE w:val="0"/>
        <w:autoSpaceDN w:val="0"/>
        <w:adjustRightInd w:val="0"/>
        <w:spacing w:before="120" w:after="0" w:line="240" w:lineRule="auto"/>
        <w:jc w:val="both"/>
        <w:rPr>
          <w:rFonts w:ascii="Times New Roman" w:hAnsi="Times New Roman" w:cs="Times New Roman"/>
          <w:color w:val="000000"/>
          <w:sz w:val="24"/>
          <w:szCs w:val="24"/>
        </w:rPr>
      </w:pPr>
      <w:r w:rsidRPr="002823F9">
        <w:rPr>
          <w:rFonts w:ascii="Times New Roman" w:hAnsi="Times New Roman" w:cs="Times New Roman"/>
          <w:color w:val="000000"/>
          <w:sz w:val="24"/>
          <w:szCs w:val="24"/>
        </w:rPr>
        <w:t>Table-</w:t>
      </w:r>
      <w:r w:rsidR="00104803" w:rsidRPr="002823F9">
        <w:rPr>
          <w:rFonts w:ascii="Times New Roman" w:hAnsi="Times New Roman" w:cs="Times New Roman"/>
          <w:color w:val="000000"/>
          <w:sz w:val="24"/>
          <w:szCs w:val="24"/>
        </w:rPr>
        <w:t>1 below summarizes the results the relationship among the responses obtained from</w:t>
      </w:r>
      <w:r w:rsidRPr="002823F9">
        <w:rPr>
          <w:rFonts w:ascii="Times New Roman" w:hAnsi="Times New Roman" w:cs="Times New Roman"/>
          <w:color w:val="000000"/>
          <w:sz w:val="24"/>
          <w:szCs w:val="24"/>
        </w:rPr>
        <w:t xml:space="preserve"> </w:t>
      </w:r>
      <w:r w:rsidR="00A02D66">
        <w:rPr>
          <w:rFonts w:ascii="Times New Roman" w:hAnsi="Times New Roman" w:cs="Times New Roman"/>
          <w:color w:val="000000"/>
          <w:sz w:val="24"/>
          <w:szCs w:val="24"/>
        </w:rPr>
        <w:t xml:space="preserve">             </w:t>
      </w:r>
      <w:r w:rsidR="00104803" w:rsidRPr="002823F9">
        <w:rPr>
          <w:rFonts w:ascii="Times New Roman" w:hAnsi="Times New Roman" w:cs="Times New Roman"/>
          <w:color w:val="000000"/>
          <w:sz w:val="24"/>
          <w:szCs w:val="24"/>
        </w:rPr>
        <w:t>the questionnaire with the help of Pearson Correlation.</w:t>
      </w:r>
    </w:p>
    <w:p w:rsidR="00607B49" w:rsidRDefault="00607B49" w:rsidP="00D31EA8">
      <w:pPr>
        <w:autoSpaceDE w:val="0"/>
        <w:autoSpaceDN w:val="0"/>
        <w:adjustRightInd w:val="0"/>
        <w:spacing w:before="120" w:after="0"/>
        <w:jc w:val="both"/>
        <w:rPr>
          <w:rFonts w:ascii="Times New Roman" w:hAnsi="Times New Roman" w:cs="Times New Roman"/>
          <w:color w:val="000000"/>
          <w:sz w:val="20"/>
          <w:szCs w:val="20"/>
        </w:rPr>
      </w:pPr>
    </w:p>
    <w:p w:rsidR="00104803" w:rsidRPr="00F32FDD" w:rsidRDefault="008B270A" w:rsidP="008F26AE">
      <w:pPr>
        <w:autoSpaceDE w:val="0"/>
        <w:autoSpaceDN w:val="0"/>
        <w:adjustRightInd w:val="0"/>
        <w:spacing w:before="240" w:after="120" w:line="240" w:lineRule="auto"/>
        <w:jc w:val="center"/>
        <w:rPr>
          <w:rFonts w:ascii="Times New Roman" w:hAnsi="Times New Roman" w:cs="Times New Roman"/>
          <w:bCs/>
          <w:color w:val="222222"/>
          <w:sz w:val="20"/>
          <w:szCs w:val="20"/>
        </w:rPr>
      </w:pPr>
      <w:r>
        <w:rPr>
          <w:rFonts w:ascii="Times New Roman" w:hAnsi="Times New Roman" w:cs="Times New Roman"/>
          <w:b/>
          <w:bCs/>
          <w:color w:val="222222"/>
          <w:sz w:val="20"/>
          <w:szCs w:val="20"/>
        </w:rPr>
        <w:lastRenderedPageBreak/>
        <w:t>T</w:t>
      </w:r>
      <w:r w:rsidR="00F32FDD">
        <w:rPr>
          <w:rFonts w:ascii="Times New Roman" w:hAnsi="Times New Roman" w:cs="Times New Roman"/>
          <w:b/>
          <w:bCs/>
          <w:color w:val="222222"/>
          <w:sz w:val="20"/>
          <w:szCs w:val="20"/>
        </w:rPr>
        <w:t>able-1:</w:t>
      </w:r>
      <w:r w:rsidR="00104803" w:rsidRPr="007448B0">
        <w:rPr>
          <w:rFonts w:ascii="Times New Roman" w:hAnsi="Times New Roman" w:cs="Times New Roman"/>
          <w:b/>
          <w:bCs/>
          <w:color w:val="222222"/>
          <w:sz w:val="20"/>
          <w:szCs w:val="20"/>
        </w:rPr>
        <w:t xml:space="preserve"> </w:t>
      </w:r>
      <w:r w:rsidR="00C15D09" w:rsidRPr="00F32FDD">
        <w:rPr>
          <w:rFonts w:ascii="Times New Roman" w:hAnsi="Times New Roman" w:cs="Times New Roman"/>
          <w:bCs/>
          <w:color w:val="222222"/>
          <w:sz w:val="20"/>
          <w:szCs w:val="20"/>
        </w:rPr>
        <w:t>Correlation Coefficients of Research Variables</w:t>
      </w:r>
    </w:p>
    <w:tbl>
      <w:tblPr>
        <w:tblStyle w:val="TabloKlavuzu"/>
        <w:tblW w:w="9471" w:type="dxa"/>
        <w:tblLayout w:type="fixed"/>
        <w:tblLook w:val="04A0" w:firstRow="1" w:lastRow="0" w:firstColumn="1" w:lastColumn="0" w:noHBand="0" w:noVBand="1"/>
      </w:tblPr>
      <w:tblGrid>
        <w:gridCol w:w="2093"/>
        <w:gridCol w:w="737"/>
        <w:gridCol w:w="738"/>
        <w:gridCol w:w="738"/>
        <w:gridCol w:w="738"/>
        <w:gridCol w:w="738"/>
        <w:gridCol w:w="737"/>
        <w:gridCol w:w="738"/>
        <w:gridCol w:w="738"/>
        <w:gridCol w:w="738"/>
        <w:gridCol w:w="738"/>
      </w:tblGrid>
      <w:tr w:rsidR="00C62A43" w:rsidRPr="007448B0" w:rsidTr="00C62A43">
        <w:trPr>
          <w:cantSplit/>
          <w:trHeight w:val="2835"/>
        </w:trPr>
        <w:tc>
          <w:tcPr>
            <w:tcW w:w="2093" w:type="dxa"/>
            <w:tcBorders>
              <w:top w:val="single" w:sz="4" w:space="0" w:color="auto"/>
              <w:left w:val="single" w:sz="4" w:space="0" w:color="auto"/>
              <w:bottom w:val="single" w:sz="4" w:space="0" w:color="auto"/>
              <w:right w:val="single" w:sz="4" w:space="0" w:color="auto"/>
            </w:tcBorders>
            <w:vAlign w:val="center"/>
          </w:tcPr>
          <w:p w:rsidR="00C62A43" w:rsidRPr="007448B0" w:rsidRDefault="00C62A43" w:rsidP="00C62A43">
            <w:pPr>
              <w:autoSpaceDE w:val="0"/>
              <w:autoSpaceDN w:val="0"/>
              <w:adjustRightInd w:val="0"/>
              <w:rPr>
                <w:rFonts w:ascii="Times New Roman" w:hAnsi="Times New Roman" w:cs="Times New Roman"/>
                <w:b/>
                <w:bCs/>
                <w:color w:val="000000"/>
                <w:sz w:val="20"/>
                <w:szCs w:val="20"/>
              </w:rPr>
            </w:pPr>
          </w:p>
          <w:p w:rsidR="006347CE" w:rsidRPr="007448B0" w:rsidRDefault="00C62A43" w:rsidP="006347CE">
            <w:pPr>
              <w:autoSpaceDE w:val="0"/>
              <w:autoSpaceDN w:val="0"/>
              <w:adjustRightInd w:val="0"/>
              <w:jc w:val="center"/>
              <w:rPr>
                <w:rFonts w:ascii="Times New Roman" w:hAnsi="Times New Roman" w:cs="Times New Roman"/>
                <w:b/>
                <w:bCs/>
                <w:color w:val="000000"/>
                <w:sz w:val="20"/>
                <w:szCs w:val="20"/>
              </w:rPr>
            </w:pPr>
            <w:r w:rsidRPr="007448B0">
              <w:rPr>
                <w:rFonts w:ascii="Times New Roman" w:hAnsi="Times New Roman" w:cs="Times New Roman"/>
                <w:b/>
                <w:bCs/>
                <w:color w:val="000000"/>
                <w:sz w:val="20"/>
                <w:szCs w:val="20"/>
              </w:rPr>
              <w:t xml:space="preserve">Correlation Coefficient/Sig. </w:t>
            </w:r>
          </w:p>
          <w:p w:rsidR="00C62A43" w:rsidRPr="007448B0" w:rsidRDefault="00C62A43" w:rsidP="006347CE">
            <w:pPr>
              <w:autoSpaceDE w:val="0"/>
              <w:autoSpaceDN w:val="0"/>
              <w:adjustRightInd w:val="0"/>
              <w:jc w:val="center"/>
              <w:rPr>
                <w:rFonts w:ascii="Times New Roman" w:hAnsi="Times New Roman" w:cs="Times New Roman"/>
                <w:b/>
                <w:bCs/>
                <w:color w:val="000000"/>
                <w:sz w:val="20"/>
                <w:szCs w:val="20"/>
              </w:rPr>
            </w:pPr>
            <w:r w:rsidRPr="007448B0">
              <w:rPr>
                <w:rFonts w:ascii="Times New Roman" w:hAnsi="Times New Roman" w:cs="Times New Roman"/>
                <w:b/>
                <w:bCs/>
                <w:color w:val="000000"/>
                <w:sz w:val="20"/>
                <w:szCs w:val="20"/>
              </w:rPr>
              <w:t>(two-tailed)/N/</w:t>
            </w:r>
          </w:p>
        </w:tc>
        <w:tc>
          <w:tcPr>
            <w:tcW w:w="737" w:type="dxa"/>
            <w:tcBorders>
              <w:top w:val="single" w:sz="4" w:space="0" w:color="auto"/>
              <w:left w:val="single" w:sz="4" w:space="0" w:color="auto"/>
              <w:bottom w:val="single" w:sz="4" w:space="0" w:color="auto"/>
            </w:tcBorders>
            <w:textDirection w:val="btLr"/>
            <w:vAlign w:val="center"/>
          </w:tcPr>
          <w:p w:rsidR="00C62A43" w:rsidRPr="007448B0" w:rsidRDefault="00C62A43" w:rsidP="006347CE">
            <w:pPr>
              <w:autoSpaceDE w:val="0"/>
              <w:autoSpaceDN w:val="0"/>
              <w:adjustRightInd w:val="0"/>
              <w:jc w:val="center"/>
              <w:rPr>
                <w:rFonts w:ascii="Times New Roman" w:hAnsi="Times New Roman" w:cs="Times New Roman"/>
                <w:b/>
                <w:sz w:val="20"/>
                <w:szCs w:val="20"/>
              </w:rPr>
            </w:pPr>
            <w:r w:rsidRPr="007448B0">
              <w:rPr>
                <w:rFonts w:ascii="Times New Roman" w:hAnsi="Times New Roman" w:cs="Times New Roman"/>
                <w:b/>
                <w:bCs/>
                <w:color w:val="000000"/>
                <w:sz w:val="20"/>
                <w:szCs w:val="20"/>
              </w:rPr>
              <w:t xml:space="preserve">My career plans had an effect </w:t>
            </w:r>
            <w:r w:rsidR="007D5DF2">
              <w:rPr>
                <w:rFonts w:ascii="Times New Roman" w:hAnsi="Times New Roman" w:cs="Times New Roman"/>
                <w:b/>
                <w:bCs/>
                <w:color w:val="000000"/>
                <w:sz w:val="20"/>
                <w:szCs w:val="20"/>
              </w:rPr>
              <w:t xml:space="preserve">    </w:t>
            </w:r>
            <w:r w:rsidRPr="007448B0">
              <w:rPr>
                <w:rFonts w:ascii="Times New Roman" w:hAnsi="Times New Roman" w:cs="Times New Roman"/>
                <w:b/>
                <w:bCs/>
                <w:color w:val="000000"/>
                <w:sz w:val="20"/>
                <w:szCs w:val="20"/>
              </w:rPr>
              <w:t>to do MBA.</w:t>
            </w:r>
          </w:p>
        </w:tc>
        <w:tc>
          <w:tcPr>
            <w:tcW w:w="738" w:type="dxa"/>
            <w:tcBorders>
              <w:top w:val="single" w:sz="4" w:space="0" w:color="auto"/>
              <w:bottom w:val="single" w:sz="4" w:space="0" w:color="auto"/>
            </w:tcBorders>
            <w:textDirection w:val="btLr"/>
            <w:vAlign w:val="center"/>
          </w:tcPr>
          <w:p w:rsidR="00C62A43" w:rsidRPr="007448B0" w:rsidRDefault="00C62A43" w:rsidP="006347CE">
            <w:pPr>
              <w:autoSpaceDE w:val="0"/>
              <w:autoSpaceDN w:val="0"/>
              <w:adjustRightInd w:val="0"/>
              <w:jc w:val="center"/>
              <w:rPr>
                <w:rFonts w:ascii="Times New Roman" w:hAnsi="Times New Roman" w:cs="Times New Roman"/>
                <w:b/>
                <w:sz w:val="20"/>
                <w:szCs w:val="20"/>
              </w:rPr>
            </w:pPr>
            <w:r w:rsidRPr="007448B0">
              <w:rPr>
                <w:rFonts w:ascii="Times New Roman" w:hAnsi="Times New Roman" w:cs="Times New Roman"/>
                <w:b/>
                <w:bCs/>
                <w:color w:val="000000"/>
                <w:sz w:val="20"/>
                <w:szCs w:val="20"/>
              </w:rPr>
              <w:t xml:space="preserve">My expectation for a higher income level had an effect </w:t>
            </w:r>
            <w:r w:rsidR="007D5DF2">
              <w:rPr>
                <w:rFonts w:ascii="Times New Roman" w:hAnsi="Times New Roman" w:cs="Times New Roman"/>
                <w:b/>
                <w:bCs/>
                <w:color w:val="000000"/>
                <w:sz w:val="20"/>
                <w:szCs w:val="20"/>
              </w:rPr>
              <w:t xml:space="preserve">         </w:t>
            </w:r>
            <w:r w:rsidRPr="007448B0">
              <w:rPr>
                <w:rFonts w:ascii="Times New Roman" w:hAnsi="Times New Roman" w:cs="Times New Roman"/>
                <w:b/>
                <w:bCs/>
                <w:color w:val="000000"/>
                <w:sz w:val="20"/>
                <w:szCs w:val="20"/>
              </w:rPr>
              <w:t>to do MBA.</w:t>
            </w:r>
          </w:p>
        </w:tc>
        <w:tc>
          <w:tcPr>
            <w:tcW w:w="738" w:type="dxa"/>
            <w:tcBorders>
              <w:top w:val="single" w:sz="4" w:space="0" w:color="auto"/>
              <w:bottom w:val="single" w:sz="4" w:space="0" w:color="auto"/>
            </w:tcBorders>
            <w:textDirection w:val="btLr"/>
            <w:vAlign w:val="center"/>
          </w:tcPr>
          <w:p w:rsidR="00C62A43" w:rsidRPr="007448B0" w:rsidRDefault="00C62A43" w:rsidP="006347CE">
            <w:pPr>
              <w:autoSpaceDE w:val="0"/>
              <w:autoSpaceDN w:val="0"/>
              <w:adjustRightInd w:val="0"/>
              <w:jc w:val="center"/>
              <w:rPr>
                <w:rFonts w:ascii="Times New Roman" w:hAnsi="Times New Roman" w:cs="Times New Roman"/>
                <w:b/>
                <w:sz w:val="20"/>
                <w:szCs w:val="20"/>
              </w:rPr>
            </w:pPr>
            <w:r w:rsidRPr="007448B0">
              <w:rPr>
                <w:rFonts w:ascii="Times New Roman" w:hAnsi="Times New Roman" w:cs="Times New Roman"/>
                <w:b/>
                <w:bCs/>
                <w:color w:val="000000"/>
                <w:sz w:val="20"/>
                <w:szCs w:val="20"/>
              </w:rPr>
              <w:t xml:space="preserve">The institution I work for had </w:t>
            </w:r>
            <w:r w:rsidR="007D5DF2">
              <w:rPr>
                <w:rFonts w:ascii="Times New Roman" w:hAnsi="Times New Roman" w:cs="Times New Roman"/>
                <w:b/>
                <w:bCs/>
                <w:color w:val="000000"/>
                <w:sz w:val="20"/>
                <w:szCs w:val="20"/>
              </w:rPr>
              <w:t xml:space="preserve">   </w:t>
            </w:r>
            <w:r w:rsidRPr="007448B0">
              <w:rPr>
                <w:rFonts w:ascii="Times New Roman" w:hAnsi="Times New Roman" w:cs="Times New Roman"/>
                <w:b/>
                <w:bCs/>
                <w:color w:val="000000"/>
                <w:sz w:val="20"/>
                <w:szCs w:val="20"/>
              </w:rPr>
              <w:t>an effect my decision to do MBA.</w:t>
            </w:r>
          </w:p>
        </w:tc>
        <w:tc>
          <w:tcPr>
            <w:tcW w:w="738" w:type="dxa"/>
            <w:tcBorders>
              <w:top w:val="single" w:sz="4" w:space="0" w:color="auto"/>
              <w:bottom w:val="single" w:sz="4" w:space="0" w:color="auto"/>
            </w:tcBorders>
            <w:textDirection w:val="btLr"/>
            <w:vAlign w:val="center"/>
          </w:tcPr>
          <w:p w:rsidR="00C62A43" w:rsidRPr="007448B0" w:rsidRDefault="00C62A43" w:rsidP="006347CE">
            <w:pPr>
              <w:autoSpaceDE w:val="0"/>
              <w:autoSpaceDN w:val="0"/>
              <w:adjustRightInd w:val="0"/>
              <w:jc w:val="center"/>
              <w:rPr>
                <w:rFonts w:ascii="Times New Roman" w:hAnsi="Times New Roman" w:cs="Times New Roman"/>
                <w:b/>
                <w:bCs/>
                <w:color w:val="000000"/>
                <w:sz w:val="20"/>
                <w:szCs w:val="16"/>
              </w:rPr>
            </w:pPr>
            <w:r w:rsidRPr="007448B0">
              <w:rPr>
                <w:rFonts w:ascii="Times New Roman" w:hAnsi="Times New Roman" w:cs="Times New Roman"/>
                <w:b/>
                <w:bCs/>
                <w:color w:val="000000"/>
                <w:sz w:val="20"/>
                <w:szCs w:val="16"/>
              </w:rPr>
              <w:t xml:space="preserve">MBA program helped </w:t>
            </w:r>
            <w:r w:rsidR="007D5DF2">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my personal development.</w:t>
            </w:r>
          </w:p>
        </w:tc>
        <w:tc>
          <w:tcPr>
            <w:tcW w:w="738" w:type="dxa"/>
            <w:tcBorders>
              <w:top w:val="single" w:sz="4" w:space="0" w:color="auto"/>
              <w:bottom w:val="single" w:sz="4" w:space="0" w:color="auto"/>
            </w:tcBorders>
            <w:textDirection w:val="btLr"/>
            <w:vAlign w:val="center"/>
          </w:tcPr>
          <w:p w:rsidR="00C62A43" w:rsidRPr="007448B0" w:rsidRDefault="00C62A43" w:rsidP="006347CE">
            <w:pPr>
              <w:autoSpaceDE w:val="0"/>
              <w:autoSpaceDN w:val="0"/>
              <w:adjustRightInd w:val="0"/>
              <w:jc w:val="center"/>
              <w:rPr>
                <w:rFonts w:ascii="Times New Roman" w:hAnsi="Times New Roman" w:cs="Times New Roman"/>
                <w:b/>
                <w:sz w:val="20"/>
                <w:szCs w:val="20"/>
              </w:rPr>
            </w:pPr>
            <w:r w:rsidRPr="007448B0">
              <w:rPr>
                <w:rFonts w:ascii="Times New Roman" w:hAnsi="Times New Roman" w:cs="Times New Roman"/>
                <w:b/>
                <w:bCs/>
                <w:color w:val="000000"/>
                <w:sz w:val="20"/>
                <w:szCs w:val="16"/>
              </w:rPr>
              <w:t xml:space="preserve">The program assisted me </w:t>
            </w:r>
            <w:r w:rsidR="007D5DF2">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to increase</w:t>
            </w:r>
            <w:r w:rsidR="008F26AE" w:rsidRPr="007448B0">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my self-confidence.</w:t>
            </w:r>
          </w:p>
        </w:tc>
        <w:tc>
          <w:tcPr>
            <w:tcW w:w="737" w:type="dxa"/>
            <w:tcBorders>
              <w:top w:val="single" w:sz="4" w:space="0" w:color="auto"/>
              <w:bottom w:val="single" w:sz="4" w:space="0" w:color="auto"/>
            </w:tcBorders>
            <w:textDirection w:val="btLr"/>
            <w:vAlign w:val="center"/>
          </w:tcPr>
          <w:p w:rsidR="00C62A43" w:rsidRPr="007448B0" w:rsidRDefault="00C62A43" w:rsidP="006347CE">
            <w:pPr>
              <w:autoSpaceDE w:val="0"/>
              <w:autoSpaceDN w:val="0"/>
              <w:adjustRightInd w:val="0"/>
              <w:jc w:val="center"/>
              <w:rPr>
                <w:rFonts w:ascii="Times New Roman" w:hAnsi="Times New Roman" w:cs="Times New Roman"/>
                <w:b/>
                <w:sz w:val="20"/>
                <w:szCs w:val="20"/>
              </w:rPr>
            </w:pPr>
            <w:r w:rsidRPr="007448B0">
              <w:rPr>
                <w:rFonts w:ascii="Times New Roman" w:hAnsi="Times New Roman" w:cs="Times New Roman"/>
                <w:b/>
                <w:bCs/>
                <w:color w:val="000000"/>
                <w:sz w:val="20"/>
                <w:szCs w:val="16"/>
              </w:rPr>
              <w:t xml:space="preserve">MBA increased my </w:t>
            </w:r>
            <w:r w:rsidR="008F26AE" w:rsidRPr="007448B0">
              <w:rPr>
                <w:rFonts w:ascii="Times New Roman" w:hAnsi="Times New Roman" w:cs="Times New Roman"/>
                <w:b/>
                <w:bCs/>
                <w:color w:val="000000"/>
                <w:sz w:val="20"/>
                <w:szCs w:val="16"/>
              </w:rPr>
              <w:t>m</w:t>
            </w:r>
            <w:r w:rsidRPr="007448B0">
              <w:rPr>
                <w:rFonts w:ascii="Times New Roman" w:hAnsi="Times New Roman" w:cs="Times New Roman"/>
                <w:b/>
                <w:bCs/>
                <w:color w:val="000000"/>
                <w:sz w:val="20"/>
                <w:szCs w:val="16"/>
              </w:rPr>
              <w:t>otivation towards</w:t>
            </w:r>
            <w:r w:rsidR="008F26AE" w:rsidRPr="007448B0">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my work.</w:t>
            </w:r>
          </w:p>
        </w:tc>
        <w:tc>
          <w:tcPr>
            <w:tcW w:w="738" w:type="dxa"/>
            <w:tcBorders>
              <w:top w:val="single" w:sz="4" w:space="0" w:color="auto"/>
              <w:bottom w:val="single" w:sz="4" w:space="0" w:color="auto"/>
            </w:tcBorders>
            <w:textDirection w:val="btLr"/>
            <w:vAlign w:val="center"/>
          </w:tcPr>
          <w:p w:rsidR="00C62A43" w:rsidRPr="007448B0" w:rsidRDefault="008F26AE" w:rsidP="006347CE">
            <w:pPr>
              <w:autoSpaceDE w:val="0"/>
              <w:autoSpaceDN w:val="0"/>
              <w:adjustRightInd w:val="0"/>
              <w:jc w:val="center"/>
              <w:rPr>
                <w:rFonts w:ascii="Times New Roman" w:hAnsi="Times New Roman" w:cs="Times New Roman"/>
                <w:b/>
                <w:sz w:val="20"/>
                <w:szCs w:val="20"/>
              </w:rPr>
            </w:pPr>
            <w:r w:rsidRPr="007448B0">
              <w:rPr>
                <w:rFonts w:ascii="Times New Roman" w:hAnsi="Times New Roman" w:cs="Times New Roman"/>
                <w:b/>
                <w:bCs/>
                <w:color w:val="000000"/>
                <w:sz w:val="20"/>
                <w:szCs w:val="16"/>
              </w:rPr>
              <w:t>The program had a positive effect on my career.</w:t>
            </w:r>
          </w:p>
        </w:tc>
        <w:tc>
          <w:tcPr>
            <w:tcW w:w="738" w:type="dxa"/>
            <w:tcBorders>
              <w:top w:val="single" w:sz="4" w:space="0" w:color="auto"/>
              <w:bottom w:val="single" w:sz="4" w:space="0" w:color="auto"/>
            </w:tcBorders>
            <w:textDirection w:val="btLr"/>
            <w:vAlign w:val="center"/>
          </w:tcPr>
          <w:p w:rsidR="00C62A43" w:rsidRPr="007448B0" w:rsidRDefault="008F26AE" w:rsidP="007D5DF2">
            <w:pPr>
              <w:autoSpaceDE w:val="0"/>
              <w:autoSpaceDN w:val="0"/>
              <w:adjustRightInd w:val="0"/>
              <w:jc w:val="center"/>
              <w:rPr>
                <w:rFonts w:ascii="Times New Roman" w:hAnsi="Times New Roman" w:cs="Times New Roman"/>
                <w:b/>
                <w:bCs/>
                <w:color w:val="000000"/>
                <w:sz w:val="20"/>
                <w:szCs w:val="16"/>
              </w:rPr>
            </w:pPr>
            <w:r w:rsidRPr="007448B0">
              <w:rPr>
                <w:rFonts w:ascii="Times New Roman" w:hAnsi="Times New Roman" w:cs="Times New Roman"/>
                <w:b/>
                <w:bCs/>
                <w:color w:val="000000"/>
                <w:sz w:val="20"/>
                <w:szCs w:val="16"/>
              </w:rPr>
              <w:t xml:space="preserve">MBA was able to meet </w:t>
            </w:r>
            <w:r w:rsidR="007D5DF2">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my</w:t>
            </w:r>
            <w:r w:rsidR="007D5DF2">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expectations.</w:t>
            </w:r>
          </w:p>
        </w:tc>
        <w:tc>
          <w:tcPr>
            <w:tcW w:w="738" w:type="dxa"/>
            <w:tcBorders>
              <w:top w:val="single" w:sz="4" w:space="0" w:color="auto"/>
              <w:bottom w:val="single" w:sz="4" w:space="0" w:color="auto"/>
            </w:tcBorders>
            <w:textDirection w:val="btLr"/>
            <w:vAlign w:val="center"/>
          </w:tcPr>
          <w:p w:rsidR="00C62A43" w:rsidRPr="007448B0" w:rsidRDefault="008F26AE" w:rsidP="006347CE">
            <w:pPr>
              <w:autoSpaceDE w:val="0"/>
              <w:autoSpaceDN w:val="0"/>
              <w:adjustRightInd w:val="0"/>
              <w:jc w:val="center"/>
              <w:rPr>
                <w:rFonts w:ascii="Times New Roman" w:hAnsi="Times New Roman" w:cs="Times New Roman"/>
                <w:b/>
                <w:sz w:val="20"/>
                <w:szCs w:val="20"/>
              </w:rPr>
            </w:pPr>
            <w:r w:rsidRPr="007448B0">
              <w:rPr>
                <w:rFonts w:ascii="Times New Roman" w:hAnsi="Times New Roman" w:cs="Times New Roman"/>
                <w:b/>
                <w:bCs/>
                <w:color w:val="000000"/>
                <w:sz w:val="20"/>
                <w:szCs w:val="16"/>
              </w:rPr>
              <w:t>I now feel more social recognition at my workplace thanks to my MBA degree.</w:t>
            </w:r>
          </w:p>
        </w:tc>
        <w:tc>
          <w:tcPr>
            <w:tcW w:w="738" w:type="dxa"/>
            <w:tcBorders>
              <w:top w:val="single" w:sz="4" w:space="0" w:color="auto"/>
              <w:bottom w:val="single" w:sz="4" w:space="0" w:color="auto"/>
              <w:right w:val="single" w:sz="4" w:space="0" w:color="auto"/>
            </w:tcBorders>
            <w:textDirection w:val="btLr"/>
            <w:vAlign w:val="center"/>
          </w:tcPr>
          <w:p w:rsidR="00C62A43" w:rsidRPr="007448B0" w:rsidRDefault="00D80E89" w:rsidP="00992701">
            <w:pPr>
              <w:autoSpaceDE w:val="0"/>
              <w:autoSpaceDN w:val="0"/>
              <w:adjustRightInd w:val="0"/>
              <w:jc w:val="center"/>
              <w:rPr>
                <w:rFonts w:ascii="Times New Roman" w:hAnsi="Times New Roman" w:cs="Times New Roman"/>
                <w:b/>
                <w:sz w:val="20"/>
                <w:szCs w:val="20"/>
              </w:rPr>
            </w:pPr>
            <w:r w:rsidRPr="00D80E89">
              <w:rPr>
                <w:rFonts w:ascii="Times New Roman" w:hAnsi="Times New Roman" w:cs="Times New Roman"/>
                <w:b/>
                <w:bCs/>
                <w:color w:val="000000"/>
                <w:sz w:val="20"/>
                <w:szCs w:val="16"/>
              </w:rPr>
              <w:t xml:space="preserve">I encourage and recommend </w:t>
            </w:r>
            <w:r>
              <w:rPr>
                <w:rFonts w:ascii="Times New Roman" w:hAnsi="Times New Roman" w:cs="Times New Roman"/>
                <w:b/>
                <w:bCs/>
                <w:color w:val="000000"/>
                <w:sz w:val="20"/>
                <w:szCs w:val="16"/>
              </w:rPr>
              <w:t xml:space="preserve">    </w:t>
            </w:r>
            <w:r w:rsidRPr="00D80E89">
              <w:rPr>
                <w:rFonts w:ascii="Times New Roman" w:hAnsi="Times New Roman" w:cs="Times New Roman"/>
                <w:b/>
                <w:bCs/>
                <w:color w:val="000000"/>
                <w:sz w:val="20"/>
                <w:szCs w:val="16"/>
              </w:rPr>
              <w:t>the MBA education.</w:t>
            </w:r>
          </w:p>
        </w:tc>
      </w:tr>
      <w:tr w:rsidR="00C62A43" w:rsidRPr="00BE6E87" w:rsidTr="00C62A43">
        <w:trPr>
          <w:trHeight w:val="177"/>
        </w:trPr>
        <w:tc>
          <w:tcPr>
            <w:tcW w:w="2093" w:type="dxa"/>
            <w:vMerge w:val="restart"/>
            <w:tcBorders>
              <w:left w:val="single" w:sz="4" w:space="0" w:color="auto"/>
            </w:tcBorders>
            <w:vAlign w:val="center"/>
          </w:tcPr>
          <w:p w:rsidR="00C62A43" w:rsidRPr="007448B0" w:rsidRDefault="008F26AE" w:rsidP="008F26AE">
            <w:pPr>
              <w:autoSpaceDE w:val="0"/>
              <w:autoSpaceDN w:val="0"/>
              <w:adjustRightInd w:val="0"/>
              <w:jc w:val="center"/>
              <w:rPr>
                <w:rFonts w:ascii="Times New Roman" w:hAnsi="Times New Roman" w:cs="Times New Roman"/>
                <w:b/>
                <w:bCs/>
                <w:color w:val="000000"/>
                <w:sz w:val="20"/>
                <w:szCs w:val="16"/>
              </w:rPr>
            </w:pPr>
            <w:r w:rsidRPr="007448B0">
              <w:rPr>
                <w:rFonts w:ascii="Times New Roman" w:hAnsi="Times New Roman" w:cs="Times New Roman"/>
                <w:b/>
                <w:bCs/>
                <w:color w:val="000000"/>
                <w:sz w:val="20"/>
                <w:szCs w:val="16"/>
              </w:rPr>
              <w:t>My future career plans had an effect my doing MBA.</w:t>
            </w:r>
          </w:p>
        </w:tc>
        <w:tc>
          <w:tcPr>
            <w:tcW w:w="737"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w:t>
            </w:r>
          </w:p>
        </w:tc>
        <w:tc>
          <w:tcPr>
            <w:tcW w:w="738" w:type="dxa"/>
            <w:tcBorders>
              <w:bottom w:val="nil"/>
            </w:tcBorders>
            <w:vAlign w:val="center"/>
          </w:tcPr>
          <w:p w:rsidR="00C62A43" w:rsidRPr="00316AC6" w:rsidRDefault="00C62A43" w:rsidP="00C62A43">
            <w:pPr>
              <w:spacing w:before="60"/>
              <w:jc w:val="center"/>
              <w:rPr>
                <w:sz w:val="20"/>
                <w:vertAlign w:val="superscript"/>
              </w:rPr>
            </w:pPr>
            <w:r w:rsidRPr="00316AC6">
              <w:rPr>
                <w:sz w:val="20"/>
              </w:rPr>
              <w:t>.518</w:t>
            </w:r>
            <w:r w:rsidRPr="00316AC6">
              <w:rPr>
                <w:sz w:val="20"/>
                <w:vertAlign w:val="superscript"/>
              </w:rPr>
              <w:t>**</w:t>
            </w:r>
          </w:p>
        </w:tc>
        <w:tc>
          <w:tcPr>
            <w:tcW w:w="738" w:type="dxa"/>
            <w:tcBorders>
              <w:bottom w:val="nil"/>
            </w:tcBorders>
            <w:vAlign w:val="center"/>
          </w:tcPr>
          <w:p w:rsidR="00C62A43" w:rsidRPr="00316AC6" w:rsidRDefault="00C62A43" w:rsidP="00C62A43">
            <w:pPr>
              <w:spacing w:before="60"/>
              <w:jc w:val="center"/>
              <w:rPr>
                <w:sz w:val="20"/>
              </w:rPr>
            </w:pPr>
            <w:r w:rsidRPr="00316AC6">
              <w:rPr>
                <w:sz w:val="20"/>
              </w:rPr>
              <w:t>.074</w:t>
            </w:r>
          </w:p>
        </w:tc>
        <w:tc>
          <w:tcPr>
            <w:tcW w:w="738" w:type="dxa"/>
            <w:tcBorders>
              <w:bottom w:val="nil"/>
            </w:tcBorders>
            <w:vAlign w:val="center"/>
          </w:tcPr>
          <w:p w:rsidR="00C62A43" w:rsidRPr="00316AC6" w:rsidRDefault="00C62A43" w:rsidP="00C62A43">
            <w:pPr>
              <w:spacing w:before="60"/>
              <w:jc w:val="center"/>
              <w:rPr>
                <w:sz w:val="20"/>
                <w:vertAlign w:val="superscript"/>
              </w:rPr>
            </w:pPr>
            <w:r w:rsidRPr="00316AC6">
              <w:rPr>
                <w:sz w:val="20"/>
              </w:rPr>
              <w:t>.302</w:t>
            </w:r>
            <w:r w:rsidRPr="00316AC6">
              <w:rPr>
                <w:sz w:val="20"/>
                <w:vertAlign w:val="superscript"/>
              </w:rPr>
              <w:t>**</w:t>
            </w:r>
          </w:p>
        </w:tc>
        <w:tc>
          <w:tcPr>
            <w:tcW w:w="738" w:type="dxa"/>
            <w:tcBorders>
              <w:bottom w:val="nil"/>
            </w:tcBorders>
            <w:vAlign w:val="center"/>
          </w:tcPr>
          <w:p w:rsidR="00C62A43" w:rsidRPr="00316AC6" w:rsidRDefault="00C62A43" w:rsidP="00C62A43">
            <w:pPr>
              <w:spacing w:before="60"/>
              <w:jc w:val="center"/>
              <w:rPr>
                <w:sz w:val="20"/>
                <w:vertAlign w:val="superscript"/>
              </w:rPr>
            </w:pPr>
            <w:r w:rsidRPr="00316AC6">
              <w:rPr>
                <w:sz w:val="20"/>
              </w:rPr>
              <w:t>.349</w:t>
            </w:r>
            <w:r w:rsidRPr="00316AC6">
              <w:rPr>
                <w:sz w:val="20"/>
                <w:vertAlign w:val="superscript"/>
              </w:rPr>
              <w:t>**</w:t>
            </w:r>
          </w:p>
        </w:tc>
        <w:tc>
          <w:tcPr>
            <w:tcW w:w="737" w:type="dxa"/>
            <w:tcBorders>
              <w:bottom w:val="nil"/>
            </w:tcBorders>
            <w:vAlign w:val="center"/>
          </w:tcPr>
          <w:p w:rsidR="00C62A43" w:rsidRPr="00316AC6" w:rsidRDefault="00C62A43" w:rsidP="00C62A43">
            <w:pPr>
              <w:spacing w:before="60"/>
              <w:jc w:val="center"/>
              <w:rPr>
                <w:sz w:val="20"/>
                <w:vertAlign w:val="superscript"/>
              </w:rPr>
            </w:pPr>
            <w:r w:rsidRPr="00316AC6">
              <w:rPr>
                <w:sz w:val="20"/>
              </w:rPr>
              <w:t>.400</w:t>
            </w:r>
            <w:r w:rsidRPr="00316AC6">
              <w:rPr>
                <w:sz w:val="20"/>
                <w:vertAlign w:val="superscript"/>
              </w:rPr>
              <w:t>**</w:t>
            </w:r>
          </w:p>
        </w:tc>
        <w:tc>
          <w:tcPr>
            <w:tcW w:w="738" w:type="dxa"/>
            <w:tcBorders>
              <w:bottom w:val="nil"/>
            </w:tcBorders>
            <w:vAlign w:val="center"/>
          </w:tcPr>
          <w:p w:rsidR="00C62A43" w:rsidRPr="00316AC6" w:rsidRDefault="00C62A43" w:rsidP="00C62A43">
            <w:pPr>
              <w:spacing w:before="60"/>
              <w:jc w:val="center"/>
              <w:rPr>
                <w:sz w:val="20"/>
                <w:vertAlign w:val="superscript"/>
              </w:rPr>
            </w:pPr>
            <w:r w:rsidRPr="00316AC6">
              <w:rPr>
                <w:sz w:val="20"/>
              </w:rPr>
              <w:t>.321</w:t>
            </w:r>
            <w:r w:rsidRPr="00316AC6">
              <w:rPr>
                <w:sz w:val="20"/>
                <w:vertAlign w:val="superscript"/>
              </w:rPr>
              <w:t>**</w:t>
            </w:r>
          </w:p>
        </w:tc>
        <w:tc>
          <w:tcPr>
            <w:tcW w:w="738" w:type="dxa"/>
            <w:tcBorders>
              <w:bottom w:val="nil"/>
            </w:tcBorders>
            <w:vAlign w:val="center"/>
          </w:tcPr>
          <w:p w:rsidR="00C62A43" w:rsidRPr="00316AC6" w:rsidRDefault="00C62A43" w:rsidP="00C62A43">
            <w:pPr>
              <w:spacing w:before="60"/>
              <w:jc w:val="center"/>
              <w:rPr>
                <w:sz w:val="20"/>
                <w:vertAlign w:val="superscript"/>
              </w:rPr>
            </w:pPr>
            <w:r w:rsidRPr="00316AC6">
              <w:rPr>
                <w:sz w:val="20"/>
              </w:rPr>
              <w:t>.203</w:t>
            </w:r>
            <w:r w:rsidRPr="00316AC6">
              <w:rPr>
                <w:sz w:val="20"/>
                <w:vertAlign w:val="superscript"/>
              </w:rPr>
              <w:t>**</w:t>
            </w:r>
          </w:p>
        </w:tc>
        <w:tc>
          <w:tcPr>
            <w:tcW w:w="738" w:type="dxa"/>
            <w:tcBorders>
              <w:bottom w:val="nil"/>
            </w:tcBorders>
            <w:vAlign w:val="center"/>
          </w:tcPr>
          <w:p w:rsidR="00C62A43" w:rsidRPr="00316AC6" w:rsidRDefault="00C62A43" w:rsidP="00C62A43">
            <w:pPr>
              <w:spacing w:before="60"/>
              <w:jc w:val="center"/>
              <w:rPr>
                <w:sz w:val="20"/>
                <w:vertAlign w:val="superscript"/>
              </w:rPr>
            </w:pPr>
            <w:r w:rsidRPr="00316AC6">
              <w:rPr>
                <w:sz w:val="20"/>
              </w:rPr>
              <w:t>.349</w:t>
            </w:r>
            <w:r w:rsidRPr="00316AC6">
              <w:rPr>
                <w:sz w:val="20"/>
                <w:vertAlign w:val="superscript"/>
              </w:rPr>
              <w:t>**</w:t>
            </w:r>
          </w:p>
        </w:tc>
        <w:tc>
          <w:tcPr>
            <w:tcW w:w="738" w:type="dxa"/>
            <w:tcBorders>
              <w:bottom w:val="nil"/>
              <w:right w:val="single" w:sz="4" w:space="0" w:color="auto"/>
            </w:tcBorders>
            <w:vAlign w:val="center"/>
          </w:tcPr>
          <w:p w:rsidR="00C62A43" w:rsidRPr="00316AC6" w:rsidRDefault="00C62A43" w:rsidP="00C62A43">
            <w:pPr>
              <w:spacing w:before="60"/>
              <w:jc w:val="center"/>
              <w:rPr>
                <w:sz w:val="20"/>
              </w:rPr>
            </w:pPr>
            <w:r w:rsidRPr="00316AC6">
              <w:rPr>
                <w:sz w:val="20"/>
              </w:rPr>
              <w:t>.115</w:t>
            </w:r>
          </w:p>
        </w:tc>
      </w:tr>
      <w:tr w:rsidR="00C62A43" w:rsidRPr="00BE6E87" w:rsidTr="00C62A43">
        <w:trPr>
          <w:trHeight w:val="177"/>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w:t>
            </w:r>
          </w:p>
        </w:tc>
        <w:tc>
          <w:tcPr>
            <w:tcW w:w="738" w:type="dxa"/>
            <w:tcBorders>
              <w:top w:val="nil"/>
              <w:bottom w:val="nil"/>
            </w:tcBorders>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vAlign w:val="center"/>
          </w:tcPr>
          <w:p w:rsidR="00C62A43" w:rsidRPr="00316AC6" w:rsidRDefault="00C62A43" w:rsidP="00C62A43">
            <w:pPr>
              <w:spacing w:before="60"/>
              <w:jc w:val="center"/>
              <w:rPr>
                <w:sz w:val="20"/>
              </w:rPr>
            </w:pPr>
            <w:r w:rsidRPr="00316AC6">
              <w:rPr>
                <w:sz w:val="20"/>
              </w:rPr>
              <w:t>.339</w:t>
            </w:r>
          </w:p>
        </w:tc>
        <w:tc>
          <w:tcPr>
            <w:tcW w:w="738" w:type="dxa"/>
            <w:tcBorders>
              <w:top w:val="nil"/>
              <w:bottom w:val="nil"/>
            </w:tcBorders>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vAlign w:val="center"/>
          </w:tcPr>
          <w:p w:rsidR="00C62A43" w:rsidRPr="00316AC6" w:rsidRDefault="00C62A43" w:rsidP="00C62A43">
            <w:pPr>
              <w:spacing w:before="60"/>
              <w:jc w:val="center"/>
              <w:rPr>
                <w:sz w:val="20"/>
              </w:rPr>
            </w:pPr>
            <w:r w:rsidRPr="00316AC6">
              <w:rPr>
                <w:sz w:val="20"/>
              </w:rPr>
              <w:t>.000</w:t>
            </w:r>
          </w:p>
        </w:tc>
        <w:tc>
          <w:tcPr>
            <w:tcW w:w="737" w:type="dxa"/>
            <w:tcBorders>
              <w:top w:val="nil"/>
              <w:bottom w:val="nil"/>
            </w:tcBorders>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vAlign w:val="center"/>
          </w:tcPr>
          <w:p w:rsidR="00C62A43" w:rsidRPr="00316AC6" w:rsidRDefault="00C62A43" w:rsidP="00C62A43">
            <w:pPr>
              <w:spacing w:before="60"/>
              <w:jc w:val="center"/>
              <w:rPr>
                <w:sz w:val="20"/>
              </w:rPr>
            </w:pPr>
            <w:r w:rsidRPr="00316AC6">
              <w:rPr>
                <w:sz w:val="20"/>
              </w:rPr>
              <w:t>.008</w:t>
            </w:r>
          </w:p>
        </w:tc>
        <w:tc>
          <w:tcPr>
            <w:tcW w:w="738" w:type="dxa"/>
            <w:tcBorders>
              <w:top w:val="nil"/>
              <w:bottom w:val="nil"/>
            </w:tcBorders>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right w:val="single" w:sz="4" w:space="0" w:color="auto"/>
            </w:tcBorders>
            <w:vAlign w:val="center"/>
          </w:tcPr>
          <w:p w:rsidR="00C62A43" w:rsidRPr="00316AC6" w:rsidRDefault="00C62A43" w:rsidP="00C62A43">
            <w:pPr>
              <w:spacing w:before="60"/>
              <w:jc w:val="center"/>
              <w:rPr>
                <w:sz w:val="20"/>
              </w:rPr>
            </w:pPr>
            <w:r w:rsidRPr="00316AC6">
              <w:rPr>
                <w:sz w:val="20"/>
              </w:rPr>
              <w:t>.136</w:t>
            </w:r>
          </w:p>
        </w:tc>
      </w:tr>
      <w:tr w:rsidR="00C62A43" w:rsidRPr="00BE6E87" w:rsidTr="00C62A43">
        <w:trPr>
          <w:trHeight w:val="177"/>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7"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r>
      <w:tr w:rsidR="00C62A43" w:rsidRPr="00BE6E87" w:rsidTr="00C62A43">
        <w:trPr>
          <w:trHeight w:val="220"/>
        </w:trPr>
        <w:tc>
          <w:tcPr>
            <w:tcW w:w="2093" w:type="dxa"/>
            <w:vMerge w:val="restart"/>
            <w:tcBorders>
              <w:left w:val="single" w:sz="4" w:space="0" w:color="auto"/>
            </w:tcBorders>
            <w:vAlign w:val="center"/>
          </w:tcPr>
          <w:p w:rsidR="00C62A43" w:rsidRPr="007448B0" w:rsidRDefault="008F26AE" w:rsidP="008F26AE">
            <w:pPr>
              <w:autoSpaceDE w:val="0"/>
              <w:autoSpaceDN w:val="0"/>
              <w:adjustRightInd w:val="0"/>
              <w:jc w:val="center"/>
              <w:rPr>
                <w:rFonts w:ascii="Times New Roman" w:hAnsi="Times New Roman" w:cs="Times New Roman"/>
                <w:b/>
                <w:bCs/>
                <w:color w:val="000000"/>
                <w:sz w:val="20"/>
                <w:szCs w:val="16"/>
              </w:rPr>
            </w:pPr>
            <w:r w:rsidRPr="007448B0">
              <w:rPr>
                <w:rFonts w:ascii="Times New Roman" w:hAnsi="Times New Roman" w:cs="Times New Roman"/>
                <w:b/>
                <w:bCs/>
                <w:color w:val="000000"/>
                <w:sz w:val="20"/>
                <w:szCs w:val="16"/>
              </w:rPr>
              <w:t xml:space="preserve">My expectation for </w:t>
            </w:r>
            <w:r w:rsidR="007D5DF2">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 xml:space="preserve">a higher income level had an effect </w:t>
            </w:r>
            <w:r w:rsidR="007D5DF2">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to do MBA.</w:t>
            </w:r>
          </w:p>
        </w:tc>
        <w:tc>
          <w:tcPr>
            <w:tcW w:w="737" w:type="dxa"/>
            <w:tcBorders>
              <w:bottom w:val="nil"/>
            </w:tcBorders>
            <w:vAlign w:val="center"/>
          </w:tcPr>
          <w:p w:rsidR="00C62A43" w:rsidRPr="00316AC6" w:rsidRDefault="00C62A43" w:rsidP="00C62A43">
            <w:pPr>
              <w:spacing w:before="60"/>
              <w:jc w:val="center"/>
              <w:rPr>
                <w:sz w:val="20"/>
                <w:vertAlign w:val="superscript"/>
              </w:rPr>
            </w:pPr>
            <w:r w:rsidRPr="00316AC6">
              <w:rPr>
                <w:sz w:val="20"/>
              </w:rPr>
              <w:t>.518</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.062</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.124</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.166</w:t>
            </w:r>
            <w:r w:rsidRPr="00316AC6">
              <w:rPr>
                <w:sz w:val="20"/>
                <w:vertAlign w:val="superscript"/>
              </w:rPr>
              <w:t>*</w:t>
            </w:r>
          </w:p>
        </w:tc>
        <w:tc>
          <w:tcPr>
            <w:tcW w:w="737"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.212</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.296</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.083</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.264</w:t>
            </w:r>
            <w:r w:rsidRPr="00316AC6">
              <w:rPr>
                <w:sz w:val="20"/>
                <w:vertAlign w:val="superscript"/>
              </w:rPr>
              <w:t>**</w:t>
            </w:r>
          </w:p>
        </w:tc>
        <w:tc>
          <w:tcPr>
            <w:tcW w:w="738" w:type="dxa"/>
            <w:tcBorders>
              <w:bottom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.028</w:t>
            </w:r>
          </w:p>
        </w:tc>
      </w:tr>
      <w:tr w:rsidR="00C62A43" w:rsidRPr="00BE6E87" w:rsidTr="00C62A43">
        <w:trPr>
          <w:trHeight w:val="220"/>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bottom w:val="nil"/>
            </w:tcBorders>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.425</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.107</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.031</w:t>
            </w:r>
          </w:p>
        </w:tc>
        <w:tc>
          <w:tcPr>
            <w:tcW w:w="737"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.005</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.282</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.001</w:t>
            </w:r>
          </w:p>
        </w:tc>
        <w:tc>
          <w:tcPr>
            <w:tcW w:w="738" w:type="dxa"/>
            <w:tcBorders>
              <w:top w:val="nil"/>
              <w:bottom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.720</w:t>
            </w:r>
          </w:p>
        </w:tc>
      </w:tr>
      <w:tr w:rsidR="00C62A43" w:rsidRPr="00BE6E87" w:rsidTr="00C62A43">
        <w:trPr>
          <w:trHeight w:val="220"/>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tcBorders>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7"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r>
      <w:tr w:rsidR="00C62A43" w:rsidRPr="00BE6E87" w:rsidTr="00C62A43">
        <w:trPr>
          <w:trHeight w:val="142"/>
        </w:trPr>
        <w:tc>
          <w:tcPr>
            <w:tcW w:w="2093" w:type="dxa"/>
            <w:vMerge w:val="restart"/>
            <w:tcBorders>
              <w:left w:val="single" w:sz="4" w:space="0" w:color="auto"/>
            </w:tcBorders>
            <w:vAlign w:val="center"/>
          </w:tcPr>
          <w:p w:rsidR="00C62A43" w:rsidRPr="007448B0" w:rsidRDefault="008F26AE" w:rsidP="008F26AE">
            <w:pPr>
              <w:autoSpaceDE w:val="0"/>
              <w:autoSpaceDN w:val="0"/>
              <w:adjustRightInd w:val="0"/>
              <w:jc w:val="center"/>
              <w:rPr>
                <w:rFonts w:ascii="Times New Roman" w:hAnsi="Times New Roman" w:cs="Times New Roman"/>
                <w:b/>
                <w:bCs/>
                <w:color w:val="000000"/>
                <w:sz w:val="20"/>
                <w:szCs w:val="16"/>
              </w:rPr>
            </w:pPr>
            <w:r w:rsidRPr="007448B0">
              <w:rPr>
                <w:rFonts w:ascii="Times New Roman" w:hAnsi="Times New Roman" w:cs="Times New Roman"/>
                <w:b/>
                <w:bCs/>
                <w:color w:val="000000"/>
                <w:sz w:val="20"/>
                <w:szCs w:val="16"/>
              </w:rPr>
              <w:t xml:space="preserve">The institution </w:t>
            </w:r>
            <w:r w:rsidR="007D5DF2">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 xml:space="preserve">I work for had </w:t>
            </w:r>
            <w:r w:rsidR="007D5DF2">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an effect my decision to do MBA.</w:t>
            </w:r>
          </w:p>
        </w:tc>
        <w:tc>
          <w:tcPr>
            <w:tcW w:w="737" w:type="dxa"/>
            <w:tcBorders>
              <w:bottom w:val="nil"/>
            </w:tcBorders>
            <w:vAlign w:val="center"/>
          </w:tcPr>
          <w:p w:rsidR="00C62A43" w:rsidRPr="00316AC6" w:rsidRDefault="00C62A43" w:rsidP="00C62A43">
            <w:pPr>
              <w:spacing w:before="60"/>
              <w:jc w:val="center"/>
              <w:rPr>
                <w:sz w:val="20"/>
              </w:rPr>
            </w:pPr>
            <w:r w:rsidRPr="00316AC6">
              <w:rPr>
                <w:sz w:val="20"/>
              </w:rPr>
              <w:t>.074</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.062</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.086</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.136</w:t>
            </w:r>
          </w:p>
        </w:tc>
        <w:tc>
          <w:tcPr>
            <w:tcW w:w="737"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.269</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.080</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-.108</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-.113</w:t>
            </w:r>
          </w:p>
        </w:tc>
        <w:tc>
          <w:tcPr>
            <w:tcW w:w="738" w:type="dxa"/>
            <w:tcBorders>
              <w:bottom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.084</w:t>
            </w:r>
          </w:p>
        </w:tc>
      </w:tr>
      <w:tr w:rsidR="00C62A43" w:rsidRPr="00BE6E87" w:rsidTr="00C62A43">
        <w:trPr>
          <w:trHeight w:val="119"/>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bottom w:val="nil"/>
            </w:tcBorders>
            <w:vAlign w:val="center"/>
          </w:tcPr>
          <w:p w:rsidR="00C62A43" w:rsidRPr="00316AC6" w:rsidRDefault="00C62A43" w:rsidP="00C62A43">
            <w:pPr>
              <w:spacing w:before="60"/>
              <w:jc w:val="center"/>
              <w:rPr>
                <w:sz w:val="20"/>
              </w:rPr>
            </w:pPr>
            <w:r w:rsidRPr="00316AC6">
              <w:rPr>
                <w:sz w:val="20"/>
              </w:rPr>
              <w:t>.339</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.425</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.262</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.078</w:t>
            </w:r>
          </w:p>
        </w:tc>
        <w:tc>
          <w:tcPr>
            <w:tcW w:w="737"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.299</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.162</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.142</w:t>
            </w:r>
          </w:p>
        </w:tc>
        <w:tc>
          <w:tcPr>
            <w:tcW w:w="738" w:type="dxa"/>
            <w:tcBorders>
              <w:top w:val="nil"/>
              <w:bottom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.277</w:t>
            </w:r>
          </w:p>
        </w:tc>
      </w:tr>
      <w:tr w:rsidR="00C62A43" w:rsidRPr="00BE6E87" w:rsidTr="00C62A43">
        <w:trPr>
          <w:trHeight w:val="70"/>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tcBorders>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7"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r>
      <w:tr w:rsidR="00C62A43" w:rsidRPr="00BE6E87" w:rsidTr="00C62A43">
        <w:trPr>
          <w:trHeight w:val="160"/>
        </w:trPr>
        <w:tc>
          <w:tcPr>
            <w:tcW w:w="2093" w:type="dxa"/>
            <w:vMerge w:val="restart"/>
            <w:tcBorders>
              <w:left w:val="single" w:sz="4" w:space="0" w:color="auto"/>
            </w:tcBorders>
            <w:vAlign w:val="center"/>
          </w:tcPr>
          <w:p w:rsidR="00C62A43" w:rsidRPr="007448B0" w:rsidRDefault="008F26AE" w:rsidP="008F26AE">
            <w:pPr>
              <w:autoSpaceDE w:val="0"/>
              <w:autoSpaceDN w:val="0"/>
              <w:adjustRightInd w:val="0"/>
              <w:jc w:val="center"/>
              <w:rPr>
                <w:rFonts w:ascii="Times New Roman" w:hAnsi="Times New Roman" w:cs="Times New Roman"/>
                <w:b/>
                <w:bCs/>
                <w:color w:val="000000"/>
                <w:sz w:val="20"/>
                <w:szCs w:val="16"/>
              </w:rPr>
            </w:pPr>
            <w:r w:rsidRPr="007448B0">
              <w:rPr>
                <w:rFonts w:ascii="Times New Roman" w:hAnsi="Times New Roman" w:cs="Times New Roman"/>
                <w:b/>
                <w:bCs/>
                <w:color w:val="000000"/>
                <w:sz w:val="20"/>
                <w:szCs w:val="16"/>
              </w:rPr>
              <w:t>MBA program helped my personal development.</w:t>
            </w:r>
          </w:p>
        </w:tc>
        <w:tc>
          <w:tcPr>
            <w:tcW w:w="737" w:type="dxa"/>
            <w:tcBorders>
              <w:bottom w:val="nil"/>
            </w:tcBorders>
            <w:vAlign w:val="center"/>
          </w:tcPr>
          <w:p w:rsidR="00C62A43" w:rsidRPr="00316AC6" w:rsidRDefault="00C62A43" w:rsidP="00C62A43">
            <w:pPr>
              <w:spacing w:before="60"/>
              <w:jc w:val="center"/>
              <w:rPr>
                <w:sz w:val="20"/>
              </w:rPr>
            </w:pPr>
            <w:r w:rsidRPr="00316AC6">
              <w:rPr>
                <w:sz w:val="20"/>
              </w:rPr>
              <w:t>.302</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.124</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.086</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.665</w:t>
            </w:r>
            <w:r w:rsidRPr="00316AC6">
              <w:rPr>
                <w:sz w:val="20"/>
                <w:vertAlign w:val="superscript"/>
              </w:rPr>
              <w:t>**</w:t>
            </w:r>
          </w:p>
        </w:tc>
        <w:tc>
          <w:tcPr>
            <w:tcW w:w="737"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.512</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.324</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.460</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.411</w:t>
            </w:r>
            <w:r w:rsidRPr="00316AC6">
              <w:rPr>
                <w:sz w:val="20"/>
                <w:vertAlign w:val="superscript"/>
              </w:rPr>
              <w:t>**</w:t>
            </w:r>
          </w:p>
        </w:tc>
        <w:tc>
          <w:tcPr>
            <w:tcW w:w="738" w:type="dxa"/>
            <w:tcBorders>
              <w:bottom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.363</w:t>
            </w:r>
            <w:r w:rsidRPr="00316AC6">
              <w:rPr>
                <w:sz w:val="20"/>
                <w:vertAlign w:val="superscript"/>
              </w:rPr>
              <w:t>**</w:t>
            </w:r>
          </w:p>
        </w:tc>
      </w:tr>
      <w:tr w:rsidR="00C62A43" w:rsidRPr="00BE6E87" w:rsidTr="00C62A43">
        <w:trPr>
          <w:trHeight w:val="136"/>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bottom w:val="nil"/>
            </w:tcBorders>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.107</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.262</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7"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.000</w:t>
            </w:r>
          </w:p>
        </w:tc>
      </w:tr>
      <w:tr w:rsidR="00C62A43" w:rsidRPr="00BE6E87" w:rsidTr="00C62A43">
        <w:trPr>
          <w:trHeight w:val="70"/>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tcBorders>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7"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r>
      <w:tr w:rsidR="00C62A43" w:rsidRPr="00BE6E87" w:rsidTr="00C62A43">
        <w:trPr>
          <w:trHeight w:val="170"/>
        </w:trPr>
        <w:tc>
          <w:tcPr>
            <w:tcW w:w="2093" w:type="dxa"/>
            <w:vMerge w:val="restart"/>
            <w:tcBorders>
              <w:left w:val="single" w:sz="4" w:space="0" w:color="auto"/>
            </w:tcBorders>
            <w:vAlign w:val="center"/>
          </w:tcPr>
          <w:p w:rsidR="00C62A43" w:rsidRPr="007448B0" w:rsidRDefault="008F26AE" w:rsidP="008F26AE">
            <w:pPr>
              <w:autoSpaceDE w:val="0"/>
              <w:autoSpaceDN w:val="0"/>
              <w:adjustRightInd w:val="0"/>
              <w:jc w:val="center"/>
              <w:rPr>
                <w:rFonts w:ascii="Times New Roman" w:hAnsi="Times New Roman" w:cs="Times New Roman"/>
                <w:b/>
                <w:bCs/>
                <w:color w:val="000000"/>
                <w:sz w:val="20"/>
                <w:szCs w:val="16"/>
              </w:rPr>
            </w:pPr>
            <w:r w:rsidRPr="007448B0">
              <w:rPr>
                <w:rFonts w:ascii="Times New Roman" w:hAnsi="Times New Roman" w:cs="Times New Roman"/>
                <w:b/>
                <w:bCs/>
                <w:color w:val="000000"/>
                <w:sz w:val="20"/>
                <w:szCs w:val="16"/>
              </w:rPr>
              <w:t>The program assisted me to increase my selfconfidence.</w:t>
            </w:r>
          </w:p>
        </w:tc>
        <w:tc>
          <w:tcPr>
            <w:tcW w:w="737" w:type="dxa"/>
            <w:tcBorders>
              <w:bottom w:val="nil"/>
            </w:tcBorders>
            <w:vAlign w:val="center"/>
          </w:tcPr>
          <w:p w:rsidR="00C62A43" w:rsidRPr="00316AC6" w:rsidRDefault="00C62A43" w:rsidP="00C62A43">
            <w:pPr>
              <w:spacing w:before="60"/>
              <w:jc w:val="center"/>
              <w:rPr>
                <w:sz w:val="20"/>
                <w:vertAlign w:val="superscript"/>
              </w:rPr>
            </w:pPr>
            <w:r w:rsidRPr="00316AC6">
              <w:rPr>
                <w:sz w:val="20"/>
              </w:rPr>
              <w:t>.349</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.166</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.136</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.665</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w:t>
            </w:r>
          </w:p>
        </w:tc>
        <w:tc>
          <w:tcPr>
            <w:tcW w:w="737"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.568</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.335</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.442</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.443</w:t>
            </w:r>
            <w:r w:rsidRPr="00316AC6">
              <w:rPr>
                <w:sz w:val="20"/>
                <w:vertAlign w:val="superscript"/>
              </w:rPr>
              <w:t>**</w:t>
            </w:r>
          </w:p>
        </w:tc>
        <w:tc>
          <w:tcPr>
            <w:tcW w:w="738" w:type="dxa"/>
            <w:tcBorders>
              <w:bottom w:val="nil"/>
              <w:right w:val="single" w:sz="4" w:space="0" w:color="auto"/>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.317</w:t>
            </w:r>
            <w:r w:rsidRPr="00316AC6">
              <w:rPr>
                <w:sz w:val="20"/>
                <w:vertAlign w:val="superscript"/>
              </w:rPr>
              <w:t>**</w:t>
            </w:r>
          </w:p>
        </w:tc>
      </w:tr>
      <w:tr w:rsidR="00C62A43" w:rsidRPr="00BE6E87" w:rsidTr="00C62A43">
        <w:trPr>
          <w:trHeight w:val="88"/>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bottom w:val="nil"/>
            </w:tcBorders>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.031</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.078</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w:t>
            </w:r>
          </w:p>
        </w:tc>
        <w:tc>
          <w:tcPr>
            <w:tcW w:w="737"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.000</w:t>
            </w:r>
          </w:p>
        </w:tc>
      </w:tr>
      <w:tr w:rsidR="00C62A43" w:rsidRPr="00BE6E87" w:rsidTr="00C62A43">
        <w:trPr>
          <w:trHeight w:val="134"/>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tcBorders>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7"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r>
      <w:tr w:rsidR="00C62A43" w:rsidRPr="00BE6E87" w:rsidTr="00C62A43">
        <w:trPr>
          <w:trHeight w:val="79"/>
        </w:trPr>
        <w:tc>
          <w:tcPr>
            <w:tcW w:w="2093" w:type="dxa"/>
            <w:vMerge w:val="restart"/>
            <w:tcBorders>
              <w:left w:val="single" w:sz="4" w:space="0" w:color="auto"/>
            </w:tcBorders>
            <w:vAlign w:val="center"/>
          </w:tcPr>
          <w:p w:rsidR="00C62A43" w:rsidRPr="007448B0" w:rsidRDefault="008F26AE" w:rsidP="007D5DF2">
            <w:pPr>
              <w:autoSpaceDE w:val="0"/>
              <w:autoSpaceDN w:val="0"/>
              <w:adjustRightInd w:val="0"/>
              <w:jc w:val="center"/>
              <w:rPr>
                <w:rFonts w:ascii="Times New Roman" w:hAnsi="Times New Roman" w:cs="Times New Roman"/>
                <w:b/>
                <w:bCs/>
                <w:color w:val="000000"/>
                <w:sz w:val="20"/>
                <w:szCs w:val="16"/>
              </w:rPr>
            </w:pPr>
            <w:r w:rsidRPr="007448B0">
              <w:rPr>
                <w:rFonts w:ascii="Times New Roman" w:hAnsi="Times New Roman" w:cs="Times New Roman"/>
                <w:b/>
                <w:bCs/>
                <w:color w:val="000000"/>
                <w:sz w:val="20"/>
                <w:szCs w:val="16"/>
              </w:rPr>
              <w:t xml:space="preserve">MBA increased </w:t>
            </w:r>
            <w:r w:rsidR="007D5DF2">
              <w:rPr>
                <w:rFonts w:ascii="Times New Roman" w:hAnsi="Times New Roman" w:cs="Times New Roman"/>
                <w:b/>
                <w:bCs/>
                <w:color w:val="000000"/>
                <w:sz w:val="20"/>
                <w:szCs w:val="16"/>
              </w:rPr>
              <w:t xml:space="preserve">      my </w:t>
            </w:r>
            <w:r w:rsidRPr="007448B0">
              <w:rPr>
                <w:rFonts w:ascii="Times New Roman" w:hAnsi="Times New Roman" w:cs="Times New Roman"/>
                <w:b/>
                <w:bCs/>
                <w:color w:val="000000"/>
                <w:sz w:val="20"/>
                <w:szCs w:val="16"/>
              </w:rPr>
              <w:t xml:space="preserve">motivation </w:t>
            </w:r>
            <w:r w:rsidR="007D5DF2">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towards the work.</w:t>
            </w:r>
          </w:p>
        </w:tc>
        <w:tc>
          <w:tcPr>
            <w:tcW w:w="737" w:type="dxa"/>
            <w:tcBorders>
              <w:bottom w:val="nil"/>
            </w:tcBorders>
            <w:vAlign w:val="center"/>
          </w:tcPr>
          <w:p w:rsidR="00C62A43" w:rsidRPr="00316AC6" w:rsidRDefault="00C62A43" w:rsidP="00C62A43">
            <w:pPr>
              <w:spacing w:before="60"/>
              <w:jc w:val="center"/>
              <w:rPr>
                <w:sz w:val="20"/>
                <w:vertAlign w:val="superscript"/>
              </w:rPr>
            </w:pPr>
            <w:r w:rsidRPr="00316AC6">
              <w:rPr>
                <w:sz w:val="20"/>
              </w:rPr>
              <w:t>.400</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.212</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.269</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.512</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.568</w:t>
            </w:r>
            <w:r w:rsidRPr="00316AC6">
              <w:rPr>
                <w:sz w:val="20"/>
                <w:vertAlign w:val="superscript"/>
              </w:rPr>
              <w:t>**</w:t>
            </w:r>
          </w:p>
        </w:tc>
        <w:tc>
          <w:tcPr>
            <w:tcW w:w="737"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.465</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.339</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.377</w:t>
            </w:r>
            <w:r w:rsidRPr="00316AC6">
              <w:rPr>
                <w:sz w:val="20"/>
                <w:vertAlign w:val="superscript"/>
              </w:rPr>
              <w:t>**</w:t>
            </w:r>
          </w:p>
        </w:tc>
        <w:tc>
          <w:tcPr>
            <w:tcW w:w="738" w:type="dxa"/>
            <w:tcBorders>
              <w:bottom w:val="nil"/>
              <w:right w:val="single" w:sz="4" w:space="0" w:color="auto"/>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.340</w:t>
            </w:r>
            <w:r w:rsidRPr="00316AC6">
              <w:rPr>
                <w:sz w:val="20"/>
                <w:vertAlign w:val="superscript"/>
              </w:rPr>
              <w:t>**</w:t>
            </w:r>
          </w:p>
        </w:tc>
      </w:tr>
      <w:tr w:rsidR="00C62A43" w:rsidRPr="00BE6E87" w:rsidTr="00C62A43">
        <w:trPr>
          <w:trHeight w:val="138"/>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bottom w:val="nil"/>
            </w:tcBorders>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.005</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7"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.000</w:t>
            </w:r>
          </w:p>
        </w:tc>
      </w:tr>
      <w:tr w:rsidR="00C62A43" w:rsidRPr="00BE6E87" w:rsidTr="00C62A43">
        <w:trPr>
          <w:trHeight w:val="70"/>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tcBorders>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7"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r>
      <w:tr w:rsidR="00C62A43" w:rsidRPr="00BE6E87" w:rsidTr="00C62A43">
        <w:trPr>
          <w:trHeight w:val="88"/>
        </w:trPr>
        <w:tc>
          <w:tcPr>
            <w:tcW w:w="2093" w:type="dxa"/>
            <w:vMerge w:val="restart"/>
            <w:tcBorders>
              <w:left w:val="single" w:sz="4" w:space="0" w:color="auto"/>
            </w:tcBorders>
            <w:vAlign w:val="center"/>
          </w:tcPr>
          <w:p w:rsidR="00C62A43" w:rsidRPr="007448B0" w:rsidRDefault="008F26AE" w:rsidP="008F26AE">
            <w:pPr>
              <w:autoSpaceDE w:val="0"/>
              <w:autoSpaceDN w:val="0"/>
              <w:adjustRightInd w:val="0"/>
              <w:jc w:val="center"/>
              <w:rPr>
                <w:rFonts w:ascii="Times New Roman" w:hAnsi="Times New Roman" w:cs="Times New Roman"/>
                <w:b/>
                <w:sz w:val="20"/>
              </w:rPr>
            </w:pPr>
            <w:r w:rsidRPr="007448B0">
              <w:rPr>
                <w:rFonts w:ascii="Times New Roman" w:hAnsi="Times New Roman" w:cs="Times New Roman"/>
                <w:b/>
                <w:bCs/>
                <w:color w:val="000000"/>
                <w:sz w:val="20"/>
                <w:szCs w:val="16"/>
              </w:rPr>
              <w:t xml:space="preserve">The program had </w:t>
            </w:r>
            <w:r w:rsidR="007D5DF2">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 xml:space="preserve">a positive effect </w:t>
            </w:r>
            <w:r w:rsidR="007D5DF2">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on my career.</w:t>
            </w:r>
          </w:p>
        </w:tc>
        <w:tc>
          <w:tcPr>
            <w:tcW w:w="737" w:type="dxa"/>
            <w:tcBorders>
              <w:bottom w:val="nil"/>
            </w:tcBorders>
            <w:vAlign w:val="center"/>
          </w:tcPr>
          <w:p w:rsidR="00C62A43" w:rsidRPr="00316AC6" w:rsidRDefault="00C62A43" w:rsidP="00C62A43">
            <w:pPr>
              <w:spacing w:before="60"/>
              <w:jc w:val="center"/>
              <w:rPr>
                <w:sz w:val="20"/>
                <w:vertAlign w:val="superscript"/>
              </w:rPr>
            </w:pPr>
            <w:r w:rsidRPr="00316AC6">
              <w:rPr>
                <w:sz w:val="20"/>
              </w:rPr>
              <w:t>.321</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.296</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.080</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.324</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.335</w:t>
            </w:r>
            <w:r w:rsidRPr="00316AC6">
              <w:rPr>
                <w:sz w:val="20"/>
                <w:vertAlign w:val="superscript"/>
              </w:rPr>
              <w:t>**</w:t>
            </w:r>
          </w:p>
        </w:tc>
        <w:tc>
          <w:tcPr>
            <w:tcW w:w="737"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.465</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.414</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.541</w:t>
            </w:r>
            <w:r w:rsidRPr="00316AC6">
              <w:rPr>
                <w:sz w:val="20"/>
                <w:vertAlign w:val="superscript"/>
              </w:rPr>
              <w:t>**</w:t>
            </w:r>
          </w:p>
        </w:tc>
        <w:tc>
          <w:tcPr>
            <w:tcW w:w="738" w:type="dxa"/>
            <w:tcBorders>
              <w:bottom w:val="nil"/>
              <w:right w:val="single" w:sz="4" w:space="0" w:color="auto"/>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.237</w:t>
            </w:r>
            <w:r w:rsidRPr="00316AC6">
              <w:rPr>
                <w:sz w:val="20"/>
                <w:vertAlign w:val="superscript"/>
              </w:rPr>
              <w:t>**</w:t>
            </w:r>
          </w:p>
        </w:tc>
      </w:tr>
      <w:tr w:rsidR="00C62A43" w:rsidRPr="00BE6E87" w:rsidTr="00C62A43">
        <w:trPr>
          <w:trHeight w:val="148"/>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bottom w:val="nil"/>
            </w:tcBorders>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.299</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7"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.002</w:t>
            </w:r>
          </w:p>
        </w:tc>
      </w:tr>
      <w:tr w:rsidR="00C62A43" w:rsidRPr="00BE6E87" w:rsidTr="00C62A43">
        <w:trPr>
          <w:trHeight w:val="195"/>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tcBorders>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7"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r>
      <w:tr w:rsidR="00C62A43" w:rsidRPr="00BE6E87" w:rsidTr="00C62A43">
        <w:trPr>
          <w:trHeight w:val="233"/>
        </w:trPr>
        <w:tc>
          <w:tcPr>
            <w:tcW w:w="2093" w:type="dxa"/>
            <w:vMerge w:val="restart"/>
            <w:tcBorders>
              <w:left w:val="single" w:sz="4" w:space="0" w:color="auto"/>
            </w:tcBorders>
            <w:vAlign w:val="center"/>
          </w:tcPr>
          <w:p w:rsidR="00C62A43" w:rsidRPr="007448B0" w:rsidRDefault="008F26AE" w:rsidP="008F26AE">
            <w:pPr>
              <w:autoSpaceDE w:val="0"/>
              <w:autoSpaceDN w:val="0"/>
              <w:adjustRightInd w:val="0"/>
              <w:jc w:val="center"/>
              <w:rPr>
                <w:rFonts w:ascii="Times New Roman" w:hAnsi="Times New Roman" w:cs="Times New Roman"/>
                <w:b/>
                <w:bCs/>
                <w:color w:val="000000"/>
                <w:sz w:val="20"/>
                <w:szCs w:val="16"/>
              </w:rPr>
            </w:pPr>
            <w:r w:rsidRPr="007448B0">
              <w:rPr>
                <w:rFonts w:ascii="Times New Roman" w:hAnsi="Times New Roman" w:cs="Times New Roman"/>
                <w:b/>
                <w:bCs/>
                <w:color w:val="000000"/>
                <w:sz w:val="20"/>
                <w:szCs w:val="16"/>
              </w:rPr>
              <w:t>MBA was able to meet my expectations.</w:t>
            </w:r>
          </w:p>
        </w:tc>
        <w:tc>
          <w:tcPr>
            <w:tcW w:w="737" w:type="dxa"/>
            <w:tcBorders>
              <w:bottom w:val="nil"/>
            </w:tcBorders>
            <w:vAlign w:val="center"/>
          </w:tcPr>
          <w:p w:rsidR="00C62A43" w:rsidRPr="00316AC6" w:rsidRDefault="00C62A43" w:rsidP="00C62A43">
            <w:pPr>
              <w:spacing w:before="60"/>
              <w:jc w:val="center"/>
              <w:rPr>
                <w:sz w:val="20"/>
                <w:vertAlign w:val="superscript"/>
              </w:rPr>
            </w:pPr>
            <w:r w:rsidRPr="00316AC6">
              <w:rPr>
                <w:sz w:val="20"/>
              </w:rPr>
              <w:t>.203</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.083</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-.108</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.460</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.442</w:t>
            </w:r>
            <w:r w:rsidRPr="00316AC6">
              <w:rPr>
                <w:sz w:val="20"/>
                <w:vertAlign w:val="superscript"/>
              </w:rPr>
              <w:t>**</w:t>
            </w:r>
          </w:p>
        </w:tc>
        <w:tc>
          <w:tcPr>
            <w:tcW w:w="737"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.339</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.414</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.409</w:t>
            </w:r>
            <w:r w:rsidRPr="00316AC6">
              <w:rPr>
                <w:sz w:val="20"/>
                <w:vertAlign w:val="superscript"/>
              </w:rPr>
              <w:t>**</w:t>
            </w:r>
          </w:p>
        </w:tc>
        <w:tc>
          <w:tcPr>
            <w:tcW w:w="738" w:type="dxa"/>
            <w:tcBorders>
              <w:bottom w:val="nil"/>
              <w:right w:val="single" w:sz="4" w:space="0" w:color="auto"/>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.429</w:t>
            </w:r>
            <w:r w:rsidRPr="00316AC6">
              <w:rPr>
                <w:sz w:val="20"/>
                <w:vertAlign w:val="superscript"/>
              </w:rPr>
              <w:t>**</w:t>
            </w:r>
          </w:p>
        </w:tc>
      </w:tr>
      <w:tr w:rsidR="00C62A43" w:rsidRPr="00BE6E87" w:rsidTr="00C62A43">
        <w:trPr>
          <w:trHeight w:val="233"/>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bottom w:val="nil"/>
            </w:tcBorders>
            <w:vAlign w:val="center"/>
          </w:tcPr>
          <w:p w:rsidR="00C62A43" w:rsidRPr="00316AC6" w:rsidRDefault="00C62A43" w:rsidP="00C62A43">
            <w:pPr>
              <w:spacing w:before="60"/>
              <w:jc w:val="center"/>
              <w:rPr>
                <w:sz w:val="20"/>
              </w:rPr>
            </w:pPr>
            <w:r w:rsidRPr="00316AC6">
              <w:rPr>
                <w:sz w:val="20"/>
              </w:rPr>
              <w:t>.008</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.282</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.162</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7"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.000</w:t>
            </w:r>
          </w:p>
        </w:tc>
      </w:tr>
      <w:tr w:rsidR="00C62A43" w:rsidRPr="00BE6E87" w:rsidTr="00C62A43">
        <w:trPr>
          <w:trHeight w:val="233"/>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tcBorders>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7"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r>
      <w:tr w:rsidR="00C62A43" w:rsidRPr="00BE6E87" w:rsidTr="00C62A43">
        <w:trPr>
          <w:trHeight w:val="286"/>
        </w:trPr>
        <w:tc>
          <w:tcPr>
            <w:tcW w:w="2093" w:type="dxa"/>
            <w:vMerge w:val="restart"/>
            <w:tcBorders>
              <w:left w:val="single" w:sz="4" w:space="0" w:color="auto"/>
            </w:tcBorders>
            <w:vAlign w:val="center"/>
          </w:tcPr>
          <w:p w:rsidR="008F26AE" w:rsidRPr="007448B0" w:rsidRDefault="008F26AE" w:rsidP="008F26AE">
            <w:pPr>
              <w:autoSpaceDE w:val="0"/>
              <w:autoSpaceDN w:val="0"/>
              <w:adjustRightInd w:val="0"/>
              <w:jc w:val="center"/>
              <w:rPr>
                <w:rFonts w:ascii="Times New Roman" w:hAnsi="Times New Roman" w:cs="Times New Roman"/>
                <w:b/>
                <w:bCs/>
                <w:color w:val="000000"/>
                <w:sz w:val="20"/>
                <w:szCs w:val="16"/>
              </w:rPr>
            </w:pPr>
            <w:r w:rsidRPr="007448B0">
              <w:rPr>
                <w:rFonts w:ascii="Times New Roman" w:hAnsi="Times New Roman" w:cs="Times New Roman"/>
                <w:b/>
                <w:bCs/>
                <w:color w:val="000000"/>
                <w:sz w:val="20"/>
                <w:szCs w:val="16"/>
              </w:rPr>
              <w:t>I now feel I’m having</w:t>
            </w:r>
          </w:p>
          <w:p w:rsidR="00C62A43" w:rsidRPr="007448B0" w:rsidRDefault="008F26AE" w:rsidP="008F26AE">
            <w:pPr>
              <w:autoSpaceDE w:val="0"/>
              <w:autoSpaceDN w:val="0"/>
              <w:adjustRightInd w:val="0"/>
              <w:jc w:val="center"/>
              <w:rPr>
                <w:rFonts w:ascii="Times New Roman" w:hAnsi="Times New Roman" w:cs="Times New Roman"/>
                <w:b/>
                <w:bCs/>
                <w:color w:val="000000"/>
                <w:sz w:val="20"/>
                <w:szCs w:val="16"/>
              </w:rPr>
            </w:pPr>
            <w:r w:rsidRPr="007448B0">
              <w:rPr>
                <w:rFonts w:ascii="Times New Roman" w:hAnsi="Times New Roman" w:cs="Times New Roman"/>
                <w:b/>
                <w:bCs/>
                <w:color w:val="000000"/>
                <w:sz w:val="20"/>
                <w:szCs w:val="16"/>
              </w:rPr>
              <w:t xml:space="preserve">more social recognition at my workplace thanks </w:t>
            </w:r>
            <w:r w:rsidR="007D5DF2">
              <w:rPr>
                <w:rFonts w:ascii="Times New Roman" w:hAnsi="Times New Roman" w:cs="Times New Roman"/>
                <w:b/>
                <w:bCs/>
                <w:color w:val="000000"/>
                <w:sz w:val="20"/>
                <w:szCs w:val="16"/>
              </w:rPr>
              <w:t xml:space="preserve">     </w:t>
            </w:r>
            <w:r w:rsidRPr="007448B0">
              <w:rPr>
                <w:rFonts w:ascii="Times New Roman" w:hAnsi="Times New Roman" w:cs="Times New Roman"/>
                <w:b/>
                <w:bCs/>
                <w:color w:val="000000"/>
                <w:sz w:val="20"/>
                <w:szCs w:val="16"/>
              </w:rPr>
              <w:t>to my MBA degree.</w:t>
            </w:r>
          </w:p>
        </w:tc>
        <w:tc>
          <w:tcPr>
            <w:tcW w:w="737" w:type="dxa"/>
            <w:tcBorders>
              <w:bottom w:val="nil"/>
            </w:tcBorders>
            <w:vAlign w:val="center"/>
          </w:tcPr>
          <w:p w:rsidR="00C62A43" w:rsidRPr="00316AC6" w:rsidRDefault="00C62A43" w:rsidP="00C62A43">
            <w:pPr>
              <w:spacing w:before="60"/>
              <w:jc w:val="center"/>
              <w:rPr>
                <w:sz w:val="20"/>
                <w:vertAlign w:val="superscript"/>
              </w:rPr>
            </w:pPr>
            <w:r w:rsidRPr="00316AC6">
              <w:rPr>
                <w:sz w:val="20"/>
              </w:rPr>
              <w:t>.349</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.264</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-.113</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.411</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.443</w:t>
            </w:r>
            <w:r w:rsidRPr="00316AC6">
              <w:rPr>
                <w:sz w:val="20"/>
                <w:vertAlign w:val="superscript"/>
              </w:rPr>
              <w:t>**</w:t>
            </w:r>
          </w:p>
        </w:tc>
        <w:tc>
          <w:tcPr>
            <w:tcW w:w="737"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.377</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.541</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.409</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1</w:t>
            </w:r>
          </w:p>
        </w:tc>
        <w:tc>
          <w:tcPr>
            <w:tcW w:w="738" w:type="dxa"/>
            <w:tcBorders>
              <w:bottom w:val="nil"/>
              <w:right w:val="single" w:sz="4" w:space="0" w:color="auto"/>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.256</w:t>
            </w:r>
            <w:r w:rsidRPr="00316AC6">
              <w:rPr>
                <w:sz w:val="20"/>
                <w:vertAlign w:val="superscript"/>
              </w:rPr>
              <w:t>**</w:t>
            </w:r>
          </w:p>
        </w:tc>
      </w:tr>
      <w:tr w:rsidR="00C62A43" w:rsidRPr="00BE6E87" w:rsidTr="00C62A43">
        <w:trPr>
          <w:trHeight w:val="286"/>
        </w:trPr>
        <w:tc>
          <w:tcPr>
            <w:tcW w:w="2093" w:type="dxa"/>
            <w:vMerge/>
            <w:tcBorders>
              <w:left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bottom w:val="nil"/>
            </w:tcBorders>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.001</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.142</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7"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w:t>
            </w:r>
          </w:p>
        </w:tc>
        <w:tc>
          <w:tcPr>
            <w:tcW w:w="738" w:type="dxa"/>
            <w:tcBorders>
              <w:top w:val="nil"/>
              <w:bottom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.001</w:t>
            </w:r>
          </w:p>
        </w:tc>
      </w:tr>
      <w:tr w:rsidR="00C62A43" w:rsidRPr="00BE6E87" w:rsidTr="00C62A43">
        <w:trPr>
          <w:trHeight w:val="287"/>
        </w:trPr>
        <w:tc>
          <w:tcPr>
            <w:tcW w:w="2093" w:type="dxa"/>
            <w:vMerge/>
            <w:tcBorders>
              <w:left w:val="single" w:sz="4" w:space="0" w:color="auto"/>
              <w:bottom w:val="single" w:sz="4" w:space="0" w:color="auto"/>
            </w:tcBorders>
            <w:vAlign w:val="center"/>
          </w:tcPr>
          <w:p w:rsidR="00C62A43" w:rsidRPr="007448B0" w:rsidRDefault="00C62A43" w:rsidP="008F26AE">
            <w:pPr>
              <w:spacing w:before="60"/>
              <w:jc w:val="center"/>
              <w:rPr>
                <w:rFonts w:ascii="Times New Roman" w:hAnsi="Times New Roman" w:cs="Times New Roman"/>
                <w:b/>
                <w:sz w:val="20"/>
              </w:rPr>
            </w:pPr>
          </w:p>
        </w:tc>
        <w:tc>
          <w:tcPr>
            <w:tcW w:w="737" w:type="dxa"/>
            <w:tcBorders>
              <w:top w:val="nil"/>
              <w:bottom w:val="single" w:sz="4" w:space="0" w:color="auto"/>
            </w:tcBorders>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7"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r>
      <w:tr w:rsidR="00C62A43" w:rsidRPr="00BE6E87" w:rsidTr="00C62A43">
        <w:trPr>
          <w:trHeight w:val="286"/>
        </w:trPr>
        <w:tc>
          <w:tcPr>
            <w:tcW w:w="2093" w:type="dxa"/>
            <w:vMerge w:val="restart"/>
            <w:tcBorders>
              <w:left w:val="single" w:sz="4" w:space="0" w:color="auto"/>
            </w:tcBorders>
            <w:vAlign w:val="center"/>
          </w:tcPr>
          <w:p w:rsidR="00C62A43" w:rsidRPr="007448B0" w:rsidRDefault="00D80E89" w:rsidP="00992701">
            <w:pPr>
              <w:autoSpaceDE w:val="0"/>
              <w:autoSpaceDN w:val="0"/>
              <w:adjustRightInd w:val="0"/>
              <w:jc w:val="center"/>
              <w:rPr>
                <w:rFonts w:ascii="Times New Roman" w:hAnsi="Times New Roman" w:cs="Times New Roman"/>
                <w:b/>
                <w:bCs/>
                <w:color w:val="000000"/>
                <w:sz w:val="20"/>
                <w:szCs w:val="16"/>
              </w:rPr>
            </w:pPr>
            <w:r w:rsidRPr="00D80E89">
              <w:rPr>
                <w:rFonts w:ascii="Times New Roman" w:hAnsi="Times New Roman" w:cs="Times New Roman"/>
                <w:b/>
                <w:bCs/>
                <w:color w:val="000000"/>
                <w:sz w:val="20"/>
                <w:szCs w:val="16"/>
              </w:rPr>
              <w:t>I encourage and recommend the MBA education.</w:t>
            </w:r>
          </w:p>
        </w:tc>
        <w:tc>
          <w:tcPr>
            <w:tcW w:w="737" w:type="dxa"/>
            <w:tcBorders>
              <w:bottom w:val="nil"/>
            </w:tcBorders>
            <w:vAlign w:val="center"/>
          </w:tcPr>
          <w:p w:rsidR="00C62A43" w:rsidRPr="00316AC6" w:rsidRDefault="00C62A43" w:rsidP="00C62A43">
            <w:pPr>
              <w:spacing w:before="60"/>
              <w:jc w:val="center"/>
              <w:rPr>
                <w:sz w:val="20"/>
              </w:rPr>
            </w:pPr>
            <w:r w:rsidRPr="00316AC6">
              <w:rPr>
                <w:sz w:val="20"/>
              </w:rPr>
              <w:t>.115</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.028</w:t>
            </w:r>
          </w:p>
        </w:tc>
        <w:tc>
          <w:tcPr>
            <w:tcW w:w="738" w:type="dxa"/>
            <w:tcBorders>
              <w:bottom w:val="nil"/>
            </w:tcBorders>
            <w:shd w:val="clear" w:color="auto" w:fill="auto"/>
            <w:vAlign w:val="center"/>
          </w:tcPr>
          <w:p w:rsidR="00C62A43" w:rsidRPr="00316AC6" w:rsidRDefault="00C62A43" w:rsidP="00C62A43">
            <w:pPr>
              <w:spacing w:before="60"/>
              <w:jc w:val="center"/>
              <w:rPr>
                <w:sz w:val="20"/>
              </w:rPr>
            </w:pPr>
            <w:r w:rsidRPr="00316AC6">
              <w:rPr>
                <w:sz w:val="20"/>
              </w:rPr>
              <w:t>.084</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.363</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.317</w:t>
            </w:r>
            <w:r w:rsidRPr="00316AC6">
              <w:rPr>
                <w:sz w:val="20"/>
                <w:vertAlign w:val="superscript"/>
              </w:rPr>
              <w:t>**</w:t>
            </w:r>
          </w:p>
        </w:tc>
        <w:tc>
          <w:tcPr>
            <w:tcW w:w="737"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.340</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.237</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.429</w:t>
            </w:r>
            <w:r w:rsidRPr="00316AC6">
              <w:rPr>
                <w:sz w:val="20"/>
                <w:vertAlign w:val="superscript"/>
              </w:rPr>
              <w:t>**</w:t>
            </w:r>
          </w:p>
        </w:tc>
        <w:tc>
          <w:tcPr>
            <w:tcW w:w="738" w:type="dxa"/>
            <w:tcBorders>
              <w:bottom w:val="nil"/>
            </w:tcBorders>
            <w:shd w:val="clear" w:color="auto" w:fill="auto"/>
            <w:vAlign w:val="center"/>
          </w:tcPr>
          <w:p w:rsidR="00C62A43" w:rsidRPr="00316AC6" w:rsidRDefault="00C62A43" w:rsidP="00C62A43">
            <w:pPr>
              <w:spacing w:before="60"/>
              <w:jc w:val="center"/>
              <w:rPr>
                <w:sz w:val="20"/>
                <w:vertAlign w:val="superscript"/>
              </w:rPr>
            </w:pPr>
            <w:r w:rsidRPr="00316AC6">
              <w:rPr>
                <w:sz w:val="20"/>
              </w:rPr>
              <w:t>.256</w:t>
            </w:r>
            <w:r w:rsidRPr="00316AC6">
              <w:rPr>
                <w:sz w:val="20"/>
                <w:vertAlign w:val="superscript"/>
              </w:rPr>
              <w:t>**</w:t>
            </w:r>
          </w:p>
        </w:tc>
        <w:tc>
          <w:tcPr>
            <w:tcW w:w="738" w:type="dxa"/>
            <w:tcBorders>
              <w:bottom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w:t>
            </w:r>
          </w:p>
        </w:tc>
      </w:tr>
      <w:tr w:rsidR="00C62A43" w:rsidRPr="00BE6E87" w:rsidTr="00C62A43">
        <w:trPr>
          <w:trHeight w:val="286"/>
        </w:trPr>
        <w:tc>
          <w:tcPr>
            <w:tcW w:w="2093" w:type="dxa"/>
            <w:vMerge/>
            <w:tcBorders>
              <w:left w:val="single" w:sz="4" w:space="0" w:color="auto"/>
            </w:tcBorders>
            <w:vAlign w:val="center"/>
          </w:tcPr>
          <w:p w:rsidR="00C62A43" w:rsidRPr="00BE6E87" w:rsidRDefault="00C62A43" w:rsidP="00C62A43">
            <w:pPr>
              <w:spacing w:before="60"/>
              <w:jc w:val="center"/>
            </w:pPr>
          </w:p>
        </w:tc>
        <w:tc>
          <w:tcPr>
            <w:tcW w:w="737" w:type="dxa"/>
            <w:tcBorders>
              <w:top w:val="nil"/>
              <w:bottom w:val="nil"/>
            </w:tcBorders>
            <w:vAlign w:val="center"/>
          </w:tcPr>
          <w:p w:rsidR="00C62A43" w:rsidRPr="00316AC6" w:rsidRDefault="00C62A43" w:rsidP="00C62A43">
            <w:pPr>
              <w:spacing w:before="60"/>
              <w:jc w:val="center"/>
              <w:rPr>
                <w:sz w:val="20"/>
              </w:rPr>
            </w:pPr>
            <w:r w:rsidRPr="00316AC6">
              <w:rPr>
                <w:sz w:val="20"/>
              </w:rPr>
              <w:t>.136</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.720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.277</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7"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.002</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.000</w:t>
            </w:r>
          </w:p>
        </w:tc>
        <w:tc>
          <w:tcPr>
            <w:tcW w:w="738" w:type="dxa"/>
            <w:tcBorders>
              <w:top w:val="nil"/>
              <w:bottom w:val="nil"/>
            </w:tcBorders>
            <w:shd w:val="clear" w:color="auto" w:fill="auto"/>
            <w:vAlign w:val="center"/>
          </w:tcPr>
          <w:p w:rsidR="00C62A43" w:rsidRPr="00316AC6" w:rsidRDefault="00C62A43" w:rsidP="00C62A43">
            <w:pPr>
              <w:spacing w:before="60"/>
              <w:jc w:val="center"/>
              <w:rPr>
                <w:sz w:val="20"/>
              </w:rPr>
            </w:pPr>
            <w:r w:rsidRPr="00316AC6">
              <w:rPr>
                <w:sz w:val="20"/>
              </w:rPr>
              <w:t>.001</w:t>
            </w:r>
          </w:p>
        </w:tc>
        <w:tc>
          <w:tcPr>
            <w:tcW w:w="738" w:type="dxa"/>
            <w:tcBorders>
              <w:top w:val="nil"/>
              <w:bottom w:val="nil"/>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w:t>
            </w:r>
          </w:p>
        </w:tc>
      </w:tr>
      <w:tr w:rsidR="00C62A43" w:rsidTr="00C62A43">
        <w:trPr>
          <w:trHeight w:val="287"/>
        </w:trPr>
        <w:tc>
          <w:tcPr>
            <w:tcW w:w="2093" w:type="dxa"/>
            <w:vMerge/>
            <w:tcBorders>
              <w:left w:val="single" w:sz="4" w:space="0" w:color="auto"/>
              <w:bottom w:val="single" w:sz="4" w:space="0" w:color="auto"/>
            </w:tcBorders>
            <w:vAlign w:val="center"/>
          </w:tcPr>
          <w:p w:rsidR="00C62A43" w:rsidRPr="00BE6E87" w:rsidRDefault="00C62A43" w:rsidP="00C62A43">
            <w:pPr>
              <w:spacing w:before="60"/>
              <w:jc w:val="center"/>
            </w:pPr>
          </w:p>
        </w:tc>
        <w:tc>
          <w:tcPr>
            <w:tcW w:w="737" w:type="dxa"/>
            <w:tcBorders>
              <w:top w:val="nil"/>
              <w:bottom w:val="single" w:sz="4" w:space="0" w:color="auto"/>
            </w:tcBorders>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7"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c>
          <w:tcPr>
            <w:tcW w:w="738" w:type="dxa"/>
            <w:tcBorders>
              <w:top w:val="nil"/>
              <w:bottom w:val="single" w:sz="4" w:space="0" w:color="auto"/>
              <w:right w:val="single" w:sz="4" w:space="0" w:color="auto"/>
            </w:tcBorders>
            <w:shd w:val="clear" w:color="auto" w:fill="auto"/>
            <w:vAlign w:val="center"/>
          </w:tcPr>
          <w:p w:rsidR="00C62A43" w:rsidRPr="00316AC6" w:rsidRDefault="00C62A43" w:rsidP="00C62A43">
            <w:pPr>
              <w:spacing w:before="60"/>
              <w:jc w:val="center"/>
              <w:rPr>
                <w:sz w:val="20"/>
              </w:rPr>
            </w:pPr>
            <w:r w:rsidRPr="00316AC6">
              <w:rPr>
                <w:sz w:val="20"/>
              </w:rPr>
              <w:t>170</w:t>
            </w:r>
          </w:p>
        </w:tc>
      </w:tr>
    </w:tbl>
    <w:p w:rsidR="00104803" w:rsidRPr="007448B0" w:rsidRDefault="00104803" w:rsidP="008F26AE">
      <w:pPr>
        <w:autoSpaceDE w:val="0"/>
        <w:autoSpaceDN w:val="0"/>
        <w:adjustRightInd w:val="0"/>
        <w:spacing w:after="0" w:line="240" w:lineRule="auto"/>
        <w:jc w:val="center"/>
        <w:rPr>
          <w:rFonts w:ascii="Times New Roman" w:hAnsi="Times New Roman" w:cs="Times New Roman"/>
          <w:color w:val="000000"/>
          <w:sz w:val="20"/>
          <w:szCs w:val="20"/>
        </w:rPr>
      </w:pPr>
      <w:r w:rsidRPr="007448B0">
        <w:rPr>
          <w:rFonts w:ascii="Times New Roman" w:hAnsi="Times New Roman" w:cs="Times New Roman"/>
          <w:color w:val="000000"/>
          <w:sz w:val="20"/>
          <w:szCs w:val="20"/>
        </w:rPr>
        <w:t>** Correlation is significant at the 0.01 level, *Correlation is significant at the 0.05 level.</w:t>
      </w:r>
    </w:p>
    <w:p w:rsidR="00607B49" w:rsidRDefault="00607B49" w:rsidP="006347CE">
      <w:pPr>
        <w:autoSpaceDE w:val="0"/>
        <w:autoSpaceDN w:val="0"/>
        <w:adjustRightInd w:val="0"/>
        <w:spacing w:before="240" w:after="120" w:line="240" w:lineRule="auto"/>
        <w:rPr>
          <w:rFonts w:ascii="Times New Roman" w:hAnsi="Times New Roman" w:cs="Times New Roman"/>
          <w:b/>
          <w:bCs/>
          <w:color w:val="000000"/>
          <w:sz w:val="20"/>
          <w:szCs w:val="20"/>
          <w:shd w:val="clear" w:color="auto" w:fill="FFFFFF"/>
        </w:rPr>
      </w:pPr>
    </w:p>
    <w:p w:rsidR="00293A8E" w:rsidRDefault="00293A8E" w:rsidP="006347CE">
      <w:pPr>
        <w:autoSpaceDE w:val="0"/>
        <w:autoSpaceDN w:val="0"/>
        <w:adjustRightInd w:val="0"/>
        <w:spacing w:before="240" w:after="120" w:line="240" w:lineRule="auto"/>
        <w:rPr>
          <w:rFonts w:ascii="Times New Roman" w:hAnsi="Times New Roman" w:cs="Times New Roman"/>
          <w:b/>
          <w:bCs/>
          <w:color w:val="000000"/>
          <w:sz w:val="24"/>
          <w:szCs w:val="20"/>
          <w:shd w:val="clear" w:color="auto" w:fill="FFFFFF"/>
        </w:rPr>
      </w:pPr>
      <w:r w:rsidRPr="00293A8E">
        <w:rPr>
          <w:rFonts w:ascii="Times New Roman" w:hAnsi="Times New Roman" w:cs="Times New Roman"/>
          <w:b/>
          <w:bCs/>
          <w:color w:val="000000"/>
          <w:sz w:val="24"/>
          <w:szCs w:val="20"/>
          <w:shd w:val="clear" w:color="auto" w:fill="FFFFFF"/>
        </w:rPr>
        <w:lastRenderedPageBreak/>
        <w:t>4.5.2.</w:t>
      </w:r>
      <w:r>
        <w:rPr>
          <w:rFonts w:ascii="Times New Roman" w:hAnsi="Times New Roman" w:cs="Times New Roman"/>
          <w:b/>
          <w:bCs/>
          <w:color w:val="000000"/>
          <w:sz w:val="24"/>
          <w:szCs w:val="20"/>
          <w:shd w:val="clear" w:color="auto" w:fill="FFFFFF"/>
        </w:rPr>
        <w:t xml:space="preserve"> The </w:t>
      </w:r>
      <w:r w:rsidRPr="00293A8E">
        <w:rPr>
          <w:rFonts w:ascii="Times New Roman" w:hAnsi="Times New Roman" w:cs="Times New Roman"/>
          <w:b/>
          <w:bCs/>
          <w:color w:val="000000"/>
          <w:sz w:val="24"/>
          <w:szCs w:val="20"/>
          <w:shd w:val="clear" w:color="auto" w:fill="FFFFFF"/>
        </w:rPr>
        <w:t>Results of Factor Analysis</w:t>
      </w:r>
    </w:p>
    <w:p w:rsidR="00F32FDD" w:rsidRDefault="007B2622" w:rsidP="00F32FDD">
      <w:pPr>
        <w:spacing w:before="120" w:after="0"/>
        <w:jc w:val="both"/>
        <w:rPr>
          <w:rFonts w:ascii="Times New Roman" w:hAnsi="Times New Roman" w:cs="Times New Roman"/>
          <w:color w:val="000000" w:themeColor="text1"/>
          <w:sz w:val="24"/>
          <w:szCs w:val="24"/>
          <w:lang w:val="en-US"/>
        </w:rPr>
      </w:pPr>
      <w:r w:rsidRPr="007B2622">
        <w:rPr>
          <w:rFonts w:ascii="Times New Roman" w:hAnsi="Times New Roman" w:cs="Times New Roman"/>
          <w:color w:val="000000" w:themeColor="text1"/>
          <w:sz w:val="24"/>
          <w:szCs w:val="24"/>
        </w:rPr>
        <w:t xml:space="preserve">In the sample set subjected to Varimax rotation factor analysis, three main factors were identified that were effective in </w:t>
      </w:r>
      <w:r>
        <w:rPr>
          <w:rFonts w:ascii="Times New Roman" w:hAnsi="Times New Roman" w:cs="Times New Roman"/>
          <w:color w:val="000000" w:themeColor="text1"/>
          <w:sz w:val="24"/>
          <w:szCs w:val="24"/>
        </w:rPr>
        <w:t xml:space="preserve">encouraging </w:t>
      </w:r>
      <w:r w:rsidRPr="007B2622">
        <w:rPr>
          <w:rFonts w:ascii="Times New Roman" w:hAnsi="Times New Roman" w:cs="Times New Roman"/>
          <w:color w:val="000000" w:themeColor="text1"/>
          <w:sz w:val="24"/>
          <w:szCs w:val="24"/>
        </w:rPr>
        <w:t>and recommending participation in the MBA program.</w:t>
      </w:r>
      <w:r w:rsidR="00DC1904">
        <w:rPr>
          <w:rFonts w:ascii="Times New Roman" w:hAnsi="Times New Roman" w:cs="Times New Roman"/>
          <w:color w:val="000000" w:themeColor="text1"/>
          <w:sz w:val="24"/>
          <w:szCs w:val="24"/>
        </w:rPr>
        <w:t xml:space="preserve"> </w:t>
      </w:r>
      <w:r w:rsidR="0014241F" w:rsidRPr="0014241F">
        <w:rPr>
          <w:rFonts w:ascii="Times New Roman" w:hAnsi="Times New Roman" w:cs="Times New Roman"/>
          <w:color w:val="000000" w:themeColor="text1"/>
          <w:sz w:val="24"/>
          <w:szCs w:val="24"/>
        </w:rPr>
        <w:t xml:space="preserve">In </w:t>
      </w:r>
      <w:r w:rsidR="0014241F">
        <w:rPr>
          <w:rFonts w:ascii="Times New Roman" w:hAnsi="Times New Roman" w:cs="Times New Roman"/>
          <w:color w:val="000000" w:themeColor="text1"/>
          <w:sz w:val="24"/>
          <w:szCs w:val="24"/>
        </w:rPr>
        <w:t xml:space="preserve">the </w:t>
      </w:r>
      <w:r w:rsidR="0014241F" w:rsidRPr="0014241F">
        <w:rPr>
          <w:rFonts w:ascii="Times New Roman" w:hAnsi="Times New Roman" w:cs="Times New Roman"/>
          <w:color w:val="000000" w:themeColor="text1"/>
          <w:sz w:val="24"/>
          <w:szCs w:val="24"/>
        </w:rPr>
        <w:t>factor analysis of nine items,</w:t>
      </w:r>
      <w:r w:rsidR="00E2602F">
        <w:rPr>
          <w:rFonts w:ascii="Times New Roman" w:hAnsi="Times New Roman" w:cs="Times New Roman"/>
          <w:color w:val="000000" w:themeColor="text1"/>
          <w:sz w:val="24"/>
          <w:szCs w:val="24"/>
        </w:rPr>
        <w:t xml:space="preserve"> </w:t>
      </w:r>
      <w:r w:rsidR="00E2602F" w:rsidRPr="00E2602F">
        <w:rPr>
          <w:rFonts w:ascii="Times New Roman" w:hAnsi="Times New Roman" w:cs="Times New Roman"/>
          <w:color w:val="000000" w:themeColor="text1"/>
          <w:sz w:val="24"/>
          <w:szCs w:val="24"/>
        </w:rPr>
        <w:t>it has been observed tha</w:t>
      </w:r>
      <w:r w:rsidR="00E2602F">
        <w:rPr>
          <w:rFonts w:ascii="Times New Roman" w:hAnsi="Times New Roman" w:cs="Times New Roman"/>
          <w:color w:val="000000" w:themeColor="text1"/>
          <w:sz w:val="24"/>
          <w:szCs w:val="24"/>
        </w:rPr>
        <w:t xml:space="preserve">t </w:t>
      </w:r>
      <w:r w:rsidR="00E2602F" w:rsidRPr="00E2602F">
        <w:rPr>
          <w:rFonts w:ascii="Times New Roman" w:hAnsi="Times New Roman" w:cs="Times New Roman"/>
          <w:color w:val="000000" w:themeColor="text1"/>
          <w:sz w:val="24"/>
          <w:szCs w:val="24"/>
        </w:rPr>
        <w:t xml:space="preserve">the incentive </w:t>
      </w:r>
      <w:r w:rsidR="00E2602F">
        <w:rPr>
          <w:rFonts w:ascii="Times New Roman" w:hAnsi="Times New Roman" w:cs="Times New Roman"/>
          <w:color w:val="000000" w:themeColor="text1"/>
          <w:sz w:val="24"/>
          <w:szCs w:val="24"/>
        </w:rPr>
        <w:t xml:space="preserve">and the </w:t>
      </w:r>
      <w:r w:rsidR="00E2602F" w:rsidRPr="00E2602F">
        <w:rPr>
          <w:rFonts w:ascii="Times New Roman" w:hAnsi="Times New Roman" w:cs="Times New Roman"/>
          <w:color w:val="000000" w:themeColor="text1"/>
          <w:sz w:val="24"/>
          <w:szCs w:val="24"/>
        </w:rPr>
        <w:t xml:space="preserve">recommendation to participate in </w:t>
      </w:r>
      <w:r w:rsidR="00497B7C">
        <w:rPr>
          <w:rFonts w:ascii="Times New Roman" w:hAnsi="Times New Roman" w:cs="Times New Roman"/>
          <w:color w:val="000000" w:themeColor="text1"/>
          <w:sz w:val="24"/>
          <w:szCs w:val="24"/>
        </w:rPr>
        <w:t xml:space="preserve">the </w:t>
      </w:r>
      <w:r w:rsidR="00E2602F" w:rsidRPr="00E2602F">
        <w:rPr>
          <w:rFonts w:ascii="Times New Roman" w:hAnsi="Times New Roman" w:cs="Times New Roman"/>
          <w:color w:val="000000" w:themeColor="text1"/>
          <w:sz w:val="24"/>
          <w:szCs w:val="24"/>
        </w:rPr>
        <w:t>MBA programs has been divided into three main factors</w:t>
      </w:r>
      <w:r w:rsidR="00E2602F">
        <w:rPr>
          <w:rFonts w:ascii="Times New Roman" w:hAnsi="Times New Roman" w:cs="Times New Roman"/>
          <w:color w:val="000000" w:themeColor="text1"/>
          <w:sz w:val="24"/>
          <w:szCs w:val="24"/>
        </w:rPr>
        <w:t>:</w:t>
      </w:r>
      <w:r w:rsidR="00DC1904">
        <w:rPr>
          <w:rFonts w:ascii="Times New Roman" w:hAnsi="Times New Roman" w:cs="Times New Roman"/>
          <w:color w:val="000000" w:themeColor="text1"/>
          <w:sz w:val="24"/>
          <w:szCs w:val="24"/>
        </w:rPr>
        <w:t xml:space="preserve"> </w:t>
      </w:r>
      <w:r w:rsidR="00E2602F">
        <w:rPr>
          <w:rFonts w:ascii="Times New Roman" w:hAnsi="Times New Roman" w:cs="Times New Roman"/>
          <w:color w:val="000000" w:themeColor="text1"/>
          <w:sz w:val="24"/>
          <w:szCs w:val="24"/>
        </w:rPr>
        <w:t>E</w:t>
      </w:r>
      <w:r w:rsidR="00E2602F" w:rsidRPr="00E2602F">
        <w:rPr>
          <w:rFonts w:ascii="Times New Roman" w:hAnsi="Times New Roman" w:cs="Times New Roman"/>
          <w:color w:val="000000" w:themeColor="text1"/>
          <w:sz w:val="24"/>
          <w:szCs w:val="24"/>
        </w:rPr>
        <w:t>xpectation of contribution to human capital,</w:t>
      </w:r>
      <w:r w:rsidR="00E2602F">
        <w:rPr>
          <w:rFonts w:ascii="Times New Roman" w:hAnsi="Times New Roman" w:cs="Times New Roman"/>
          <w:color w:val="000000" w:themeColor="text1"/>
          <w:sz w:val="24"/>
          <w:szCs w:val="24"/>
        </w:rPr>
        <w:t xml:space="preserve"> contribution</w:t>
      </w:r>
      <w:r w:rsidR="000C27CF" w:rsidRPr="000C27CF">
        <w:rPr>
          <w:rFonts w:ascii="Times New Roman" w:hAnsi="Times New Roman" w:cs="Times New Roman"/>
          <w:color w:val="000000" w:themeColor="text1"/>
          <w:sz w:val="24"/>
          <w:szCs w:val="24"/>
        </w:rPr>
        <w:t xml:space="preserve"> </w:t>
      </w:r>
      <w:r w:rsidR="000C27CF">
        <w:rPr>
          <w:rFonts w:ascii="Times New Roman" w:hAnsi="Times New Roman" w:cs="Times New Roman"/>
          <w:color w:val="000000" w:themeColor="text1"/>
          <w:sz w:val="24"/>
          <w:szCs w:val="24"/>
        </w:rPr>
        <w:t>of workplace</w:t>
      </w:r>
      <w:r w:rsidR="00E2602F">
        <w:rPr>
          <w:rFonts w:ascii="Times New Roman" w:hAnsi="Times New Roman" w:cs="Times New Roman"/>
          <w:color w:val="000000" w:themeColor="text1"/>
          <w:sz w:val="24"/>
          <w:szCs w:val="24"/>
        </w:rPr>
        <w:t xml:space="preserve">, and </w:t>
      </w:r>
      <w:r w:rsidR="00E2602F" w:rsidRPr="00E2602F">
        <w:rPr>
          <w:rFonts w:ascii="Times New Roman" w:hAnsi="Times New Roman" w:cs="Times New Roman"/>
          <w:color w:val="000000" w:themeColor="text1"/>
          <w:sz w:val="24"/>
          <w:szCs w:val="24"/>
        </w:rPr>
        <w:t>contribution to human capital</w:t>
      </w:r>
      <w:r w:rsidR="00E2602F">
        <w:rPr>
          <w:rFonts w:ascii="Times New Roman" w:hAnsi="Times New Roman" w:cs="Times New Roman"/>
          <w:color w:val="000000" w:themeColor="text1"/>
          <w:sz w:val="24"/>
          <w:szCs w:val="24"/>
        </w:rPr>
        <w:t>.</w:t>
      </w:r>
      <w:r w:rsidR="00DC1904">
        <w:rPr>
          <w:rFonts w:ascii="Times New Roman" w:hAnsi="Times New Roman" w:cs="Times New Roman"/>
          <w:color w:val="000000" w:themeColor="text1"/>
          <w:sz w:val="24"/>
          <w:szCs w:val="24"/>
        </w:rPr>
        <w:t xml:space="preserve"> </w:t>
      </w:r>
      <w:r w:rsidR="004A0DB4">
        <w:rPr>
          <w:rFonts w:ascii="Times New Roman" w:hAnsi="Times New Roman" w:cs="Times New Roman"/>
          <w:color w:val="000000" w:themeColor="text1"/>
          <w:sz w:val="24"/>
          <w:szCs w:val="24"/>
        </w:rPr>
        <w:t>The factor of e</w:t>
      </w:r>
      <w:r w:rsidR="004A0DB4" w:rsidRPr="00E2602F">
        <w:rPr>
          <w:rFonts w:ascii="Times New Roman" w:hAnsi="Times New Roman" w:cs="Times New Roman"/>
          <w:color w:val="000000" w:themeColor="text1"/>
          <w:sz w:val="24"/>
          <w:szCs w:val="24"/>
        </w:rPr>
        <w:t>xpectation of contribution to human capital</w:t>
      </w:r>
      <w:r w:rsidR="004A0DB4">
        <w:rPr>
          <w:rFonts w:ascii="Times New Roman" w:hAnsi="Times New Roman" w:cs="Times New Roman"/>
          <w:color w:val="000000" w:themeColor="text1"/>
          <w:sz w:val="24"/>
          <w:szCs w:val="24"/>
        </w:rPr>
        <w:t xml:space="preserve"> consists of two sub-factors: </w:t>
      </w:r>
      <w:r w:rsidR="004A0DB4" w:rsidRPr="004A0DB4">
        <w:rPr>
          <w:rFonts w:ascii="Times New Roman" w:hAnsi="Times New Roman" w:cs="Times New Roman"/>
          <w:color w:val="000000" w:themeColor="text1"/>
          <w:sz w:val="24"/>
          <w:szCs w:val="24"/>
        </w:rPr>
        <w:t xml:space="preserve">The </w:t>
      </w:r>
      <w:r w:rsidR="004A0DB4" w:rsidRPr="00D95DB7">
        <w:rPr>
          <w:rFonts w:ascii="Times New Roman" w:hAnsi="Times New Roman" w:cs="Times New Roman"/>
          <w:color w:val="000000" w:themeColor="text1"/>
          <w:sz w:val="24"/>
          <w:szCs w:val="24"/>
          <w:lang w:val="en-US"/>
        </w:rPr>
        <w:t>effect of career plan</w:t>
      </w:r>
      <w:r w:rsidR="001223B5">
        <w:rPr>
          <w:rFonts w:ascii="Times New Roman" w:hAnsi="Times New Roman" w:cs="Times New Roman"/>
          <w:color w:val="000000" w:themeColor="text1"/>
          <w:sz w:val="24"/>
          <w:szCs w:val="24"/>
          <w:lang w:val="en-US"/>
        </w:rPr>
        <w:t>ning</w:t>
      </w:r>
      <w:r w:rsidR="004A0DB4" w:rsidRPr="00D95DB7">
        <w:rPr>
          <w:rFonts w:ascii="Times New Roman" w:hAnsi="Times New Roman" w:cs="Times New Roman"/>
          <w:color w:val="000000" w:themeColor="text1"/>
          <w:sz w:val="24"/>
          <w:szCs w:val="24"/>
          <w:lang w:val="en-US"/>
        </w:rPr>
        <w:t xml:space="preserve"> on doing MBA and the effect of income expectation on doing MBA. </w:t>
      </w:r>
      <w:r w:rsidR="00F10733" w:rsidRPr="00D95DB7">
        <w:rPr>
          <w:rFonts w:ascii="Times New Roman" w:hAnsi="Times New Roman" w:cs="Times New Roman"/>
          <w:color w:val="000000" w:themeColor="text1"/>
          <w:sz w:val="24"/>
          <w:szCs w:val="24"/>
          <w:lang w:val="en-US"/>
        </w:rPr>
        <w:t xml:space="preserve">The factor of </w:t>
      </w:r>
      <w:r w:rsidR="004A0DB4" w:rsidRPr="00D95DB7">
        <w:rPr>
          <w:rFonts w:ascii="Times New Roman" w:hAnsi="Times New Roman" w:cs="Times New Roman"/>
          <w:color w:val="000000" w:themeColor="text1"/>
          <w:sz w:val="24"/>
          <w:szCs w:val="24"/>
          <w:lang w:val="en-US"/>
        </w:rPr>
        <w:t>contribution</w:t>
      </w:r>
      <w:r w:rsidR="000C27CF">
        <w:rPr>
          <w:rFonts w:ascii="Times New Roman" w:hAnsi="Times New Roman" w:cs="Times New Roman"/>
          <w:color w:val="000000" w:themeColor="text1"/>
          <w:sz w:val="24"/>
          <w:szCs w:val="24"/>
          <w:lang w:val="en-US"/>
        </w:rPr>
        <w:t xml:space="preserve"> of</w:t>
      </w:r>
      <w:r w:rsidR="004A0DB4" w:rsidRPr="00D95DB7">
        <w:rPr>
          <w:rFonts w:ascii="Times New Roman" w:hAnsi="Times New Roman" w:cs="Times New Roman"/>
          <w:color w:val="000000" w:themeColor="text1"/>
          <w:sz w:val="24"/>
          <w:szCs w:val="24"/>
          <w:lang w:val="en-US"/>
        </w:rPr>
        <w:t xml:space="preserve"> </w:t>
      </w:r>
      <w:r w:rsidR="000C27CF" w:rsidRPr="00D95DB7">
        <w:rPr>
          <w:rFonts w:ascii="Times New Roman" w:hAnsi="Times New Roman" w:cs="Times New Roman"/>
          <w:color w:val="000000" w:themeColor="text1"/>
          <w:sz w:val="24"/>
          <w:szCs w:val="24"/>
          <w:lang w:val="en-US"/>
        </w:rPr>
        <w:t xml:space="preserve">workplace </w:t>
      </w:r>
      <w:r w:rsidR="004A0DB4" w:rsidRPr="00D95DB7">
        <w:rPr>
          <w:rFonts w:ascii="Times New Roman" w:hAnsi="Times New Roman" w:cs="Times New Roman"/>
          <w:color w:val="000000" w:themeColor="text1"/>
          <w:sz w:val="24"/>
          <w:szCs w:val="24"/>
          <w:lang w:val="en-US"/>
        </w:rPr>
        <w:t xml:space="preserve">to do MBA is </w:t>
      </w:r>
      <w:r w:rsidR="00F10733" w:rsidRPr="00D95DB7">
        <w:rPr>
          <w:rFonts w:ascii="Times New Roman" w:hAnsi="Times New Roman" w:cs="Times New Roman"/>
          <w:color w:val="000000" w:themeColor="text1"/>
          <w:sz w:val="24"/>
          <w:szCs w:val="24"/>
          <w:lang w:val="en-US"/>
        </w:rPr>
        <w:t xml:space="preserve">contribution </w:t>
      </w:r>
      <w:r w:rsidR="000C27CF">
        <w:rPr>
          <w:rFonts w:ascii="Times New Roman" w:hAnsi="Times New Roman" w:cs="Times New Roman"/>
          <w:color w:val="000000" w:themeColor="text1"/>
          <w:sz w:val="24"/>
          <w:szCs w:val="24"/>
          <w:lang w:val="en-US"/>
        </w:rPr>
        <w:t xml:space="preserve">of </w:t>
      </w:r>
      <w:r w:rsidR="000C27CF" w:rsidRPr="00D95DB7">
        <w:rPr>
          <w:rFonts w:ascii="Times New Roman" w:hAnsi="Times New Roman" w:cs="Times New Roman"/>
          <w:color w:val="000000" w:themeColor="text1"/>
          <w:sz w:val="24"/>
          <w:szCs w:val="24"/>
          <w:lang w:val="en-US"/>
        </w:rPr>
        <w:t xml:space="preserve">workplace </w:t>
      </w:r>
      <w:r w:rsidR="00F10733" w:rsidRPr="00D95DB7">
        <w:rPr>
          <w:rFonts w:ascii="Times New Roman" w:hAnsi="Times New Roman" w:cs="Times New Roman"/>
          <w:color w:val="000000" w:themeColor="text1"/>
          <w:sz w:val="24"/>
          <w:szCs w:val="24"/>
          <w:lang w:val="en-US"/>
        </w:rPr>
        <w:t>as a factor in itself.</w:t>
      </w:r>
      <w:r w:rsidR="004A0DB4" w:rsidRPr="00D95DB7">
        <w:rPr>
          <w:rFonts w:ascii="Times New Roman" w:hAnsi="Times New Roman" w:cs="Times New Roman"/>
          <w:color w:val="000000" w:themeColor="text1"/>
          <w:sz w:val="24"/>
          <w:szCs w:val="24"/>
          <w:lang w:val="en-US"/>
        </w:rPr>
        <w:t xml:space="preserve"> </w:t>
      </w:r>
      <w:r w:rsidR="00DC1904" w:rsidRPr="00D95DB7">
        <w:rPr>
          <w:rFonts w:ascii="Times New Roman" w:hAnsi="Times New Roman" w:cs="Times New Roman"/>
          <w:color w:val="000000" w:themeColor="text1"/>
          <w:sz w:val="24"/>
          <w:szCs w:val="24"/>
          <w:lang w:val="en-US"/>
        </w:rPr>
        <w:t xml:space="preserve"> </w:t>
      </w:r>
      <w:r w:rsidR="00F10733" w:rsidRPr="00D95DB7">
        <w:rPr>
          <w:rFonts w:ascii="Times New Roman" w:hAnsi="Times New Roman" w:cs="Times New Roman"/>
          <w:color w:val="000000" w:themeColor="text1"/>
          <w:sz w:val="24"/>
          <w:szCs w:val="24"/>
          <w:lang w:val="en-US"/>
        </w:rPr>
        <w:t>The factor of contribution to human capital is shaped by the following sub-factors:</w:t>
      </w:r>
      <w:r w:rsidR="00D95DB7" w:rsidRPr="00D95DB7">
        <w:rPr>
          <w:rFonts w:ascii="Times New Roman" w:hAnsi="Times New Roman" w:cs="Times New Roman"/>
          <w:color w:val="000000" w:themeColor="text1"/>
          <w:sz w:val="24"/>
          <w:szCs w:val="24"/>
          <w:lang w:val="en-US"/>
        </w:rPr>
        <w:t xml:space="preserve"> </w:t>
      </w:r>
      <w:r w:rsidR="00F10733" w:rsidRPr="00D95DB7">
        <w:rPr>
          <w:rFonts w:ascii="Times New Roman" w:hAnsi="Times New Roman" w:cs="Times New Roman"/>
          <w:color w:val="000000" w:themeColor="text1"/>
          <w:sz w:val="24"/>
          <w:szCs w:val="24"/>
          <w:lang w:val="en-US"/>
        </w:rPr>
        <w:t xml:space="preserve">The </w:t>
      </w:r>
      <w:r w:rsidR="000C27CF">
        <w:rPr>
          <w:rFonts w:ascii="Times New Roman" w:hAnsi="Times New Roman" w:cs="Times New Roman"/>
          <w:color w:val="000000" w:themeColor="text1"/>
          <w:sz w:val="24"/>
          <w:szCs w:val="24"/>
          <w:lang w:val="en-US"/>
        </w:rPr>
        <w:t>impa</w:t>
      </w:r>
      <w:r w:rsidR="000C27CF" w:rsidRPr="00497B7C">
        <w:rPr>
          <w:rFonts w:ascii="Times New Roman" w:hAnsi="Times New Roman" w:cs="Times New Roman"/>
          <w:color w:val="000000" w:themeColor="text1"/>
          <w:sz w:val="24"/>
          <w:szCs w:val="24"/>
          <w:lang w:val="en-US"/>
        </w:rPr>
        <w:t>ct</w:t>
      </w:r>
      <w:r w:rsidR="00F10733" w:rsidRPr="00497B7C">
        <w:rPr>
          <w:rFonts w:ascii="Times New Roman" w:hAnsi="Times New Roman" w:cs="Times New Roman"/>
          <w:color w:val="000000" w:themeColor="text1"/>
          <w:sz w:val="24"/>
          <w:szCs w:val="24"/>
          <w:lang w:val="en-US"/>
        </w:rPr>
        <w:t xml:space="preserve"> of MBA on </w:t>
      </w:r>
      <w:r w:rsidR="00D95DB7" w:rsidRPr="00497B7C">
        <w:rPr>
          <w:rFonts w:ascii="Times New Roman" w:hAnsi="Times New Roman" w:cs="Times New Roman"/>
          <w:color w:val="000000" w:themeColor="text1"/>
          <w:sz w:val="24"/>
          <w:szCs w:val="24"/>
          <w:lang w:val="en-US"/>
        </w:rPr>
        <w:t xml:space="preserve">the </w:t>
      </w:r>
      <w:r w:rsidR="00F10733" w:rsidRPr="00497B7C">
        <w:rPr>
          <w:rFonts w:ascii="Times New Roman" w:hAnsi="Times New Roman" w:cs="Times New Roman"/>
          <w:color w:val="000000" w:themeColor="text1"/>
          <w:sz w:val="24"/>
          <w:szCs w:val="24"/>
          <w:lang w:val="en-US"/>
        </w:rPr>
        <w:t xml:space="preserve">personal development, the </w:t>
      </w:r>
      <w:r w:rsidR="000C27CF" w:rsidRPr="00497B7C">
        <w:rPr>
          <w:rFonts w:ascii="Times New Roman" w:hAnsi="Times New Roman" w:cs="Times New Roman"/>
          <w:color w:val="000000" w:themeColor="text1"/>
          <w:sz w:val="24"/>
          <w:szCs w:val="24"/>
          <w:lang w:val="en-US"/>
        </w:rPr>
        <w:t>impact</w:t>
      </w:r>
      <w:r w:rsidR="00F10733" w:rsidRPr="00497B7C">
        <w:rPr>
          <w:rFonts w:ascii="Times New Roman" w:hAnsi="Times New Roman" w:cs="Times New Roman"/>
          <w:color w:val="000000" w:themeColor="text1"/>
          <w:sz w:val="24"/>
          <w:szCs w:val="24"/>
          <w:lang w:val="en-US"/>
        </w:rPr>
        <w:t xml:space="preserve"> of MBA on</w:t>
      </w:r>
      <w:r w:rsidR="00D95DB7" w:rsidRPr="00497B7C">
        <w:rPr>
          <w:rFonts w:ascii="Times New Roman" w:hAnsi="Times New Roman" w:cs="Times New Roman"/>
          <w:color w:val="000000" w:themeColor="text1"/>
          <w:sz w:val="24"/>
          <w:szCs w:val="24"/>
          <w:lang w:val="en-US"/>
        </w:rPr>
        <w:t xml:space="preserve"> the</w:t>
      </w:r>
      <w:r w:rsidR="00F10733" w:rsidRPr="00497B7C">
        <w:rPr>
          <w:rFonts w:ascii="Times New Roman" w:hAnsi="Times New Roman" w:cs="Times New Roman"/>
          <w:color w:val="000000" w:themeColor="text1"/>
          <w:sz w:val="24"/>
          <w:szCs w:val="24"/>
          <w:lang w:val="en-US"/>
        </w:rPr>
        <w:t xml:space="preserve"> </w:t>
      </w:r>
      <w:r w:rsidR="00497B7C" w:rsidRPr="00497B7C">
        <w:rPr>
          <w:rFonts w:ascii="Times New Roman" w:hAnsi="Times New Roman" w:cs="Times New Roman"/>
          <w:color w:val="000000" w:themeColor="text1"/>
          <w:sz w:val="24"/>
          <w:szCs w:val="24"/>
          <w:lang w:val="en-US"/>
        </w:rPr>
        <w:t>m</w:t>
      </w:r>
      <w:r w:rsidR="00497B7C" w:rsidRPr="00497B7C">
        <w:rPr>
          <w:rFonts w:ascii="Times New Roman" w:hAnsi="Times New Roman" w:cs="Times New Roman"/>
          <w:bCs/>
          <w:color w:val="000000" w:themeColor="text1"/>
          <w:sz w:val="24"/>
          <w:szCs w:val="24"/>
        </w:rPr>
        <w:t>otivation towards work</w:t>
      </w:r>
      <w:r w:rsidR="00F10733" w:rsidRPr="00497B7C">
        <w:rPr>
          <w:rFonts w:ascii="Times New Roman" w:hAnsi="Times New Roman" w:cs="Times New Roman"/>
          <w:color w:val="000000" w:themeColor="text1"/>
          <w:sz w:val="24"/>
          <w:szCs w:val="24"/>
          <w:lang w:val="en-US"/>
        </w:rPr>
        <w:t xml:space="preserve">, the </w:t>
      </w:r>
      <w:r w:rsidR="000C27CF" w:rsidRPr="00497B7C">
        <w:rPr>
          <w:rFonts w:ascii="Times New Roman" w:hAnsi="Times New Roman" w:cs="Times New Roman"/>
          <w:color w:val="000000" w:themeColor="text1"/>
          <w:sz w:val="24"/>
          <w:szCs w:val="24"/>
          <w:lang w:val="en-US"/>
        </w:rPr>
        <w:t>impact</w:t>
      </w:r>
      <w:r w:rsidR="00F10733" w:rsidRPr="00497B7C">
        <w:rPr>
          <w:rFonts w:ascii="Times New Roman" w:hAnsi="Times New Roman" w:cs="Times New Roman"/>
          <w:color w:val="000000" w:themeColor="text1"/>
          <w:sz w:val="24"/>
          <w:szCs w:val="24"/>
          <w:lang w:val="en-US"/>
        </w:rPr>
        <w:t xml:space="preserve"> of MBA</w:t>
      </w:r>
      <w:r w:rsidR="00D95DB7" w:rsidRPr="00497B7C">
        <w:rPr>
          <w:rFonts w:ascii="Times New Roman" w:hAnsi="Times New Roman" w:cs="Times New Roman"/>
          <w:color w:val="000000" w:themeColor="text1"/>
          <w:sz w:val="24"/>
          <w:szCs w:val="24"/>
          <w:lang w:val="en-US"/>
        </w:rPr>
        <w:t xml:space="preserve"> on the</w:t>
      </w:r>
      <w:r w:rsidR="00F10733" w:rsidRPr="00497B7C">
        <w:rPr>
          <w:rFonts w:ascii="Times New Roman" w:hAnsi="Times New Roman" w:cs="Times New Roman"/>
          <w:color w:val="000000" w:themeColor="text1"/>
          <w:sz w:val="24"/>
          <w:szCs w:val="24"/>
          <w:lang w:val="en-US"/>
        </w:rPr>
        <w:t xml:space="preserve"> career,</w:t>
      </w:r>
      <w:r w:rsidR="005350E9" w:rsidRPr="00497B7C">
        <w:rPr>
          <w:rFonts w:ascii="Times New Roman" w:hAnsi="Times New Roman" w:cs="Times New Roman"/>
          <w:color w:val="000000" w:themeColor="text1"/>
          <w:sz w:val="24"/>
          <w:szCs w:val="24"/>
          <w:lang w:val="en-US"/>
        </w:rPr>
        <w:t xml:space="preserve"> the </w:t>
      </w:r>
      <w:r w:rsidR="000C27CF" w:rsidRPr="00497B7C">
        <w:rPr>
          <w:rFonts w:ascii="Times New Roman" w:hAnsi="Times New Roman" w:cs="Times New Roman"/>
          <w:color w:val="000000" w:themeColor="text1"/>
          <w:sz w:val="24"/>
          <w:szCs w:val="24"/>
          <w:lang w:val="en-US"/>
        </w:rPr>
        <w:t>success level of MBA to meet expec</w:t>
      </w:r>
      <w:r w:rsidR="000C27CF" w:rsidRPr="000C27CF">
        <w:rPr>
          <w:rFonts w:ascii="Times New Roman" w:hAnsi="Times New Roman" w:cs="Times New Roman"/>
          <w:color w:val="000000" w:themeColor="text1"/>
          <w:sz w:val="24"/>
          <w:szCs w:val="24"/>
          <w:lang w:val="en-US"/>
        </w:rPr>
        <w:t>tations</w:t>
      </w:r>
      <w:r w:rsidR="005350E9" w:rsidRPr="00D95DB7">
        <w:rPr>
          <w:rFonts w:ascii="Times New Roman" w:hAnsi="Times New Roman" w:cs="Times New Roman"/>
          <w:color w:val="000000" w:themeColor="text1"/>
          <w:sz w:val="24"/>
          <w:szCs w:val="24"/>
          <w:lang w:val="en-US"/>
        </w:rPr>
        <w:t xml:space="preserve">, the </w:t>
      </w:r>
      <w:r w:rsidR="000C27CF">
        <w:rPr>
          <w:rFonts w:ascii="Times New Roman" w:hAnsi="Times New Roman" w:cs="Times New Roman"/>
          <w:color w:val="000000" w:themeColor="text1"/>
          <w:sz w:val="24"/>
          <w:szCs w:val="24"/>
          <w:lang w:val="en-US"/>
        </w:rPr>
        <w:t>impact</w:t>
      </w:r>
      <w:r w:rsidR="000C27CF" w:rsidRPr="00D95DB7">
        <w:rPr>
          <w:rFonts w:ascii="Times New Roman" w:hAnsi="Times New Roman" w:cs="Times New Roman"/>
          <w:color w:val="000000" w:themeColor="text1"/>
          <w:sz w:val="24"/>
          <w:szCs w:val="24"/>
          <w:lang w:val="en-US"/>
        </w:rPr>
        <w:t xml:space="preserve"> </w:t>
      </w:r>
      <w:r w:rsidR="005350E9" w:rsidRPr="00D95DB7">
        <w:rPr>
          <w:rFonts w:ascii="Times New Roman" w:hAnsi="Times New Roman" w:cs="Times New Roman"/>
          <w:color w:val="000000" w:themeColor="text1"/>
          <w:sz w:val="24"/>
          <w:szCs w:val="24"/>
          <w:lang w:val="en-US"/>
        </w:rPr>
        <w:t xml:space="preserve">of MBA on </w:t>
      </w:r>
      <w:r w:rsidR="00D95DB7" w:rsidRPr="00D95DB7">
        <w:rPr>
          <w:rFonts w:ascii="Times New Roman" w:hAnsi="Times New Roman" w:cs="Times New Roman"/>
          <w:color w:val="000000" w:themeColor="text1"/>
          <w:sz w:val="24"/>
          <w:szCs w:val="24"/>
          <w:lang w:val="en-US"/>
        </w:rPr>
        <w:t xml:space="preserve">the </w:t>
      </w:r>
      <w:r w:rsidR="005350E9" w:rsidRPr="00D95DB7">
        <w:rPr>
          <w:rFonts w:ascii="Times New Roman" w:hAnsi="Times New Roman" w:cs="Times New Roman"/>
          <w:color w:val="000000" w:themeColor="text1"/>
          <w:sz w:val="24"/>
          <w:szCs w:val="24"/>
          <w:lang w:val="en-US"/>
        </w:rPr>
        <w:t xml:space="preserve">social recognition at workplace, </w:t>
      </w:r>
      <w:r w:rsidR="00D95DB7" w:rsidRPr="00D95DB7">
        <w:rPr>
          <w:rFonts w:ascii="Times New Roman" w:hAnsi="Times New Roman" w:cs="Times New Roman"/>
          <w:color w:val="000000" w:themeColor="text1"/>
          <w:sz w:val="24"/>
          <w:szCs w:val="24"/>
          <w:lang w:val="en-US"/>
        </w:rPr>
        <w:t xml:space="preserve">the </w:t>
      </w:r>
      <w:r w:rsidR="000C27CF">
        <w:rPr>
          <w:rFonts w:ascii="Times New Roman" w:hAnsi="Times New Roman" w:cs="Times New Roman"/>
          <w:color w:val="000000" w:themeColor="text1"/>
          <w:sz w:val="24"/>
          <w:szCs w:val="24"/>
          <w:lang w:val="en-US"/>
        </w:rPr>
        <w:t>impact</w:t>
      </w:r>
      <w:r w:rsidR="00D95DB7" w:rsidRPr="00D95DB7">
        <w:rPr>
          <w:rFonts w:ascii="Times New Roman" w:hAnsi="Times New Roman" w:cs="Times New Roman"/>
          <w:color w:val="000000" w:themeColor="text1"/>
          <w:sz w:val="24"/>
          <w:szCs w:val="24"/>
          <w:lang w:val="en-US"/>
        </w:rPr>
        <w:t xml:space="preserve"> of MBA on </w:t>
      </w:r>
      <w:r w:rsidR="00F10733" w:rsidRPr="00D95DB7">
        <w:rPr>
          <w:rFonts w:ascii="Times New Roman" w:hAnsi="Times New Roman" w:cs="Times New Roman"/>
          <w:color w:val="000000" w:themeColor="text1"/>
          <w:sz w:val="24"/>
          <w:szCs w:val="24"/>
          <w:lang w:val="en-US"/>
        </w:rPr>
        <w:t>income level</w:t>
      </w:r>
      <w:r w:rsidR="00D95DB7" w:rsidRPr="00D95DB7">
        <w:rPr>
          <w:rFonts w:ascii="Times New Roman" w:hAnsi="Times New Roman" w:cs="Times New Roman"/>
          <w:color w:val="000000" w:themeColor="text1"/>
          <w:sz w:val="24"/>
          <w:szCs w:val="24"/>
          <w:lang w:val="en-US"/>
        </w:rPr>
        <w:t xml:space="preserve">, the </w:t>
      </w:r>
      <w:r w:rsidR="000C27CF">
        <w:rPr>
          <w:rFonts w:ascii="Times New Roman" w:hAnsi="Times New Roman" w:cs="Times New Roman"/>
          <w:color w:val="000000" w:themeColor="text1"/>
          <w:sz w:val="24"/>
          <w:szCs w:val="24"/>
          <w:lang w:val="en-US"/>
        </w:rPr>
        <w:t>impact</w:t>
      </w:r>
      <w:r w:rsidR="00D95DB7" w:rsidRPr="00D95DB7">
        <w:rPr>
          <w:rFonts w:ascii="Times New Roman" w:hAnsi="Times New Roman" w:cs="Times New Roman"/>
          <w:color w:val="000000" w:themeColor="text1"/>
          <w:sz w:val="24"/>
          <w:szCs w:val="24"/>
          <w:lang w:val="en-US"/>
        </w:rPr>
        <w:t xml:space="preserve"> of MBA on the </w:t>
      </w:r>
      <w:r w:rsidR="000E6A03">
        <w:rPr>
          <w:rFonts w:ascii="Times New Roman" w:hAnsi="Times New Roman" w:cs="Times New Roman"/>
          <w:color w:val="000000" w:themeColor="text1"/>
          <w:sz w:val="24"/>
          <w:szCs w:val="24"/>
          <w:lang w:val="en-US"/>
        </w:rPr>
        <w:t xml:space="preserve">professional </w:t>
      </w:r>
      <w:r w:rsidR="00F10733" w:rsidRPr="00D95DB7">
        <w:rPr>
          <w:rFonts w:ascii="Times New Roman" w:hAnsi="Times New Roman" w:cs="Times New Roman"/>
          <w:color w:val="000000" w:themeColor="text1"/>
          <w:sz w:val="24"/>
          <w:szCs w:val="24"/>
          <w:lang w:val="en-US"/>
        </w:rPr>
        <w:t xml:space="preserve">position </w:t>
      </w:r>
      <w:r w:rsidR="00D95DB7" w:rsidRPr="00D95DB7">
        <w:rPr>
          <w:rFonts w:ascii="Times New Roman" w:hAnsi="Times New Roman" w:cs="Times New Roman"/>
          <w:color w:val="000000" w:themeColor="text1"/>
          <w:sz w:val="24"/>
          <w:szCs w:val="24"/>
          <w:lang w:val="en-US"/>
        </w:rPr>
        <w:t>at</w:t>
      </w:r>
      <w:r w:rsidR="00F10733" w:rsidRPr="00D95DB7">
        <w:rPr>
          <w:rFonts w:ascii="Times New Roman" w:hAnsi="Times New Roman" w:cs="Times New Roman"/>
          <w:color w:val="000000" w:themeColor="text1"/>
          <w:sz w:val="24"/>
          <w:szCs w:val="24"/>
          <w:lang w:val="en-US"/>
        </w:rPr>
        <w:t xml:space="preserve"> workplace.</w:t>
      </w:r>
      <w:r w:rsidR="00FF1C30">
        <w:rPr>
          <w:rFonts w:ascii="Times New Roman" w:hAnsi="Times New Roman" w:cs="Times New Roman"/>
          <w:color w:val="000000" w:themeColor="text1"/>
          <w:sz w:val="24"/>
          <w:szCs w:val="24"/>
          <w:lang w:val="en-US"/>
        </w:rPr>
        <w:t xml:space="preserve"> </w:t>
      </w:r>
    </w:p>
    <w:p w:rsidR="0071528E" w:rsidRPr="0071528E" w:rsidRDefault="00D95DB7" w:rsidP="00F32FDD">
      <w:pPr>
        <w:spacing w:before="120" w:after="0"/>
        <w:jc w:val="both"/>
        <w:rPr>
          <w:rFonts w:ascii="Times New Roman" w:hAnsi="Times New Roman" w:cs="Times New Roman"/>
          <w:color w:val="000000" w:themeColor="text1"/>
          <w:sz w:val="24"/>
          <w:szCs w:val="24"/>
          <w:lang w:val="en-US"/>
        </w:rPr>
      </w:pPr>
      <w:r w:rsidRPr="00D95DB7">
        <w:rPr>
          <w:rFonts w:ascii="Times New Roman" w:hAnsi="Times New Roman" w:cs="Times New Roman"/>
          <w:color w:val="000000" w:themeColor="text1"/>
          <w:sz w:val="24"/>
          <w:szCs w:val="24"/>
          <w:lang w:val="en-US"/>
        </w:rPr>
        <w:t>The factor loa</w:t>
      </w:r>
      <w:r w:rsidR="00FF1C30">
        <w:rPr>
          <w:rFonts w:ascii="Times New Roman" w:hAnsi="Times New Roman" w:cs="Times New Roman"/>
          <w:color w:val="000000" w:themeColor="text1"/>
          <w:sz w:val="24"/>
          <w:szCs w:val="24"/>
          <w:lang w:val="en-US"/>
        </w:rPr>
        <w:t xml:space="preserve">dings of the dimensions for </w:t>
      </w:r>
      <w:r>
        <w:rPr>
          <w:rFonts w:ascii="Times New Roman" w:hAnsi="Times New Roman" w:cs="Times New Roman"/>
          <w:color w:val="000000" w:themeColor="text1"/>
          <w:sz w:val="24"/>
          <w:szCs w:val="24"/>
          <w:lang w:val="en-US"/>
        </w:rPr>
        <w:t xml:space="preserve">expectation of </w:t>
      </w:r>
      <w:r w:rsidRPr="00D95DB7">
        <w:rPr>
          <w:rFonts w:ascii="Times New Roman" w:hAnsi="Times New Roman" w:cs="Times New Roman"/>
          <w:color w:val="000000" w:themeColor="text1"/>
          <w:sz w:val="24"/>
          <w:szCs w:val="24"/>
          <w:lang w:val="en-US"/>
        </w:rPr>
        <w:t>contribution to human capital are 0.903 and 0.792.</w:t>
      </w:r>
      <w:r>
        <w:rPr>
          <w:rFonts w:ascii="Times New Roman" w:hAnsi="Times New Roman" w:cs="Times New Roman"/>
          <w:color w:val="000000" w:themeColor="text1"/>
          <w:sz w:val="24"/>
          <w:szCs w:val="24"/>
          <w:lang w:val="en-US"/>
        </w:rPr>
        <w:t xml:space="preserve"> </w:t>
      </w:r>
      <w:r w:rsidRPr="00FF1C30">
        <w:rPr>
          <w:rFonts w:ascii="Times New Roman" w:hAnsi="Times New Roman" w:cs="Times New Roman"/>
          <w:color w:val="000000" w:themeColor="text1"/>
          <w:sz w:val="24"/>
          <w:szCs w:val="24"/>
          <w:lang w:val="en-US"/>
        </w:rPr>
        <w:t xml:space="preserve">The factor loading for contribution </w:t>
      </w:r>
      <w:r w:rsidR="000C27CF">
        <w:rPr>
          <w:rFonts w:ascii="Times New Roman" w:hAnsi="Times New Roman" w:cs="Times New Roman"/>
          <w:color w:val="000000" w:themeColor="text1"/>
          <w:sz w:val="24"/>
          <w:szCs w:val="24"/>
          <w:lang w:val="en-US"/>
        </w:rPr>
        <w:t xml:space="preserve">of </w:t>
      </w:r>
      <w:r w:rsidR="000C27CF" w:rsidRPr="00FF1C30">
        <w:rPr>
          <w:rFonts w:ascii="Times New Roman" w:hAnsi="Times New Roman" w:cs="Times New Roman"/>
          <w:color w:val="000000" w:themeColor="text1"/>
          <w:sz w:val="24"/>
          <w:szCs w:val="24"/>
          <w:lang w:val="en-US"/>
        </w:rPr>
        <w:t xml:space="preserve">workplace </w:t>
      </w:r>
      <w:r w:rsidRPr="00FF1C30">
        <w:rPr>
          <w:rFonts w:ascii="Times New Roman" w:hAnsi="Times New Roman" w:cs="Times New Roman"/>
          <w:color w:val="000000" w:themeColor="text1"/>
          <w:sz w:val="24"/>
          <w:szCs w:val="24"/>
          <w:lang w:val="en-US"/>
        </w:rPr>
        <w:t xml:space="preserve">is </w:t>
      </w:r>
      <w:r w:rsidR="00294309" w:rsidRPr="00FF1C30">
        <w:rPr>
          <w:rFonts w:ascii="Times New Roman" w:hAnsi="Times New Roman" w:cs="Times New Roman"/>
          <w:color w:val="000000" w:themeColor="text1"/>
          <w:sz w:val="24"/>
          <w:szCs w:val="24"/>
        </w:rPr>
        <w:t>0.912</w:t>
      </w:r>
      <w:r w:rsidRPr="00FF1C30">
        <w:rPr>
          <w:rFonts w:ascii="Times New Roman" w:hAnsi="Times New Roman" w:cs="Times New Roman"/>
          <w:color w:val="000000" w:themeColor="text1"/>
          <w:sz w:val="24"/>
          <w:szCs w:val="24"/>
        </w:rPr>
        <w:t>.</w:t>
      </w:r>
      <w:r w:rsidR="00FF1C30" w:rsidRPr="00FF1C30">
        <w:rPr>
          <w:rFonts w:ascii="Times New Roman" w:hAnsi="Times New Roman" w:cs="Times New Roman"/>
          <w:color w:val="000000" w:themeColor="text1"/>
          <w:sz w:val="24"/>
          <w:szCs w:val="24"/>
        </w:rPr>
        <w:t xml:space="preserve"> </w:t>
      </w:r>
      <w:r w:rsidR="00FF1C30" w:rsidRPr="00FF1C30">
        <w:rPr>
          <w:rFonts w:ascii="Times New Roman" w:hAnsi="Times New Roman" w:cs="Times New Roman"/>
          <w:color w:val="000000" w:themeColor="text1"/>
          <w:sz w:val="24"/>
          <w:szCs w:val="24"/>
          <w:lang w:val="en-US"/>
        </w:rPr>
        <w:t>The factor loadings of the dimensions for contribution to human capital are in the range of 0.606-0.777.</w:t>
      </w:r>
      <w:r w:rsidR="0071528E">
        <w:rPr>
          <w:rFonts w:ascii="Times New Roman" w:hAnsi="Times New Roman" w:cs="Times New Roman"/>
          <w:color w:val="000000" w:themeColor="text1"/>
          <w:sz w:val="24"/>
          <w:szCs w:val="24"/>
          <w:lang w:val="en-US"/>
        </w:rPr>
        <w:t xml:space="preserve"> </w:t>
      </w:r>
      <w:r w:rsidR="00FF1C30" w:rsidRPr="00FF1C30">
        <w:rPr>
          <w:rFonts w:ascii="Times New Roman" w:hAnsi="Times New Roman" w:cs="Times New Roman"/>
          <w:color w:val="000000" w:themeColor="text1"/>
          <w:sz w:val="24"/>
          <w:szCs w:val="24"/>
        </w:rPr>
        <w:t>The total variance of this scale</w:t>
      </w:r>
      <w:r w:rsidR="00FF1C30">
        <w:rPr>
          <w:rFonts w:ascii="Times New Roman" w:hAnsi="Times New Roman" w:cs="Times New Roman"/>
          <w:color w:val="000000" w:themeColor="text1"/>
          <w:sz w:val="24"/>
          <w:szCs w:val="24"/>
        </w:rPr>
        <w:t xml:space="preserve"> score</w:t>
      </w:r>
      <w:r w:rsidR="00FF1C30" w:rsidRPr="00FF1C30">
        <w:rPr>
          <w:rFonts w:ascii="Times New Roman" w:hAnsi="Times New Roman" w:cs="Times New Roman"/>
          <w:color w:val="000000" w:themeColor="text1"/>
          <w:sz w:val="24"/>
          <w:szCs w:val="24"/>
        </w:rPr>
        <w:t>, defined by three main factors, was found to be 67.66%.</w:t>
      </w:r>
      <w:r w:rsidR="0071528E">
        <w:rPr>
          <w:rFonts w:ascii="Times New Roman" w:hAnsi="Times New Roman" w:cs="Times New Roman"/>
          <w:color w:val="000000" w:themeColor="text1"/>
          <w:sz w:val="24"/>
          <w:szCs w:val="24"/>
        </w:rPr>
        <w:t xml:space="preserve"> </w:t>
      </w:r>
      <w:r w:rsidR="0071528E">
        <w:rPr>
          <w:rFonts w:ascii="Times New Roman" w:hAnsi="Times New Roman" w:cs="Times New Roman"/>
          <w:color w:val="000000" w:themeColor="text1"/>
          <w:sz w:val="24"/>
          <w:shd w:val="clear" w:color="auto" w:fill="FFFFFF"/>
        </w:rPr>
        <w:t>T</w:t>
      </w:r>
      <w:r w:rsidR="00FF1C30" w:rsidRPr="00FF1C30">
        <w:rPr>
          <w:rFonts w:ascii="Times New Roman" w:hAnsi="Times New Roman" w:cs="Times New Roman"/>
          <w:color w:val="000000" w:themeColor="text1"/>
          <w:sz w:val="24"/>
          <w:shd w:val="clear" w:color="auto" w:fill="FFFFFF"/>
        </w:rPr>
        <w:t>he result of the KMO </w:t>
      </w:r>
      <w:r w:rsidR="00FF1C30" w:rsidRPr="00FF1C30">
        <w:rPr>
          <w:rStyle w:val="Vurgu"/>
          <w:rFonts w:ascii="Times New Roman" w:hAnsi="Times New Roman" w:cs="Times New Roman"/>
          <w:bCs/>
          <w:i w:val="0"/>
          <w:iCs w:val="0"/>
          <w:color w:val="000000" w:themeColor="text1"/>
          <w:sz w:val="24"/>
          <w:shd w:val="clear" w:color="auto" w:fill="FFFFFF"/>
        </w:rPr>
        <w:t>sample suitabilit</w:t>
      </w:r>
      <w:r w:rsidR="00FF1C30" w:rsidRPr="0071528E">
        <w:rPr>
          <w:rStyle w:val="Vurgu"/>
          <w:rFonts w:ascii="Times New Roman" w:hAnsi="Times New Roman" w:cs="Times New Roman"/>
          <w:bCs/>
          <w:i w:val="0"/>
          <w:iCs w:val="0"/>
          <w:color w:val="000000" w:themeColor="text1"/>
          <w:sz w:val="24"/>
          <w:shd w:val="clear" w:color="auto" w:fill="FFFFFF"/>
        </w:rPr>
        <w:t>y test</w:t>
      </w:r>
      <w:r w:rsidR="0071528E" w:rsidRPr="0071528E">
        <w:rPr>
          <w:rStyle w:val="Vurgu"/>
          <w:rFonts w:ascii="Times New Roman" w:hAnsi="Times New Roman" w:cs="Times New Roman"/>
          <w:bCs/>
          <w:i w:val="0"/>
          <w:iCs w:val="0"/>
          <w:color w:val="000000" w:themeColor="text1"/>
          <w:sz w:val="24"/>
          <w:shd w:val="clear" w:color="auto" w:fill="FFFFFF"/>
        </w:rPr>
        <w:t xml:space="preserve"> for 9 items of the factors related to do MBA</w:t>
      </w:r>
      <w:r w:rsidR="00FF1C30" w:rsidRPr="0071528E">
        <w:rPr>
          <w:rStyle w:val="Vurgu"/>
          <w:rFonts w:ascii="Times New Roman" w:hAnsi="Times New Roman" w:cs="Times New Roman"/>
          <w:bCs/>
          <w:i w:val="0"/>
          <w:iCs w:val="0"/>
          <w:color w:val="000000" w:themeColor="text1"/>
          <w:sz w:val="24"/>
          <w:shd w:val="clear" w:color="auto" w:fill="FFFFFF"/>
        </w:rPr>
        <w:t> </w:t>
      </w:r>
      <w:r w:rsidR="00FF1C30" w:rsidRPr="0071528E">
        <w:rPr>
          <w:rFonts w:ascii="Times New Roman" w:hAnsi="Times New Roman" w:cs="Times New Roman"/>
          <w:color w:val="000000" w:themeColor="text1"/>
          <w:sz w:val="24"/>
          <w:shd w:val="clear" w:color="auto" w:fill="FFFFFF"/>
        </w:rPr>
        <w:t xml:space="preserve">was found to be </w:t>
      </w:r>
      <w:r w:rsidR="00FF1C30" w:rsidRPr="0071528E">
        <w:rPr>
          <w:rFonts w:ascii="Times New Roman" w:hAnsi="Times New Roman" w:cs="Times New Roman"/>
          <w:color w:val="000000" w:themeColor="text1"/>
          <w:sz w:val="24"/>
          <w:szCs w:val="24"/>
        </w:rPr>
        <w:t xml:space="preserve">0.783 and </w:t>
      </w:r>
      <w:r w:rsidR="0071528E" w:rsidRPr="0071528E">
        <w:rPr>
          <w:rFonts w:ascii="Times New Roman" w:hAnsi="Times New Roman" w:cs="Times New Roman"/>
          <w:color w:val="000000" w:themeColor="text1"/>
          <w:sz w:val="24"/>
          <w:szCs w:val="24"/>
        </w:rPr>
        <w:t>the Bartlett's Test of Sphericity test result was also significant with 503.692 (p = 0.000 &lt;0.05).</w:t>
      </w:r>
      <w:r w:rsidR="0071528E">
        <w:rPr>
          <w:rFonts w:ascii="Times New Roman" w:hAnsi="Times New Roman" w:cs="Times New Roman"/>
          <w:color w:val="000000" w:themeColor="text1"/>
          <w:sz w:val="24"/>
          <w:szCs w:val="24"/>
        </w:rPr>
        <w:t xml:space="preserve"> </w:t>
      </w:r>
      <w:r w:rsidR="0071528E" w:rsidRPr="0071528E">
        <w:rPr>
          <w:rFonts w:ascii="Times New Roman" w:hAnsi="Times New Roman" w:cs="Times New Roman"/>
          <w:color w:val="000000" w:themeColor="text1"/>
          <w:sz w:val="24"/>
          <w:szCs w:val="24"/>
        </w:rPr>
        <w:t>In this case, the nine factors can be grouped into three main factors, and these three main factors can significantly explain 68% of the variability.</w:t>
      </w:r>
    </w:p>
    <w:p w:rsidR="0063598B" w:rsidRDefault="0063598B" w:rsidP="0063598B">
      <w:pPr>
        <w:autoSpaceDE w:val="0"/>
        <w:autoSpaceDN w:val="0"/>
        <w:adjustRightInd w:val="0"/>
        <w:spacing w:before="240" w:after="120" w:line="240" w:lineRule="auto"/>
        <w:rPr>
          <w:rFonts w:ascii="Times New Roman" w:hAnsi="Times New Roman" w:cs="Times New Roman"/>
          <w:b/>
          <w:bCs/>
          <w:color w:val="000000"/>
          <w:sz w:val="24"/>
          <w:szCs w:val="20"/>
          <w:shd w:val="clear" w:color="auto" w:fill="FFFFFF"/>
        </w:rPr>
      </w:pPr>
      <w:r>
        <w:rPr>
          <w:rFonts w:ascii="Times New Roman" w:hAnsi="Times New Roman" w:cs="Times New Roman"/>
          <w:b/>
          <w:bCs/>
          <w:color w:val="000000"/>
          <w:sz w:val="24"/>
          <w:szCs w:val="20"/>
          <w:shd w:val="clear" w:color="auto" w:fill="FFFFFF"/>
        </w:rPr>
        <w:t>4.5.3</w:t>
      </w:r>
      <w:r w:rsidRPr="00293A8E">
        <w:rPr>
          <w:rFonts w:ascii="Times New Roman" w:hAnsi="Times New Roman" w:cs="Times New Roman"/>
          <w:b/>
          <w:bCs/>
          <w:color w:val="000000"/>
          <w:sz w:val="24"/>
          <w:szCs w:val="20"/>
          <w:shd w:val="clear" w:color="auto" w:fill="FFFFFF"/>
        </w:rPr>
        <w:t>.</w:t>
      </w:r>
      <w:r>
        <w:rPr>
          <w:rFonts w:ascii="Times New Roman" w:hAnsi="Times New Roman" w:cs="Times New Roman"/>
          <w:b/>
          <w:bCs/>
          <w:color w:val="000000"/>
          <w:sz w:val="24"/>
          <w:szCs w:val="20"/>
          <w:shd w:val="clear" w:color="auto" w:fill="FFFFFF"/>
        </w:rPr>
        <w:t xml:space="preserve"> </w:t>
      </w:r>
      <w:r w:rsidRPr="00293A8E">
        <w:rPr>
          <w:rFonts w:ascii="Times New Roman" w:hAnsi="Times New Roman" w:cs="Times New Roman"/>
          <w:b/>
          <w:bCs/>
          <w:color w:val="000000"/>
          <w:sz w:val="24"/>
          <w:szCs w:val="20"/>
          <w:shd w:val="clear" w:color="auto" w:fill="FFFFFF"/>
        </w:rPr>
        <w:t>Hypothesis Testing</w:t>
      </w:r>
    </w:p>
    <w:p w:rsidR="00987CB6" w:rsidRDefault="00F150C1" w:rsidP="00F32FDD">
      <w:pPr>
        <w:spacing w:before="120" w:after="0"/>
        <w:jc w:val="both"/>
        <w:rPr>
          <w:rFonts w:ascii="Times New Roman" w:eastAsia="Times New Roman" w:hAnsi="Times New Roman" w:cs="Times New Roman"/>
          <w:color w:val="000000" w:themeColor="text1"/>
          <w:sz w:val="24"/>
          <w:szCs w:val="24"/>
        </w:rPr>
      </w:pPr>
      <w:r w:rsidRPr="00F150C1">
        <w:rPr>
          <w:rFonts w:ascii="Times New Roman" w:eastAsia="Times New Roman" w:hAnsi="Times New Roman" w:cs="Times New Roman"/>
          <w:color w:val="000000" w:themeColor="text1"/>
          <w:sz w:val="24"/>
          <w:szCs w:val="24"/>
        </w:rPr>
        <w:t>Multiple regression analysis was used to test the hypotheses H1, H2 and H3. For this purpose, multiple regression analysis was performed to determine the effect of three different factors on the MBA recommendation.</w:t>
      </w:r>
    </w:p>
    <w:p w:rsidR="00987CB6" w:rsidRPr="00987CB6" w:rsidRDefault="00987CB6" w:rsidP="00F32FDD">
      <w:pPr>
        <w:spacing w:before="120" w:after="0"/>
        <w:jc w:val="both"/>
        <w:rPr>
          <w:rFonts w:ascii="Times New Roman" w:eastAsia="Times New Roman" w:hAnsi="Times New Roman" w:cs="Times New Roman"/>
          <w:color w:val="000000" w:themeColor="text1"/>
          <w:sz w:val="24"/>
          <w:szCs w:val="24"/>
        </w:rPr>
      </w:pPr>
      <w:r w:rsidRPr="00987CB6">
        <w:rPr>
          <w:rFonts w:ascii="Times New Roman" w:eastAsia="Times New Roman" w:hAnsi="Times New Roman" w:cs="Times New Roman"/>
          <w:color w:val="000000" w:themeColor="text1"/>
          <w:sz w:val="24"/>
          <w:szCs w:val="24"/>
        </w:rPr>
        <w:t>All analysis results were assessed at significance levels of *** p&lt;0.01, ** p&lt;0.05, * p&lt;0.1. The multiple regression equation is:</w:t>
      </w:r>
    </w:p>
    <w:p w:rsidR="00294309" w:rsidRPr="00987CB6" w:rsidRDefault="00D22185" w:rsidP="00F32FDD">
      <w:pPr>
        <w:spacing w:before="240" w:after="240"/>
        <w:jc w:val="both"/>
        <w:rPr>
          <w:rFonts w:ascii="Times New Roman" w:eastAsia="Times New Roman" w:hAnsi="Times New Roman" w:cs="Times New Roman"/>
          <w:color w:val="000000" w:themeColor="text1"/>
          <w:sz w:val="24"/>
          <w:szCs w:val="24"/>
        </w:rPr>
      </w:pPr>
      <m:oMath>
        <m:r>
          <m:rPr>
            <m:sty m:val="p"/>
          </m:rPr>
          <w:rPr>
            <w:rFonts w:ascii="Cambria Math" w:eastAsia="Times New Roman" w:hAnsi="Cambria Math" w:cs="Times New Roman"/>
            <w:color w:val="000000" w:themeColor="text1"/>
            <w:sz w:val="24"/>
            <w:szCs w:val="24"/>
          </w:rPr>
          <m:t>IR= α+</m:t>
        </m:r>
        <m:sSub>
          <m:sSubPr>
            <m:ctrlPr>
              <w:rPr>
                <w:rFonts w:ascii="Cambria Math" w:eastAsia="Times New Roman" w:hAnsi="Cambria Math" w:cs="Times New Roman"/>
                <w:color w:val="000000" w:themeColor="text1"/>
                <w:sz w:val="24"/>
                <w:szCs w:val="24"/>
              </w:rPr>
            </m:ctrlPr>
          </m:sSubPr>
          <m:e>
            <m:r>
              <m:rPr>
                <m:sty m:val="p"/>
              </m:rPr>
              <w:rPr>
                <w:rFonts w:ascii="Cambria Math" w:eastAsia="Times New Roman" w:hAnsi="Cambria Math" w:cs="Times New Roman"/>
                <w:color w:val="000000" w:themeColor="text1"/>
                <w:sz w:val="24"/>
                <w:szCs w:val="24"/>
              </w:rPr>
              <m:t>β</m:t>
            </m:r>
          </m:e>
          <m:sub>
            <m:r>
              <m:rPr>
                <m:sty m:val="p"/>
              </m:rPr>
              <w:rPr>
                <w:rFonts w:ascii="Cambria Math" w:eastAsia="Times New Roman" w:hAnsi="Cambria Math" w:cs="Times New Roman"/>
                <w:color w:val="000000" w:themeColor="text1"/>
                <w:sz w:val="24"/>
                <w:szCs w:val="24"/>
              </w:rPr>
              <m:t>1</m:t>
            </m:r>
          </m:sub>
        </m:sSub>
        <m:r>
          <m:rPr>
            <m:sty m:val="p"/>
          </m:rPr>
          <w:rPr>
            <w:rFonts w:ascii="Cambria Math" w:eastAsia="Times New Roman" w:hAnsi="Cambria Math" w:cs="Times New Roman"/>
            <w:color w:val="000000" w:themeColor="text1"/>
            <w:sz w:val="24"/>
            <w:szCs w:val="24"/>
          </w:rPr>
          <m:t>EX+</m:t>
        </m:r>
        <m:sSub>
          <m:sSubPr>
            <m:ctrlPr>
              <w:rPr>
                <w:rFonts w:ascii="Cambria Math" w:eastAsia="Times New Roman" w:hAnsi="Cambria Math" w:cs="Times New Roman"/>
                <w:color w:val="000000" w:themeColor="text1"/>
                <w:sz w:val="24"/>
                <w:szCs w:val="24"/>
              </w:rPr>
            </m:ctrlPr>
          </m:sSubPr>
          <m:e>
            <m:r>
              <m:rPr>
                <m:sty m:val="p"/>
              </m:rPr>
              <w:rPr>
                <w:rFonts w:ascii="Cambria Math" w:eastAsia="Times New Roman" w:hAnsi="Cambria Math" w:cs="Times New Roman"/>
                <w:color w:val="000000" w:themeColor="text1"/>
                <w:sz w:val="24"/>
                <w:szCs w:val="24"/>
              </w:rPr>
              <m:t>β</m:t>
            </m:r>
          </m:e>
          <m:sub>
            <m:r>
              <m:rPr>
                <m:sty m:val="p"/>
              </m:rPr>
              <w:rPr>
                <w:rFonts w:ascii="Cambria Math" w:eastAsia="Times New Roman" w:hAnsi="Cambria Math" w:cs="Times New Roman"/>
                <w:color w:val="000000" w:themeColor="text1"/>
                <w:sz w:val="24"/>
                <w:szCs w:val="24"/>
              </w:rPr>
              <m:t>2</m:t>
            </m:r>
          </m:sub>
        </m:sSub>
        <m:r>
          <m:rPr>
            <m:sty m:val="p"/>
          </m:rPr>
          <w:rPr>
            <w:rFonts w:ascii="Cambria Math" w:eastAsia="Times New Roman" w:hAnsi="Cambria Math" w:cs="Times New Roman"/>
            <w:color w:val="000000" w:themeColor="text1"/>
            <w:sz w:val="24"/>
            <w:szCs w:val="24"/>
          </w:rPr>
          <m:t>CW+</m:t>
        </m:r>
        <m:sSub>
          <m:sSubPr>
            <m:ctrlPr>
              <w:rPr>
                <w:rFonts w:ascii="Cambria Math" w:eastAsia="Times New Roman" w:hAnsi="Cambria Math" w:cs="Times New Roman"/>
                <w:color w:val="000000" w:themeColor="text1"/>
                <w:sz w:val="24"/>
                <w:szCs w:val="24"/>
              </w:rPr>
            </m:ctrlPr>
          </m:sSubPr>
          <m:e>
            <m:r>
              <m:rPr>
                <m:sty m:val="p"/>
              </m:rPr>
              <w:rPr>
                <w:rFonts w:ascii="Cambria Math" w:eastAsia="Times New Roman" w:hAnsi="Cambria Math" w:cs="Times New Roman"/>
                <w:color w:val="000000" w:themeColor="text1"/>
                <w:sz w:val="24"/>
                <w:szCs w:val="24"/>
              </w:rPr>
              <m:t>β</m:t>
            </m:r>
          </m:e>
          <m:sub>
            <m:r>
              <m:rPr>
                <m:sty m:val="p"/>
              </m:rPr>
              <w:rPr>
                <w:rFonts w:ascii="Cambria Math" w:eastAsia="Times New Roman" w:hAnsi="Cambria Math" w:cs="Times New Roman"/>
                <w:color w:val="000000" w:themeColor="text1"/>
                <w:sz w:val="24"/>
                <w:szCs w:val="24"/>
              </w:rPr>
              <m:t>3</m:t>
            </m:r>
          </m:sub>
        </m:sSub>
        <m:r>
          <m:rPr>
            <m:sty m:val="p"/>
          </m:rPr>
          <w:rPr>
            <w:rFonts w:ascii="Cambria Math" w:eastAsia="Times New Roman" w:hAnsi="Cambria Math" w:cs="Times New Roman"/>
            <w:color w:val="000000" w:themeColor="text1"/>
            <w:sz w:val="24"/>
            <w:szCs w:val="24"/>
          </w:rPr>
          <m:t>HC+ε</m:t>
        </m:r>
      </m:oMath>
      <w:r w:rsidR="00294309" w:rsidRPr="00987CB6">
        <w:rPr>
          <w:rFonts w:ascii="Times New Roman" w:eastAsia="Times New Roman" w:hAnsi="Times New Roman" w:cs="Times New Roman"/>
          <w:color w:val="000000" w:themeColor="text1"/>
          <w:sz w:val="24"/>
          <w:szCs w:val="24"/>
        </w:rPr>
        <w:t xml:space="preserve"> , </w:t>
      </w:r>
    </w:p>
    <w:p w:rsidR="00987CB6" w:rsidRDefault="00987CB6" w:rsidP="00F32FDD">
      <w:pPr>
        <w:spacing w:before="120" w:after="0"/>
        <w:jc w:val="both"/>
        <w:rPr>
          <w:rFonts w:ascii="Times New Roman" w:hAnsi="Times New Roman" w:cs="Times New Roman"/>
          <w:color w:val="000000" w:themeColor="text1"/>
          <w:sz w:val="24"/>
          <w:szCs w:val="24"/>
        </w:rPr>
      </w:pPr>
      <w:r w:rsidRPr="00D22185">
        <w:rPr>
          <w:rFonts w:ascii="Times New Roman" w:eastAsia="Times New Roman" w:hAnsi="Times New Roman" w:cs="Times New Roman"/>
          <w:color w:val="000000" w:themeColor="text1"/>
          <w:sz w:val="24"/>
          <w:szCs w:val="24"/>
        </w:rPr>
        <w:t>In this model</w:t>
      </w:r>
      <w:r w:rsidR="00294309" w:rsidRPr="00D22185">
        <w:rPr>
          <w:rFonts w:ascii="Times New Roman" w:eastAsia="Times New Roman" w:hAnsi="Times New Roman" w:cs="Times New Roman"/>
          <w:color w:val="000000" w:themeColor="text1"/>
          <w:sz w:val="24"/>
          <w:szCs w:val="24"/>
        </w:rPr>
        <w:t xml:space="preserve">; </w:t>
      </w:r>
      <w:r w:rsidR="00D22185" w:rsidRPr="00D22185">
        <w:rPr>
          <w:rFonts w:ascii="Times New Roman" w:eastAsia="Times New Roman" w:hAnsi="Times New Roman" w:cs="Times New Roman"/>
          <w:color w:val="000000" w:themeColor="text1"/>
          <w:sz w:val="24"/>
          <w:szCs w:val="24"/>
        </w:rPr>
        <w:t xml:space="preserve">IR shows </w:t>
      </w:r>
      <w:r w:rsidRPr="00D22185">
        <w:rPr>
          <w:rFonts w:ascii="Times New Roman" w:hAnsi="Times New Roman" w:cs="Times New Roman"/>
          <w:color w:val="000000" w:themeColor="text1"/>
          <w:sz w:val="24"/>
          <w:szCs w:val="24"/>
        </w:rPr>
        <w:t xml:space="preserve">the incentive and the recommendation to do MBA, </w:t>
      </w:r>
      <w:r w:rsidR="00D22185" w:rsidRPr="00D22185">
        <w:rPr>
          <w:rFonts w:ascii="Times New Roman" w:hAnsi="Times New Roman" w:cs="Times New Roman"/>
          <w:color w:val="000000" w:themeColor="text1"/>
          <w:sz w:val="24"/>
          <w:szCs w:val="24"/>
        </w:rPr>
        <w:t>EX represents expectation of contribution to human capital,  CW represents contribution</w:t>
      </w:r>
      <w:r w:rsidR="000C27CF">
        <w:rPr>
          <w:rFonts w:ascii="Times New Roman" w:hAnsi="Times New Roman" w:cs="Times New Roman"/>
          <w:color w:val="000000" w:themeColor="text1"/>
          <w:sz w:val="24"/>
          <w:szCs w:val="24"/>
        </w:rPr>
        <w:t xml:space="preserve"> of</w:t>
      </w:r>
      <w:r w:rsidR="000C27CF" w:rsidRPr="000C27CF">
        <w:rPr>
          <w:rFonts w:ascii="Times New Roman" w:hAnsi="Times New Roman" w:cs="Times New Roman"/>
          <w:color w:val="000000" w:themeColor="text1"/>
          <w:sz w:val="24"/>
          <w:szCs w:val="24"/>
        </w:rPr>
        <w:t xml:space="preserve"> </w:t>
      </w:r>
      <w:r w:rsidR="000C27CF" w:rsidRPr="00D22185">
        <w:rPr>
          <w:rFonts w:ascii="Times New Roman" w:hAnsi="Times New Roman" w:cs="Times New Roman"/>
          <w:color w:val="000000" w:themeColor="text1"/>
          <w:sz w:val="24"/>
          <w:szCs w:val="24"/>
        </w:rPr>
        <w:t>workplace</w:t>
      </w:r>
      <w:r w:rsidR="00D22185" w:rsidRPr="00D22185">
        <w:rPr>
          <w:rFonts w:ascii="Times New Roman" w:hAnsi="Times New Roman" w:cs="Times New Roman"/>
          <w:color w:val="000000" w:themeColor="text1"/>
          <w:sz w:val="24"/>
          <w:szCs w:val="24"/>
        </w:rPr>
        <w:t>, and H</w:t>
      </w:r>
      <w:r w:rsidR="00D22185">
        <w:rPr>
          <w:rFonts w:ascii="Times New Roman" w:hAnsi="Times New Roman" w:cs="Times New Roman"/>
          <w:color w:val="000000" w:themeColor="text1"/>
          <w:sz w:val="24"/>
          <w:szCs w:val="24"/>
        </w:rPr>
        <w:t>C</w:t>
      </w:r>
      <w:r w:rsidR="00D22185" w:rsidRPr="00D22185">
        <w:rPr>
          <w:rFonts w:ascii="Times New Roman" w:hAnsi="Times New Roman" w:cs="Times New Roman"/>
          <w:color w:val="000000" w:themeColor="text1"/>
          <w:sz w:val="24"/>
          <w:szCs w:val="24"/>
        </w:rPr>
        <w:t xml:space="preserve"> represents contribution to human capital.</w:t>
      </w:r>
    </w:p>
    <w:p w:rsidR="00D51229" w:rsidRDefault="00D51229" w:rsidP="00F32FDD">
      <w:pPr>
        <w:spacing w:before="120" w:after="0"/>
        <w:jc w:val="both"/>
        <w:rPr>
          <w:rFonts w:ascii="Times New Roman" w:eastAsia="Times New Roman" w:hAnsi="Times New Roman" w:cs="Times New Roman"/>
          <w:color w:val="000000" w:themeColor="text1"/>
          <w:sz w:val="24"/>
          <w:szCs w:val="24"/>
        </w:rPr>
      </w:pPr>
      <w:r w:rsidRPr="00D51229">
        <w:rPr>
          <w:rFonts w:ascii="Times New Roman" w:eastAsia="Times New Roman" w:hAnsi="Times New Roman" w:cs="Times New Roman"/>
          <w:color w:val="000000" w:themeColor="text1"/>
          <w:sz w:val="24"/>
          <w:szCs w:val="24"/>
        </w:rPr>
        <w:t>Also, since the VIF values of all variables are greater than 10 and Tolerance values are not smaller than 0,1, the multicollinearity assumption is not violated.</w:t>
      </w:r>
    </w:p>
    <w:p w:rsidR="00492E36" w:rsidRDefault="00492E36" w:rsidP="00F32FDD">
      <w:pPr>
        <w:spacing w:before="120" w:after="0"/>
        <w:jc w:val="both"/>
        <w:rPr>
          <w:rFonts w:ascii="Times New Roman" w:eastAsia="Times New Roman" w:hAnsi="Times New Roman" w:cs="Times New Roman"/>
          <w:color w:val="000000" w:themeColor="text1"/>
          <w:sz w:val="24"/>
          <w:szCs w:val="24"/>
        </w:rPr>
      </w:pPr>
      <w:r w:rsidRPr="00577D5E">
        <w:rPr>
          <w:rFonts w:ascii="Times New Roman" w:eastAsia="Times New Roman" w:hAnsi="Times New Roman" w:cs="Times New Roman"/>
          <w:color w:val="000000" w:themeColor="text1"/>
          <w:sz w:val="24"/>
          <w:szCs w:val="24"/>
        </w:rPr>
        <w:t>The data in Table-2 shows that a meaningful model can be created.</w:t>
      </w:r>
      <w:r>
        <w:rPr>
          <w:rFonts w:ascii="Times New Roman" w:eastAsia="Times New Roman" w:hAnsi="Times New Roman" w:cs="Times New Roman"/>
          <w:color w:val="000000" w:themeColor="text1"/>
          <w:sz w:val="24"/>
          <w:szCs w:val="24"/>
        </w:rPr>
        <w:t xml:space="preserve"> </w:t>
      </w:r>
      <w:r w:rsidRPr="00577D5E">
        <w:rPr>
          <w:rFonts w:ascii="Times New Roman" w:eastAsia="Times New Roman" w:hAnsi="Times New Roman" w:cs="Times New Roman"/>
          <w:color w:val="000000" w:themeColor="text1"/>
          <w:sz w:val="24"/>
          <w:szCs w:val="24"/>
        </w:rPr>
        <w:t>The model is significant for all variables with a value of F = 14.054 (p = 0.000 &lt;0.01).</w:t>
      </w:r>
    </w:p>
    <w:p w:rsidR="00492E36" w:rsidRDefault="00492E36" w:rsidP="00294309">
      <w:pPr>
        <w:jc w:val="both"/>
        <w:rPr>
          <w:rFonts w:ascii="Times New Roman" w:eastAsia="Times New Roman" w:hAnsi="Times New Roman" w:cs="Times New Roman"/>
          <w:color w:val="000000" w:themeColor="text1"/>
          <w:sz w:val="24"/>
          <w:szCs w:val="24"/>
        </w:rPr>
      </w:pPr>
    </w:p>
    <w:p w:rsidR="00492E36" w:rsidRPr="00D22185" w:rsidRDefault="00492E36" w:rsidP="00294309">
      <w:pPr>
        <w:jc w:val="both"/>
        <w:rPr>
          <w:rFonts w:ascii="Times New Roman" w:eastAsia="Times New Roman" w:hAnsi="Times New Roman" w:cs="Times New Roman"/>
          <w:color w:val="000000" w:themeColor="text1"/>
          <w:sz w:val="24"/>
          <w:szCs w:val="24"/>
        </w:rPr>
      </w:pPr>
    </w:p>
    <w:p w:rsidR="00294309" w:rsidRPr="00577D5E" w:rsidRDefault="00577D5E" w:rsidP="00F32FDD">
      <w:pPr>
        <w:jc w:val="center"/>
        <w:rPr>
          <w:rFonts w:ascii="Times New Roman" w:eastAsia="Times New Roman" w:hAnsi="Times New Roman" w:cs="Times New Roman"/>
          <w:color w:val="000000" w:themeColor="text1"/>
          <w:sz w:val="20"/>
          <w:szCs w:val="20"/>
        </w:rPr>
      </w:pPr>
      <w:r w:rsidRPr="00577D5E">
        <w:rPr>
          <w:rFonts w:ascii="Times New Roman" w:eastAsia="Times New Roman" w:hAnsi="Times New Roman" w:cs="Times New Roman"/>
          <w:b/>
          <w:color w:val="000000" w:themeColor="text1"/>
          <w:sz w:val="20"/>
          <w:szCs w:val="20"/>
        </w:rPr>
        <w:lastRenderedPageBreak/>
        <w:t xml:space="preserve">Table-2: </w:t>
      </w:r>
      <w:r w:rsidR="00F32FDD">
        <w:rPr>
          <w:rFonts w:ascii="Times New Roman" w:eastAsia="Times New Roman" w:hAnsi="Times New Roman" w:cs="Times New Roman"/>
          <w:color w:val="000000" w:themeColor="text1"/>
          <w:sz w:val="20"/>
          <w:szCs w:val="20"/>
        </w:rPr>
        <w:t>The R</w:t>
      </w:r>
      <w:r w:rsidRPr="00577D5E">
        <w:rPr>
          <w:rFonts w:ascii="Times New Roman" w:eastAsia="Times New Roman" w:hAnsi="Times New Roman" w:cs="Times New Roman"/>
          <w:color w:val="000000" w:themeColor="text1"/>
          <w:sz w:val="20"/>
          <w:szCs w:val="20"/>
        </w:rPr>
        <w:t xml:space="preserve">esults of the </w:t>
      </w:r>
      <w:r w:rsidR="00F32FDD">
        <w:rPr>
          <w:rFonts w:ascii="Times New Roman" w:eastAsia="Times New Roman" w:hAnsi="Times New Roman" w:cs="Times New Roman"/>
          <w:color w:val="000000" w:themeColor="text1"/>
          <w:sz w:val="20"/>
          <w:szCs w:val="20"/>
        </w:rPr>
        <w:t>R</w:t>
      </w:r>
      <w:r w:rsidRPr="00577D5E">
        <w:rPr>
          <w:rFonts w:ascii="Times New Roman" w:eastAsia="Times New Roman" w:hAnsi="Times New Roman" w:cs="Times New Roman"/>
          <w:color w:val="000000" w:themeColor="text1"/>
          <w:sz w:val="20"/>
          <w:szCs w:val="20"/>
        </w:rPr>
        <w:t xml:space="preserve">elationship between the MBA </w:t>
      </w:r>
      <w:r w:rsidR="00F32FDD">
        <w:rPr>
          <w:rFonts w:ascii="Times New Roman" w:eastAsia="Times New Roman" w:hAnsi="Times New Roman" w:cs="Times New Roman"/>
          <w:color w:val="000000" w:themeColor="text1"/>
          <w:sz w:val="20"/>
          <w:szCs w:val="20"/>
        </w:rPr>
        <w:t>Recommendation &amp;</w:t>
      </w:r>
      <w:r w:rsidRPr="00577D5E">
        <w:rPr>
          <w:rFonts w:ascii="Times New Roman" w:eastAsia="Times New Roman" w:hAnsi="Times New Roman" w:cs="Times New Roman"/>
          <w:color w:val="000000" w:themeColor="text1"/>
          <w:sz w:val="20"/>
          <w:szCs w:val="20"/>
        </w:rPr>
        <w:t xml:space="preserve"> the </w:t>
      </w:r>
      <w:r w:rsidR="00F32FDD">
        <w:rPr>
          <w:rFonts w:ascii="Times New Roman" w:eastAsia="Times New Roman" w:hAnsi="Times New Roman" w:cs="Times New Roman"/>
          <w:color w:val="000000" w:themeColor="text1"/>
          <w:sz w:val="20"/>
          <w:szCs w:val="20"/>
        </w:rPr>
        <w:t>F</w:t>
      </w:r>
      <w:r w:rsidRPr="00577D5E">
        <w:rPr>
          <w:rFonts w:ascii="Times New Roman" w:eastAsia="Times New Roman" w:hAnsi="Times New Roman" w:cs="Times New Roman"/>
          <w:color w:val="000000" w:themeColor="text1"/>
          <w:sz w:val="20"/>
          <w:szCs w:val="20"/>
        </w:rPr>
        <w:t>actors for MBA education</w:t>
      </w:r>
    </w:p>
    <w:tbl>
      <w:tblPr>
        <w:tblW w:w="8013" w:type="dxa"/>
        <w:jc w:val="center"/>
        <w:tblCellMar>
          <w:left w:w="70" w:type="dxa"/>
          <w:right w:w="70" w:type="dxa"/>
        </w:tblCellMar>
        <w:tblLook w:val="04A0" w:firstRow="1" w:lastRow="0" w:firstColumn="1" w:lastColumn="0" w:noHBand="0" w:noVBand="1"/>
      </w:tblPr>
      <w:tblGrid>
        <w:gridCol w:w="1720"/>
        <w:gridCol w:w="1195"/>
        <w:gridCol w:w="1513"/>
        <w:gridCol w:w="1216"/>
        <w:gridCol w:w="1198"/>
        <w:gridCol w:w="1171"/>
      </w:tblGrid>
      <w:tr w:rsidR="00231047" w:rsidRPr="00F32FDD" w:rsidTr="00F32FDD">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309" w:rsidRPr="00F32FDD" w:rsidRDefault="00987CB6" w:rsidP="00F12A6D">
            <w:pPr>
              <w:spacing w:after="0" w:line="240" w:lineRule="auto"/>
              <w:jc w:val="center"/>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Variable</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center"/>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B</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294309" w:rsidRPr="00F32FDD" w:rsidRDefault="00987CB6" w:rsidP="00F12A6D">
            <w:pPr>
              <w:spacing w:after="0" w:line="240" w:lineRule="auto"/>
              <w:jc w:val="center"/>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Standard error</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294309" w:rsidRPr="00F32FDD" w:rsidRDefault="00987CB6" w:rsidP="00F12A6D">
            <w:pPr>
              <w:spacing w:after="0" w:line="240" w:lineRule="auto"/>
              <w:jc w:val="center"/>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Coefficients</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center"/>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t</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center"/>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p</w:t>
            </w:r>
          </w:p>
        </w:tc>
      </w:tr>
      <w:tr w:rsidR="00231047" w:rsidRPr="00F32FDD" w:rsidTr="00F32FDD">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94309" w:rsidRPr="00F32FDD" w:rsidRDefault="00987CB6" w:rsidP="00F12A6D">
            <w:pPr>
              <w:spacing w:after="0" w:line="240" w:lineRule="auto"/>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Constant</w:t>
            </w:r>
          </w:p>
        </w:tc>
        <w:tc>
          <w:tcPr>
            <w:tcW w:w="1195"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2.253</w:t>
            </w:r>
          </w:p>
        </w:tc>
        <w:tc>
          <w:tcPr>
            <w:tcW w:w="1513"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0.313</w:t>
            </w:r>
          </w:p>
        </w:tc>
        <w:tc>
          <w:tcPr>
            <w:tcW w:w="1216"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7.207</w:t>
            </w:r>
          </w:p>
        </w:tc>
        <w:tc>
          <w:tcPr>
            <w:tcW w:w="1171"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0.000***</w:t>
            </w:r>
          </w:p>
        </w:tc>
      </w:tr>
      <w:tr w:rsidR="00231047" w:rsidRPr="00F32FDD" w:rsidTr="00F32FDD">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94309" w:rsidRPr="00F32FDD" w:rsidRDefault="00D22185" w:rsidP="00F12A6D">
            <w:pPr>
              <w:spacing w:after="0" w:line="240" w:lineRule="auto"/>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EX</w:t>
            </w:r>
          </w:p>
        </w:tc>
        <w:tc>
          <w:tcPr>
            <w:tcW w:w="1195"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-0.064</w:t>
            </w:r>
          </w:p>
        </w:tc>
        <w:tc>
          <w:tcPr>
            <w:tcW w:w="1513"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0.066</w:t>
            </w:r>
          </w:p>
        </w:tc>
        <w:tc>
          <w:tcPr>
            <w:tcW w:w="1216"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-0.073</w:t>
            </w:r>
          </w:p>
        </w:tc>
        <w:tc>
          <w:tcPr>
            <w:tcW w:w="1198"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-0.967</w:t>
            </w:r>
          </w:p>
        </w:tc>
        <w:tc>
          <w:tcPr>
            <w:tcW w:w="1171"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0.335</w:t>
            </w:r>
          </w:p>
        </w:tc>
      </w:tr>
      <w:tr w:rsidR="00231047" w:rsidRPr="00F32FDD" w:rsidTr="00F32FDD">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94309" w:rsidRPr="00F32FDD" w:rsidRDefault="00D22185" w:rsidP="00F12A6D">
            <w:pPr>
              <w:spacing w:after="0" w:line="240" w:lineRule="auto"/>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CW</w:t>
            </w:r>
          </w:p>
        </w:tc>
        <w:tc>
          <w:tcPr>
            <w:tcW w:w="1195"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0.03</w:t>
            </w:r>
          </w:p>
        </w:tc>
        <w:tc>
          <w:tcPr>
            <w:tcW w:w="1513"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0.04</w:t>
            </w:r>
          </w:p>
        </w:tc>
        <w:tc>
          <w:tcPr>
            <w:tcW w:w="1216"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0.053</w:t>
            </w:r>
          </w:p>
        </w:tc>
        <w:tc>
          <w:tcPr>
            <w:tcW w:w="1198"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0.766</w:t>
            </w:r>
          </w:p>
        </w:tc>
        <w:tc>
          <w:tcPr>
            <w:tcW w:w="1171"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0.445</w:t>
            </w:r>
          </w:p>
        </w:tc>
      </w:tr>
      <w:tr w:rsidR="00231047" w:rsidRPr="00F32FDD" w:rsidTr="00F32FDD">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94309" w:rsidRPr="00F32FDD" w:rsidRDefault="00D22185" w:rsidP="00F12A6D">
            <w:pPr>
              <w:spacing w:after="0" w:line="240" w:lineRule="auto"/>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HC</w:t>
            </w:r>
          </w:p>
        </w:tc>
        <w:tc>
          <w:tcPr>
            <w:tcW w:w="1195"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0.566</w:t>
            </w:r>
          </w:p>
        </w:tc>
        <w:tc>
          <w:tcPr>
            <w:tcW w:w="1513"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0.092</w:t>
            </w:r>
          </w:p>
        </w:tc>
        <w:tc>
          <w:tcPr>
            <w:tcW w:w="1216"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0.464</w:t>
            </w:r>
          </w:p>
        </w:tc>
        <w:tc>
          <w:tcPr>
            <w:tcW w:w="1198"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jc w:val="right"/>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6.178</w:t>
            </w:r>
          </w:p>
        </w:tc>
        <w:tc>
          <w:tcPr>
            <w:tcW w:w="1171"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rPr>
                <w:rFonts w:ascii="Times New Roman" w:eastAsia="Times New Roman" w:hAnsi="Times New Roman" w:cs="Times New Roman"/>
                <w:color w:val="000000" w:themeColor="text1"/>
                <w:szCs w:val="20"/>
              </w:rPr>
            </w:pPr>
            <w:r w:rsidRPr="00F32FDD">
              <w:rPr>
                <w:rFonts w:ascii="Times New Roman" w:eastAsia="Times New Roman" w:hAnsi="Times New Roman" w:cs="Times New Roman"/>
                <w:color w:val="000000" w:themeColor="text1"/>
                <w:szCs w:val="20"/>
              </w:rPr>
              <w:t>0.000***</w:t>
            </w:r>
          </w:p>
        </w:tc>
      </w:tr>
      <w:tr w:rsidR="00231047" w:rsidRPr="00F32FDD" w:rsidTr="00F32FDD">
        <w:trPr>
          <w:trHeight w:val="300"/>
          <w:jc w:val="center"/>
        </w:trPr>
        <w:tc>
          <w:tcPr>
            <w:tcW w:w="1720" w:type="dxa"/>
            <w:tcBorders>
              <w:top w:val="nil"/>
              <w:left w:val="single" w:sz="4" w:space="0" w:color="auto"/>
              <w:bottom w:val="nil"/>
              <w:right w:val="nil"/>
            </w:tcBorders>
            <w:shd w:val="clear" w:color="auto" w:fill="auto"/>
            <w:noWrap/>
            <w:vAlign w:val="bottom"/>
            <w:hideMark/>
          </w:tcPr>
          <w:p w:rsidR="00294309" w:rsidRPr="00F32FDD" w:rsidRDefault="00294309" w:rsidP="00F12A6D">
            <w:pPr>
              <w:spacing w:after="0" w:line="240" w:lineRule="auto"/>
              <w:rPr>
                <w:rFonts w:ascii="Calibri" w:eastAsia="Times New Roman" w:hAnsi="Calibri" w:cs="Times New Roman"/>
                <w:color w:val="000000" w:themeColor="text1"/>
                <w:szCs w:val="20"/>
              </w:rPr>
            </w:pPr>
            <w:r w:rsidRPr="00F32FDD">
              <w:rPr>
                <w:rFonts w:ascii="Calibri" w:eastAsia="Times New Roman" w:hAnsi="Calibri" w:cs="Times New Roman"/>
                <w:color w:val="000000" w:themeColor="text1"/>
                <w:szCs w:val="20"/>
              </w:rPr>
              <w:t>R=0,448</w:t>
            </w:r>
          </w:p>
        </w:tc>
        <w:tc>
          <w:tcPr>
            <w:tcW w:w="1195" w:type="dxa"/>
            <w:tcBorders>
              <w:top w:val="nil"/>
              <w:left w:val="nil"/>
              <w:bottom w:val="nil"/>
              <w:right w:val="nil"/>
            </w:tcBorders>
            <w:shd w:val="clear" w:color="auto" w:fill="auto"/>
            <w:noWrap/>
            <w:vAlign w:val="bottom"/>
            <w:hideMark/>
          </w:tcPr>
          <w:p w:rsidR="00294309" w:rsidRPr="00F32FDD" w:rsidRDefault="00294309" w:rsidP="00F12A6D">
            <w:pPr>
              <w:spacing w:after="0" w:line="240" w:lineRule="auto"/>
              <w:rPr>
                <w:rFonts w:ascii="Calibri" w:eastAsia="Times New Roman" w:hAnsi="Calibri" w:cs="Times New Roman"/>
                <w:color w:val="000000" w:themeColor="text1"/>
                <w:szCs w:val="20"/>
              </w:rPr>
            </w:pPr>
            <w:r w:rsidRPr="00F32FDD">
              <w:rPr>
                <w:rFonts w:ascii="Calibri" w:eastAsia="Times New Roman" w:hAnsi="Calibri" w:cs="Times New Roman"/>
                <w:color w:val="000000" w:themeColor="text1"/>
                <w:szCs w:val="20"/>
              </w:rPr>
              <w:t>R</w:t>
            </w:r>
            <w:r w:rsidRPr="00F32FDD">
              <w:rPr>
                <w:rFonts w:ascii="Times New Roman" w:eastAsia="Times New Roman" w:hAnsi="Times New Roman" w:cs="Times New Roman"/>
                <w:color w:val="000000" w:themeColor="text1"/>
                <w:szCs w:val="20"/>
                <w:vertAlign w:val="superscript"/>
              </w:rPr>
              <w:t>2</w:t>
            </w:r>
            <w:r w:rsidRPr="00F32FDD">
              <w:rPr>
                <w:rFonts w:ascii="Times New Roman" w:eastAsia="Times New Roman" w:hAnsi="Times New Roman" w:cs="Times New Roman"/>
                <w:color w:val="000000" w:themeColor="text1"/>
                <w:szCs w:val="20"/>
              </w:rPr>
              <w:t>=0,21</w:t>
            </w:r>
          </w:p>
        </w:tc>
        <w:tc>
          <w:tcPr>
            <w:tcW w:w="1513" w:type="dxa"/>
            <w:tcBorders>
              <w:top w:val="nil"/>
              <w:left w:val="nil"/>
              <w:bottom w:val="nil"/>
              <w:right w:val="nil"/>
            </w:tcBorders>
            <w:shd w:val="clear" w:color="auto" w:fill="auto"/>
            <w:noWrap/>
            <w:vAlign w:val="bottom"/>
            <w:hideMark/>
          </w:tcPr>
          <w:p w:rsidR="00294309" w:rsidRPr="00F32FDD" w:rsidRDefault="00294309" w:rsidP="00F12A6D">
            <w:pPr>
              <w:spacing w:after="0" w:line="240" w:lineRule="auto"/>
              <w:rPr>
                <w:rFonts w:ascii="Times New Roman" w:eastAsia="Times New Roman" w:hAnsi="Times New Roman" w:cs="Times New Roman"/>
                <w:color w:val="000000" w:themeColor="text1"/>
              </w:rPr>
            </w:pPr>
            <w:r w:rsidRPr="00F32FDD">
              <w:rPr>
                <w:rFonts w:ascii="Times New Roman" w:eastAsia="Times New Roman" w:hAnsi="Times New Roman" w:cs="Times New Roman"/>
                <w:color w:val="000000" w:themeColor="text1"/>
              </w:rPr>
              <w:t> </w:t>
            </w:r>
          </w:p>
        </w:tc>
        <w:tc>
          <w:tcPr>
            <w:tcW w:w="1216" w:type="dxa"/>
            <w:tcBorders>
              <w:top w:val="nil"/>
              <w:left w:val="nil"/>
              <w:bottom w:val="nil"/>
              <w:right w:val="nil"/>
            </w:tcBorders>
            <w:shd w:val="clear" w:color="auto" w:fill="auto"/>
            <w:noWrap/>
            <w:vAlign w:val="bottom"/>
            <w:hideMark/>
          </w:tcPr>
          <w:p w:rsidR="00294309" w:rsidRPr="00F32FDD" w:rsidRDefault="00294309" w:rsidP="00F12A6D">
            <w:pPr>
              <w:spacing w:after="0" w:line="240" w:lineRule="auto"/>
              <w:rPr>
                <w:rFonts w:ascii="Times New Roman" w:eastAsia="Times New Roman" w:hAnsi="Times New Roman" w:cs="Times New Roman"/>
                <w:color w:val="000000" w:themeColor="text1"/>
                <w:szCs w:val="16"/>
              </w:rPr>
            </w:pPr>
            <w:r w:rsidRPr="00F32FDD">
              <w:rPr>
                <w:rFonts w:ascii="Times New Roman" w:eastAsia="Times New Roman" w:hAnsi="Times New Roman" w:cs="Times New Roman"/>
                <w:color w:val="000000" w:themeColor="text1"/>
                <w:szCs w:val="16"/>
              </w:rPr>
              <w:t> </w:t>
            </w:r>
          </w:p>
        </w:tc>
        <w:tc>
          <w:tcPr>
            <w:tcW w:w="1198" w:type="dxa"/>
            <w:tcBorders>
              <w:top w:val="nil"/>
              <w:left w:val="nil"/>
              <w:bottom w:val="nil"/>
              <w:right w:val="nil"/>
            </w:tcBorders>
            <w:shd w:val="clear" w:color="auto" w:fill="auto"/>
            <w:noWrap/>
            <w:vAlign w:val="bottom"/>
            <w:hideMark/>
          </w:tcPr>
          <w:p w:rsidR="00294309" w:rsidRPr="00F32FDD" w:rsidRDefault="00294309" w:rsidP="00F12A6D">
            <w:pPr>
              <w:spacing w:after="0" w:line="240" w:lineRule="auto"/>
              <w:rPr>
                <w:rFonts w:ascii="Times New Roman" w:eastAsia="Times New Roman" w:hAnsi="Times New Roman" w:cs="Times New Roman"/>
                <w:color w:val="000000" w:themeColor="text1"/>
                <w:szCs w:val="16"/>
              </w:rPr>
            </w:pPr>
            <w:r w:rsidRPr="00F32FDD">
              <w:rPr>
                <w:rFonts w:ascii="Times New Roman" w:eastAsia="Times New Roman" w:hAnsi="Times New Roman" w:cs="Times New Roman"/>
                <w:color w:val="000000" w:themeColor="text1"/>
                <w:szCs w:val="16"/>
              </w:rPr>
              <w:t> </w:t>
            </w:r>
          </w:p>
        </w:tc>
        <w:tc>
          <w:tcPr>
            <w:tcW w:w="1171" w:type="dxa"/>
            <w:tcBorders>
              <w:top w:val="nil"/>
              <w:left w:val="nil"/>
              <w:bottom w:val="nil"/>
              <w:right w:val="single" w:sz="4" w:space="0" w:color="auto"/>
            </w:tcBorders>
            <w:shd w:val="clear" w:color="auto" w:fill="auto"/>
            <w:noWrap/>
            <w:vAlign w:val="bottom"/>
            <w:hideMark/>
          </w:tcPr>
          <w:p w:rsidR="00294309" w:rsidRPr="00F32FDD" w:rsidRDefault="00294309" w:rsidP="00F12A6D">
            <w:pPr>
              <w:spacing w:after="0" w:line="240" w:lineRule="auto"/>
              <w:rPr>
                <w:rFonts w:ascii="Times New Roman" w:eastAsia="Times New Roman" w:hAnsi="Times New Roman" w:cs="Times New Roman"/>
                <w:color w:val="000000" w:themeColor="text1"/>
                <w:szCs w:val="16"/>
              </w:rPr>
            </w:pPr>
            <w:r w:rsidRPr="00F32FDD">
              <w:rPr>
                <w:rFonts w:ascii="Times New Roman" w:eastAsia="Times New Roman" w:hAnsi="Times New Roman" w:cs="Times New Roman"/>
                <w:color w:val="000000" w:themeColor="text1"/>
                <w:szCs w:val="16"/>
              </w:rPr>
              <w:t> </w:t>
            </w:r>
          </w:p>
        </w:tc>
      </w:tr>
      <w:tr w:rsidR="00231047" w:rsidRPr="00F32FDD" w:rsidTr="00F32FDD">
        <w:trPr>
          <w:trHeight w:val="300"/>
          <w:jc w:val="center"/>
        </w:trPr>
        <w:tc>
          <w:tcPr>
            <w:tcW w:w="1720" w:type="dxa"/>
            <w:tcBorders>
              <w:top w:val="nil"/>
              <w:left w:val="single" w:sz="4" w:space="0" w:color="auto"/>
              <w:bottom w:val="single" w:sz="4" w:space="0" w:color="auto"/>
              <w:right w:val="nil"/>
            </w:tcBorders>
            <w:shd w:val="clear" w:color="auto" w:fill="auto"/>
            <w:noWrap/>
            <w:vAlign w:val="bottom"/>
            <w:hideMark/>
          </w:tcPr>
          <w:p w:rsidR="00294309" w:rsidRPr="00F32FDD" w:rsidRDefault="00294309" w:rsidP="00F12A6D">
            <w:pPr>
              <w:spacing w:after="0" w:line="240" w:lineRule="auto"/>
              <w:rPr>
                <w:rFonts w:ascii="Calibri" w:eastAsia="Times New Roman" w:hAnsi="Calibri" w:cs="Times New Roman"/>
                <w:color w:val="000000" w:themeColor="text1"/>
                <w:szCs w:val="20"/>
              </w:rPr>
            </w:pPr>
            <w:r w:rsidRPr="00F32FDD">
              <w:rPr>
                <w:rFonts w:ascii="Calibri" w:eastAsia="Times New Roman" w:hAnsi="Calibri" w:cs="Times New Roman"/>
                <w:color w:val="000000" w:themeColor="text1"/>
                <w:szCs w:val="20"/>
              </w:rPr>
              <w:t>F</w:t>
            </w:r>
            <w:r w:rsidRPr="00F32FDD">
              <w:rPr>
                <w:rFonts w:ascii="Times New Roman" w:eastAsia="Times New Roman" w:hAnsi="Times New Roman" w:cs="Times New Roman"/>
                <w:color w:val="000000" w:themeColor="text1"/>
                <w:szCs w:val="20"/>
                <w:vertAlign w:val="subscript"/>
              </w:rPr>
              <w:t>(3,168)</w:t>
            </w:r>
            <w:r w:rsidRPr="00F32FDD">
              <w:rPr>
                <w:rFonts w:ascii="Times New Roman" w:eastAsia="Times New Roman" w:hAnsi="Times New Roman" w:cs="Times New Roman"/>
                <w:color w:val="000000" w:themeColor="text1"/>
                <w:szCs w:val="20"/>
              </w:rPr>
              <w:t xml:space="preserve"> =14.054</w:t>
            </w:r>
          </w:p>
        </w:tc>
        <w:tc>
          <w:tcPr>
            <w:tcW w:w="1195" w:type="dxa"/>
            <w:tcBorders>
              <w:top w:val="nil"/>
              <w:left w:val="nil"/>
              <w:bottom w:val="single" w:sz="4" w:space="0" w:color="auto"/>
              <w:right w:val="nil"/>
            </w:tcBorders>
            <w:shd w:val="clear" w:color="auto" w:fill="auto"/>
            <w:noWrap/>
            <w:vAlign w:val="bottom"/>
            <w:hideMark/>
          </w:tcPr>
          <w:p w:rsidR="00294309" w:rsidRPr="00F32FDD" w:rsidRDefault="00294309" w:rsidP="00F12A6D">
            <w:pPr>
              <w:spacing w:after="0" w:line="240" w:lineRule="auto"/>
              <w:rPr>
                <w:rFonts w:ascii="Calibri" w:eastAsia="Times New Roman" w:hAnsi="Calibri" w:cs="Times New Roman"/>
                <w:color w:val="000000" w:themeColor="text1"/>
                <w:szCs w:val="20"/>
              </w:rPr>
            </w:pPr>
            <w:r w:rsidRPr="00F32FDD">
              <w:rPr>
                <w:rFonts w:ascii="Calibri" w:eastAsia="Times New Roman" w:hAnsi="Calibri" w:cs="Times New Roman"/>
                <w:color w:val="000000" w:themeColor="text1"/>
                <w:szCs w:val="20"/>
              </w:rPr>
              <w:t>p=0,000***</w:t>
            </w:r>
          </w:p>
        </w:tc>
        <w:tc>
          <w:tcPr>
            <w:tcW w:w="1513" w:type="dxa"/>
            <w:tcBorders>
              <w:top w:val="nil"/>
              <w:left w:val="nil"/>
              <w:bottom w:val="single" w:sz="4" w:space="0" w:color="auto"/>
              <w:right w:val="nil"/>
            </w:tcBorders>
            <w:shd w:val="clear" w:color="auto" w:fill="auto"/>
            <w:noWrap/>
            <w:vAlign w:val="bottom"/>
            <w:hideMark/>
          </w:tcPr>
          <w:p w:rsidR="00294309" w:rsidRPr="00F32FDD" w:rsidRDefault="00294309" w:rsidP="00F12A6D">
            <w:pPr>
              <w:spacing w:after="0" w:line="240" w:lineRule="auto"/>
              <w:rPr>
                <w:rFonts w:ascii="Times New Roman" w:eastAsia="Times New Roman" w:hAnsi="Times New Roman" w:cs="Times New Roman"/>
                <w:color w:val="000000" w:themeColor="text1"/>
              </w:rPr>
            </w:pPr>
            <w:r w:rsidRPr="00F32FDD">
              <w:rPr>
                <w:rFonts w:ascii="Times New Roman" w:eastAsia="Times New Roman" w:hAnsi="Times New Roman" w:cs="Times New Roman"/>
                <w:color w:val="000000" w:themeColor="text1"/>
              </w:rPr>
              <w:t> </w:t>
            </w:r>
          </w:p>
        </w:tc>
        <w:tc>
          <w:tcPr>
            <w:tcW w:w="1216" w:type="dxa"/>
            <w:tcBorders>
              <w:top w:val="nil"/>
              <w:left w:val="nil"/>
              <w:bottom w:val="single" w:sz="4" w:space="0" w:color="auto"/>
              <w:right w:val="nil"/>
            </w:tcBorders>
            <w:shd w:val="clear" w:color="auto" w:fill="auto"/>
            <w:noWrap/>
            <w:vAlign w:val="bottom"/>
            <w:hideMark/>
          </w:tcPr>
          <w:p w:rsidR="00294309" w:rsidRPr="00F32FDD" w:rsidRDefault="00294309" w:rsidP="00F12A6D">
            <w:pPr>
              <w:spacing w:after="0" w:line="240" w:lineRule="auto"/>
              <w:rPr>
                <w:rFonts w:ascii="Times New Roman" w:eastAsia="Times New Roman" w:hAnsi="Times New Roman" w:cs="Times New Roman"/>
                <w:color w:val="000000" w:themeColor="text1"/>
                <w:szCs w:val="16"/>
              </w:rPr>
            </w:pPr>
            <w:r w:rsidRPr="00F32FDD">
              <w:rPr>
                <w:rFonts w:ascii="Times New Roman" w:eastAsia="Times New Roman" w:hAnsi="Times New Roman" w:cs="Times New Roman"/>
                <w:color w:val="000000" w:themeColor="text1"/>
                <w:szCs w:val="16"/>
              </w:rPr>
              <w:t> </w:t>
            </w:r>
          </w:p>
        </w:tc>
        <w:tc>
          <w:tcPr>
            <w:tcW w:w="1198" w:type="dxa"/>
            <w:tcBorders>
              <w:top w:val="nil"/>
              <w:left w:val="nil"/>
              <w:bottom w:val="single" w:sz="4" w:space="0" w:color="auto"/>
              <w:right w:val="nil"/>
            </w:tcBorders>
            <w:shd w:val="clear" w:color="auto" w:fill="auto"/>
            <w:noWrap/>
            <w:vAlign w:val="bottom"/>
            <w:hideMark/>
          </w:tcPr>
          <w:p w:rsidR="00294309" w:rsidRPr="00F32FDD" w:rsidRDefault="00294309" w:rsidP="00F12A6D">
            <w:pPr>
              <w:spacing w:after="0" w:line="240" w:lineRule="auto"/>
              <w:rPr>
                <w:rFonts w:ascii="Times New Roman" w:eastAsia="Times New Roman" w:hAnsi="Times New Roman" w:cs="Times New Roman"/>
                <w:color w:val="000000" w:themeColor="text1"/>
                <w:szCs w:val="16"/>
              </w:rPr>
            </w:pPr>
            <w:r w:rsidRPr="00F32FDD">
              <w:rPr>
                <w:rFonts w:ascii="Times New Roman" w:eastAsia="Times New Roman" w:hAnsi="Times New Roman" w:cs="Times New Roman"/>
                <w:color w:val="000000" w:themeColor="text1"/>
                <w:szCs w:val="16"/>
              </w:rPr>
              <w:t> </w:t>
            </w:r>
          </w:p>
        </w:tc>
        <w:tc>
          <w:tcPr>
            <w:tcW w:w="1171" w:type="dxa"/>
            <w:tcBorders>
              <w:top w:val="nil"/>
              <w:left w:val="nil"/>
              <w:bottom w:val="single" w:sz="4" w:space="0" w:color="auto"/>
              <w:right w:val="single" w:sz="4" w:space="0" w:color="auto"/>
            </w:tcBorders>
            <w:shd w:val="clear" w:color="auto" w:fill="auto"/>
            <w:noWrap/>
            <w:vAlign w:val="bottom"/>
            <w:hideMark/>
          </w:tcPr>
          <w:p w:rsidR="00294309" w:rsidRPr="00F32FDD" w:rsidRDefault="00294309" w:rsidP="00F12A6D">
            <w:pPr>
              <w:spacing w:after="0" w:line="240" w:lineRule="auto"/>
              <w:rPr>
                <w:rFonts w:ascii="Times New Roman" w:eastAsia="Times New Roman" w:hAnsi="Times New Roman" w:cs="Times New Roman"/>
                <w:color w:val="000000" w:themeColor="text1"/>
                <w:szCs w:val="16"/>
              </w:rPr>
            </w:pPr>
            <w:r w:rsidRPr="00F32FDD">
              <w:rPr>
                <w:rFonts w:ascii="Times New Roman" w:eastAsia="Times New Roman" w:hAnsi="Times New Roman" w:cs="Times New Roman"/>
                <w:color w:val="000000" w:themeColor="text1"/>
                <w:szCs w:val="16"/>
              </w:rPr>
              <w:t> </w:t>
            </w:r>
          </w:p>
        </w:tc>
      </w:tr>
    </w:tbl>
    <w:p w:rsidR="001A3C47" w:rsidRPr="0063598B" w:rsidRDefault="00577D5E" w:rsidP="00F32FDD">
      <w:pPr>
        <w:spacing w:before="240" w:after="0"/>
        <w:jc w:val="both"/>
        <w:rPr>
          <w:rFonts w:ascii="Times New Roman" w:eastAsia="Times New Roman" w:hAnsi="Times New Roman" w:cs="Times New Roman"/>
          <w:color w:val="000000" w:themeColor="text1"/>
          <w:sz w:val="24"/>
          <w:szCs w:val="24"/>
        </w:rPr>
      </w:pPr>
      <w:r w:rsidRPr="00577D5E">
        <w:rPr>
          <w:rFonts w:ascii="Times New Roman" w:eastAsia="Times New Roman" w:hAnsi="Times New Roman" w:cs="Times New Roman"/>
          <w:color w:val="000000" w:themeColor="text1"/>
          <w:sz w:val="24"/>
          <w:szCs w:val="24"/>
        </w:rPr>
        <w:t xml:space="preserve">Such a </w:t>
      </w:r>
      <w:r>
        <w:rPr>
          <w:rFonts w:ascii="Times New Roman" w:eastAsia="Times New Roman" w:hAnsi="Times New Roman" w:cs="Times New Roman"/>
          <w:color w:val="000000" w:themeColor="text1"/>
          <w:sz w:val="24"/>
          <w:szCs w:val="24"/>
        </w:rPr>
        <w:t>model</w:t>
      </w:r>
      <w:r w:rsidRPr="00577D5E">
        <w:rPr>
          <w:rFonts w:ascii="Times New Roman" w:eastAsia="Times New Roman" w:hAnsi="Times New Roman" w:cs="Times New Roman"/>
          <w:color w:val="000000" w:themeColor="text1"/>
          <w:sz w:val="24"/>
          <w:szCs w:val="24"/>
        </w:rPr>
        <w:t xml:space="preserve"> can be esta</w:t>
      </w:r>
      <w:r>
        <w:rPr>
          <w:rFonts w:ascii="Times New Roman" w:eastAsia="Times New Roman" w:hAnsi="Times New Roman" w:cs="Times New Roman"/>
          <w:color w:val="000000" w:themeColor="text1"/>
          <w:sz w:val="24"/>
          <w:szCs w:val="24"/>
        </w:rPr>
        <w:t>blished with the available data</w:t>
      </w:r>
      <w:r w:rsidR="0075685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and t</w:t>
      </w:r>
      <w:r w:rsidRPr="00577D5E">
        <w:rPr>
          <w:rFonts w:ascii="Times New Roman" w:eastAsia="Times New Roman" w:hAnsi="Times New Roman" w:cs="Times New Roman"/>
          <w:color w:val="000000" w:themeColor="text1"/>
          <w:sz w:val="24"/>
          <w:szCs w:val="24"/>
        </w:rPr>
        <w:t xml:space="preserve">he results of the analysis of the given factors with the independent variables on the MBA recommendation are also </w:t>
      </w:r>
      <w:r>
        <w:rPr>
          <w:rFonts w:ascii="Times New Roman" w:eastAsia="Times New Roman" w:hAnsi="Times New Roman" w:cs="Times New Roman"/>
          <w:color w:val="000000" w:themeColor="text1"/>
          <w:sz w:val="24"/>
          <w:szCs w:val="24"/>
        </w:rPr>
        <w:t>significant</w:t>
      </w:r>
      <w:r w:rsidRPr="00577D5E">
        <w:rPr>
          <w:rFonts w:ascii="Times New Roman" w:eastAsia="Times New Roman" w:hAnsi="Times New Roman" w:cs="Times New Roman"/>
          <w:color w:val="000000" w:themeColor="text1"/>
          <w:sz w:val="24"/>
          <w:szCs w:val="24"/>
        </w:rPr>
        <w:t>.</w:t>
      </w:r>
      <w:r w:rsidR="00430D65">
        <w:rPr>
          <w:rFonts w:ascii="Times New Roman" w:eastAsia="Times New Roman" w:hAnsi="Times New Roman" w:cs="Times New Roman"/>
          <w:color w:val="000000" w:themeColor="text1"/>
          <w:sz w:val="24"/>
          <w:szCs w:val="24"/>
        </w:rPr>
        <w:t xml:space="preserve"> It e</w:t>
      </w:r>
      <w:r w:rsidR="00430D65" w:rsidRPr="00430D65">
        <w:rPr>
          <w:rFonts w:ascii="Times New Roman" w:eastAsia="Times New Roman" w:hAnsi="Times New Roman" w:cs="Times New Roman"/>
          <w:color w:val="000000" w:themeColor="text1"/>
          <w:sz w:val="24"/>
          <w:szCs w:val="24"/>
        </w:rPr>
        <w:t xml:space="preserve">xplains 21% of the total variance in MBA effects with </w:t>
      </w:r>
      <w:r w:rsidR="00430D65">
        <w:rPr>
          <w:rFonts w:ascii="Times New Roman" w:eastAsia="Times New Roman" w:hAnsi="Times New Roman" w:cs="Times New Roman"/>
          <w:color w:val="000000" w:themeColor="text1"/>
          <w:sz w:val="24"/>
          <w:szCs w:val="24"/>
        </w:rPr>
        <w:t xml:space="preserve">the </w:t>
      </w:r>
      <w:r w:rsidR="00430D65" w:rsidRPr="00430D65">
        <w:rPr>
          <w:rFonts w:ascii="Times New Roman" w:eastAsia="Times New Roman" w:hAnsi="Times New Roman" w:cs="Times New Roman"/>
          <w:color w:val="000000" w:themeColor="text1"/>
          <w:sz w:val="24"/>
          <w:szCs w:val="24"/>
        </w:rPr>
        <w:t xml:space="preserve">given </w:t>
      </w:r>
      <w:r w:rsidR="00430D65">
        <w:rPr>
          <w:rFonts w:ascii="Times New Roman" w:eastAsia="Times New Roman" w:hAnsi="Times New Roman" w:cs="Times New Roman"/>
          <w:color w:val="000000" w:themeColor="text1"/>
          <w:sz w:val="24"/>
          <w:szCs w:val="24"/>
        </w:rPr>
        <w:t>i</w:t>
      </w:r>
      <w:r w:rsidR="00430D65" w:rsidRPr="00430D65">
        <w:rPr>
          <w:rFonts w:ascii="Times New Roman" w:eastAsia="Times New Roman" w:hAnsi="Times New Roman" w:cs="Times New Roman"/>
          <w:color w:val="000000" w:themeColor="text1"/>
          <w:sz w:val="24"/>
          <w:szCs w:val="24"/>
        </w:rPr>
        <w:t>ndependent variables.</w:t>
      </w:r>
      <w:r w:rsidR="00430D65">
        <w:rPr>
          <w:rFonts w:ascii="Times New Roman" w:eastAsia="Times New Roman" w:hAnsi="Times New Roman" w:cs="Times New Roman"/>
          <w:color w:val="000000" w:themeColor="text1"/>
          <w:sz w:val="24"/>
          <w:szCs w:val="24"/>
        </w:rPr>
        <w:t xml:space="preserve"> </w:t>
      </w:r>
      <w:r w:rsidR="00430D65" w:rsidRPr="00430D65">
        <w:rPr>
          <w:rFonts w:ascii="Times New Roman" w:eastAsia="Times New Roman" w:hAnsi="Times New Roman" w:cs="Times New Roman"/>
          <w:color w:val="000000" w:themeColor="text1"/>
          <w:sz w:val="24"/>
          <w:szCs w:val="24"/>
        </w:rPr>
        <w:t>In fact, this disclosure rate includes important predictors.</w:t>
      </w:r>
      <w:r w:rsidR="00BA168A">
        <w:rPr>
          <w:rFonts w:ascii="Times New Roman" w:eastAsia="Times New Roman" w:hAnsi="Times New Roman" w:cs="Times New Roman"/>
          <w:color w:val="000000" w:themeColor="text1"/>
          <w:sz w:val="24"/>
          <w:szCs w:val="24"/>
        </w:rPr>
        <w:t xml:space="preserve"> </w:t>
      </w:r>
      <w:r w:rsidR="00BA168A" w:rsidRPr="00BA168A">
        <w:rPr>
          <w:rFonts w:ascii="Times New Roman" w:hAnsi="Times New Roman" w:cs="Times New Roman"/>
          <w:color w:val="000000" w:themeColor="text1"/>
          <w:sz w:val="24"/>
          <w:szCs w:val="24"/>
          <w:shd w:val="clear" w:color="auto" w:fill="FFFFFF"/>
        </w:rPr>
        <w:t>The </w:t>
      </w:r>
      <w:r w:rsidR="00BA168A" w:rsidRPr="00BA168A">
        <w:rPr>
          <w:rStyle w:val="Vurgu"/>
          <w:rFonts w:ascii="Times New Roman" w:hAnsi="Times New Roman" w:cs="Times New Roman"/>
          <w:bCs/>
          <w:i w:val="0"/>
          <w:iCs w:val="0"/>
          <w:color w:val="000000" w:themeColor="text1"/>
          <w:sz w:val="24"/>
          <w:szCs w:val="24"/>
          <w:shd w:val="clear" w:color="auto" w:fill="FFFFFF"/>
        </w:rPr>
        <w:t>independent variables</w:t>
      </w:r>
      <w:r w:rsidR="00BA168A" w:rsidRPr="00BA168A">
        <w:rPr>
          <w:rFonts w:ascii="Times New Roman" w:hAnsi="Times New Roman" w:cs="Times New Roman"/>
          <w:color w:val="000000" w:themeColor="text1"/>
          <w:sz w:val="24"/>
          <w:szCs w:val="24"/>
          <w:shd w:val="clear" w:color="auto" w:fill="FFFFFF"/>
        </w:rPr>
        <w:t> in the model are able to explain 21 percent (</w:t>
      </w:r>
      <w:r w:rsidR="00BA168A" w:rsidRPr="00BA168A">
        <w:rPr>
          <w:rFonts w:ascii="Times New Roman" w:eastAsia="Times New Roman" w:hAnsi="Times New Roman" w:cs="Times New Roman"/>
          <w:color w:val="000000" w:themeColor="text1"/>
          <w:sz w:val="24"/>
          <w:szCs w:val="24"/>
        </w:rPr>
        <w:t>R</w:t>
      </w:r>
      <w:r w:rsidR="00BA168A" w:rsidRPr="00BA168A">
        <w:rPr>
          <w:rFonts w:ascii="Times New Roman" w:eastAsia="Times New Roman" w:hAnsi="Times New Roman" w:cs="Times New Roman"/>
          <w:color w:val="000000" w:themeColor="text1"/>
          <w:sz w:val="24"/>
          <w:szCs w:val="24"/>
          <w:vertAlign w:val="superscript"/>
        </w:rPr>
        <w:t>2</w:t>
      </w:r>
      <w:r w:rsidR="00BA168A" w:rsidRPr="00BA168A">
        <w:rPr>
          <w:rFonts w:ascii="Times New Roman" w:hAnsi="Times New Roman" w:cs="Times New Roman"/>
          <w:color w:val="000000" w:themeColor="text1"/>
          <w:sz w:val="24"/>
          <w:szCs w:val="24"/>
          <w:shd w:val="clear" w:color="auto" w:fill="FFFFFF"/>
        </w:rPr>
        <w:t xml:space="preserve"> = 0.21) of the total </w:t>
      </w:r>
      <w:r w:rsidR="00BA168A" w:rsidRPr="00BA168A">
        <w:rPr>
          <w:rStyle w:val="Vurgu"/>
          <w:rFonts w:ascii="Times New Roman" w:hAnsi="Times New Roman" w:cs="Times New Roman"/>
          <w:bCs/>
          <w:i w:val="0"/>
          <w:iCs w:val="0"/>
          <w:color w:val="000000" w:themeColor="text1"/>
          <w:sz w:val="24"/>
          <w:szCs w:val="24"/>
          <w:shd w:val="clear" w:color="auto" w:fill="FFFFFF"/>
        </w:rPr>
        <w:t>variance</w:t>
      </w:r>
      <w:r w:rsidR="00BA168A" w:rsidRPr="00BA168A">
        <w:rPr>
          <w:rFonts w:ascii="Times New Roman" w:hAnsi="Times New Roman" w:cs="Times New Roman"/>
          <w:color w:val="000000" w:themeColor="text1"/>
          <w:sz w:val="24"/>
          <w:szCs w:val="24"/>
          <w:shd w:val="clear" w:color="auto" w:fill="FFFFFF"/>
        </w:rPr>
        <w:t> in </w:t>
      </w:r>
      <w:r w:rsidR="00BA168A" w:rsidRPr="00BA168A">
        <w:rPr>
          <w:rStyle w:val="Vurgu"/>
          <w:rFonts w:ascii="Times New Roman" w:hAnsi="Times New Roman" w:cs="Times New Roman"/>
          <w:bCs/>
          <w:i w:val="0"/>
          <w:iCs w:val="0"/>
          <w:color w:val="000000" w:themeColor="text1"/>
          <w:sz w:val="24"/>
          <w:szCs w:val="24"/>
          <w:shd w:val="clear" w:color="auto" w:fill="FFFFFF"/>
        </w:rPr>
        <w:t>the dependent variable. That is, the factors mentioned in the MBA recommendation affect 21%.</w:t>
      </w:r>
      <w:r w:rsidR="001A3C47">
        <w:rPr>
          <w:rStyle w:val="Vurgu"/>
          <w:rFonts w:ascii="Times New Roman" w:hAnsi="Times New Roman" w:cs="Times New Roman"/>
          <w:bCs/>
          <w:i w:val="0"/>
          <w:iCs w:val="0"/>
          <w:color w:val="000000" w:themeColor="text1"/>
          <w:sz w:val="24"/>
          <w:szCs w:val="24"/>
          <w:shd w:val="clear" w:color="auto" w:fill="FFFFFF"/>
        </w:rPr>
        <w:t xml:space="preserve"> </w:t>
      </w:r>
      <w:r w:rsidR="00BA168A" w:rsidRPr="00BA168A">
        <w:rPr>
          <w:rFonts w:ascii="Times New Roman" w:eastAsia="Times New Roman" w:hAnsi="Times New Roman" w:cs="Times New Roman"/>
          <w:color w:val="000000" w:themeColor="text1"/>
          <w:sz w:val="24"/>
          <w:szCs w:val="24"/>
        </w:rPr>
        <w:t xml:space="preserve">Nevertheless, while the most effective and the only significant factor in the MBA recommendation is the </w:t>
      </w:r>
      <w:r w:rsidR="00BA168A">
        <w:rPr>
          <w:rFonts w:ascii="Times New Roman" w:eastAsia="Times New Roman" w:hAnsi="Times New Roman" w:cs="Times New Roman"/>
          <w:color w:val="000000" w:themeColor="text1"/>
          <w:sz w:val="24"/>
          <w:szCs w:val="24"/>
        </w:rPr>
        <w:t xml:space="preserve">factor of </w:t>
      </w:r>
      <w:r w:rsidR="00BA168A" w:rsidRPr="00BA168A">
        <w:rPr>
          <w:rFonts w:ascii="Times New Roman" w:eastAsia="Times New Roman" w:hAnsi="Times New Roman" w:cs="Times New Roman"/>
          <w:color w:val="000000" w:themeColor="text1"/>
          <w:sz w:val="24"/>
          <w:szCs w:val="24"/>
        </w:rPr>
        <w:t xml:space="preserve">contribution to human capital, no significant effects of the factor of </w:t>
      </w:r>
      <w:r w:rsidR="00BA168A">
        <w:rPr>
          <w:rFonts w:ascii="Times New Roman" w:eastAsia="Times New Roman" w:hAnsi="Times New Roman" w:cs="Times New Roman"/>
          <w:color w:val="000000" w:themeColor="text1"/>
          <w:sz w:val="24"/>
          <w:szCs w:val="24"/>
        </w:rPr>
        <w:t xml:space="preserve">workpalce </w:t>
      </w:r>
      <w:r w:rsidR="00BA168A" w:rsidRPr="00BA168A">
        <w:rPr>
          <w:rFonts w:ascii="Times New Roman" w:eastAsia="Times New Roman" w:hAnsi="Times New Roman" w:cs="Times New Roman"/>
          <w:color w:val="000000" w:themeColor="text1"/>
          <w:sz w:val="24"/>
          <w:szCs w:val="24"/>
        </w:rPr>
        <w:t xml:space="preserve">contribution and the </w:t>
      </w:r>
      <w:r w:rsidR="00BA168A">
        <w:rPr>
          <w:rFonts w:ascii="Times New Roman" w:eastAsia="Times New Roman" w:hAnsi="Times New Roman" w:cs="Times New Roman"/>
          <w:color w:val="000000" w:themeColor="text1"/>
          <w:sz w:val="24"/>
          <w:szCs w:val="24"/>
        </w:rPr>
        <w:t xml:space="preserve">factor of </w:t>
      </w:r>
      <w:r w:rsidR="00BA168A" w:rsidRPr="00BA168A">
        <w:rPr>
          <w:rFonts w:ascii="Times New Roman" w:eastAsia="Times New Roman" w:hAnsi="Times New Roman" w:cs="Times New Roman"/>
          <w:color w:val="000000" w:themeColor="text1"/>
          <w:sz w:val="24"/>
          <w:szCs w:val="24"/>
        </w:rPr>
        <w:t>expecta</w:t>
      </w:r>
      <w:r w:rsidR="00BA168A">
        <w:rPr>
          <w:rFonts w:ascii="Times New Roman" w:eastAsia="Times New Roman" w:hAnsi="Times New Roman" w:cs="Times New Roman"/>
          <w:color w:val="000000" w:themeColor="text1"/>
          <w:sz w:val="24"/>
          <w:szCs w:val="24"/>
        </w:rPr>
        <w:t>tion</w:t>
      </w:r>
      <w:r w:rsidR="00BA168A" w:rsidRPr="00BA168A">
        <w:rPr>
          <w:rFonts w:ascii="Times New Roman" w:eastAsia="Times New Roman" w:hAnsi="Times New Roman" w:cs="Times New Roman"/>
          <w:color w:val="000000" w:themeColor="text1"/>
          <w:sz w:val="24"/>
          <w:szCs w:val="24"/>
        </w:rPr>
        <w:t xml:space="preserve"> of contribution to human capital are seen.</w:t>
      </w:r>
      <w:r w:rsidR="001A3C47">
        <w:rPr>
          <w:rFonts w:ascii="Times New Roman" w:hAnsi="Times New Roman" w:cs="Times New Roman"/>
          <w:bCs/>
          <w:color w:val="000000" w:themeColor="text1"/>
          <w:sz w:val="24"/>
          <w:szCs w:val="24"/>
          <w:shd w:val="clear" w:color="auto" w:fill="FFFFFF"/>
        </w:rPr>
        <w:t xml:space="preserve"> </w:t>
      </w:r>
      <w:r w:rsidR="001A3C47" w:rsidRPr="001A3C47">
        <w:rPr>
          <w:rFonts w:ascii="Times New Roman" w:eastAsia="Times New Roman" w:hAnsi="Times New Roman" w:cs="Times New Roman"/>
          <w:color w:val="000000" w:themeColor="text1"/>
          <w:sz w:val="24"/>
          <w:szCs w:val="24"/>
        </w:rPr>
        <w:t xml:space="preserve">While a model can be established with independent variables determined on the </w:t>
      </w:r>
      <w:r w:rsidR="001A3C47">
        <w:rPr>
          <w:rFonts w:ascii="Times New Roman" w:eastAsia="Times New Roman" w:hAnsi="Times New Roman" w:cs="Times New Roman"/>
          <w:color w:val="000000" w:themeColor="text1"/>
          <w:sz w:val="24"/>
          <w:szCs w:val="24"/>
        </w:rPr>
        <w:t>incentive</w:t>
      </w:r>
      <w:r w:rsidR="0063598B">
        <w:rPr>
          <w:rFonts w:ascii="Times New Roman" w:eastAsia="Times New Roman" w:hAnsi="Times New Roman" w:cs="Times New Roman"/>
          <w:color w:val="000000" w:themeColor="text1"/>
          <w:sz w:val="24"/>
          <w:szCs w:val="24"/>
        </w:rPr>
        <w:t xml:space="preserve"> and recommendation of </w:t>
      </w:r>
      <w:r w:rsidR="001A3C47" w:rsidRPr="001A3C47">
        <w:rPr>
          <w:rFonts w:ascii="Times New Roman" w:eastAsia="Times New Roman" w:hAnsi="Times New Roman" w:cs="Times New Roman"/>
          <w:color w:val="000000" w:themeColor="text1"/>
          <w:sz w:val="24"/>
          <w:szCs w:val="24"/>
        </w:rPr>
        <w:t>MBA, only the contribution to human capital c</w:t>
      </w:r>
      <w:r w:rsidR="001A3C47">
        <w:rPr>
          <w:rFonts w:ascii="Times New Roman" w:eastAsia="Times New Roman" w:hAnsi="Times New Roman" w:cs="Times New Roman"/>
          <w:color w:val="000000" w:themeColor="text1"/>
          <w:sz w:val="24"/>
          <w:szCs w:val="24"/>
        </w:rPr>
        <w:t>an be a criterion for incentive</w:t>
      </w:r>
      <w:r w:rsidR="001A3C47" w:rsidRPr="001A3C47">
        <w:rPr>
          <w:rFonts w:ascii="Times New Roman" w:eastAsia="Times New Roman" w:hAnsi="Times New Roman" w:cs="Times New Roman"/>
          <w:color w:val="000000" w:themeColor="text1"/>
          <w:sz w:val="24"/>
          <w:szCs w:val="24"/>
        </w:rPr>
        <w:t xml:space="preserve"> and recommendation.</w:t>
      </w:r>
      <w:r w:rsidR="0063598B">
        <w:rPr>
          <w:rFonts w:ascii="Times New Roman" w:eastAsia="Times New Roman" w:hAnsi="Times New Roman" w:cs="Times New Roman"/>
          <w:color w:val="000000" w:themeColor="text1"/>
          <w:sz w:val="24"/>
          <w:szCs w:val="24"/>
        </w:rPr>
        <w:t xml:space="preserve"> </w:t>
      </w:r>
      <w:r w:rsidR="001A3C47">
        <w:rPr>
          <w:rFonts w:ascii="Times New Roman" w:eastAsia="Times New Roman" w:hAnsi="Times New Roman" w:cs="Times New Roman"/>
          <w:color w:val="000000" w:themeColor="text1"/>
          <w:sz w:val="24"/>
          <w:szCs w:val="24"/>
        </w:rPr>
        <w:t xml:space="preserve">Since, </w:t>
      </w:r>
      <w:r w:rsidR="001A3C47" w:rsidRPr="001A3C47">
        <w:rPr>
          <w:rFonts w:ascii="Times New Roman" w:eastAsia="Times New Roman" w:hAnsi="Times New Roman" w:cs="Times New Roman"/>
          <w:color w:val="000000" w:themeColor="text1"/>
          <w:sz w:val="24"/>
          <w:szCs w:val="24"/>
        </w:rPr>
        <w:t>β_3 = 0.464, p = 0.000 &lt;0.01</w:t>
      </w:r>
      <w:r w:rsidR="0063598B" w:rsidRPr="0063598B">
        <w:rPr>
          <w:rFonts w:ascii="Times New Roman" w:eastAsia="Times New Roman" w:hAnsi="Times New Roman" w:cs="Times New Roman"/>
          <w:color w:val="000000" w:themeColor="text1"/>
          <w:sz w:val="24"/>
          <w:szCs w:val="24"/>
        </w:rPr>
        <w:t xml:space="preserve"> </w:t>
      </w:r>
      <w:r w:rsidR="0063598B">
        <w:rPr>
          <w:rFonts w:ascii="Times New Roman" w:eastAsia="Times New Roman" w:hAnsi="Times New Roman" w:cs="Times New Roman"/>
          <w:color w:val="000000" w:themeColor="text1"/>
          <w:sz w:val="24"/>
          <w:szCs w:val="24"/>
        </w:rPr>
        <w:t>f</w:t>
      </w:r>
      <w:r w:rsidR="0063598B" w:rsidRPr="001A3C47">
        <w:rPr>
          <w:rFonts w:ascii="Times New Roman" w:eastAsia="Times New Roman" w:hAnsi="Times New Roman" w:cs="Times New Roman"/>
          <w:color w:val="000000" w:themeColor="text1"/>
          <w:sz w:val="24"/>
          <w:szCs w:val="24"/>
        </w:rPr>
        <w:t>or the contribution to human capital,</w:t>
      </w:r>
      <w:r w:rsidR="001A3C47" w:rsidRPr="001A3C47">
        <w:rPr>
          <w:rFonts w:ascii="Times New Roman" w:eastAsia="Times New Roman" w:hAnsi="Times New Roman" w:cs="Times New Roman"/>
          <w:color w:val="000000" w:themeColor="text1"/>
          <w:sz w:val="24"/>
          <w:szCs w:val="24"/>
        </w:rPr>
        <w:t xml:space="preserve"> the contribution to human capital </w:t>
      </w:r>
      <w:r w:rsidR="0063598B">
        <w:rPr>
          <w:rFonts w:ascii="Times New Roman" w:eastAsia="Times New Roman" w:hAnsi="Times New Roman" w:cs="Times New Roman"/>
          <w:color w:val="000000" w:themeColor="text1"/>
          <w:sz w:val="24"/>
          <w:szCs w:val="24"/>
        </w:rPr>
        <w:t xml:space="preserve">and the </w:t>
      </w:r>
      <w:r w:rsidR="001A3C47" w:rsidRPr="001A3C47">
        <w:rPr>
          <w:rFonts w:ascii="Times New Roman" w:eastAsia="Times New Roman" w:hAnsi="Times New Roman" w:cs="Times New Roman"/>
          <w:color w:val="000000" w:themeColor="text1"/>
          <w:sz w:val="24"/>
          <w:szCs w:val="24"/>
        </w:rPr>
        <w:t xml:space="preserve">incentive and </w:t>
      </w:r>
      <w:r w:rsidR="0063598B" w:rsidRPr="001A3C47">
        <w:rPr>
          <w:rFonts w:ascii="Times New Roman" w:eastAsia="Times New Roman" w:hAnsi="Times New Roman" w:cs="Times New Roman"/>
          <w:color w:val="000000" w:themeColor="text1"/>
          <w:sz w:val="24"/>
          <w:szCs w:val="24"/>
        </w:rPr>
        <w:t>recommendation</w:t>
      </w:r>
      <w:r w:rsidR="0063598B">
        <w:rPr>
          <w:rFonts w:ascii="Times New Roman" w:eastAsia="Times New Roman" w:hAnsi="Times New Roman" w:cs="Times New Roman"/>
          <w:color w:val="000000" w:themeColor="text1"/>
          <w:sz w:val="24"/>
          <w:szCs w:val="24"/>
        </w:rPr>
        <w:t xml:space="preserve"> to </w:t>
      </w:r>
      <w:r w:rsidR="00497B7C">
        <w:rPr>
          <w:rFonts w:ascii="Times New Roman" w:eastAsia="Times New Roman" w:hAnsi="Times New Roman" w:cs="Times New Roman"/>
          <w:color w:val="000000" w:themeColor="text1"/>
          <w:sz w:val="24"/>
          <w:szCs w:val="24"/>
        </w:rPr>
        <w:t xml:space="preserve">the </w:t>
      </w:r>
      <w:r w:rsidR="001A3C47" w:rsidRPr="001A3C47">
        <w:rPr>
          <w:rFonts w:ascii="Times New Roman" w:eastAsia="Times New Roman" w:hAnsi="Times New Roman" w:cs="Times New Roman"/>
          <w:color w:val="000000" w:themeColor="text1"/>
          <w:sz w:val="24"/>
          <w:szCs w:val="24"/>
        </w:rPr>
        <w:t>MBA</w:t>
      </w:r>
      <w:r w:rsidR="0063598B">
        <w:rPr>
          <w:rFonts w:ascii="Times New Roman" w:eastAsia="Times New Roman" w:hAnsi="Times New Roman" w:cs="Times New Roman"/>
          <w:color w:val="000000" w:themeColor="text1"/>
          <w:sz w:val="24"/>
          <w:szCs w:val="24"/>
        </w:rPr>
        <w:t xml:space="preserve"> </w:t>
      </w:r>
      <w:r w:rsidR="00497B7C">
        <w:rPr>
          <w:rFonts w:ascii="Times New Roman" w:eastAsia="Times New Roman" w:hAnsi="Times New Roman" w:cs="Times New Roman"/>
          <w:color w:val="000000" w:themeColor="text1"/>
          <w:sz w:val="24"/>
          <w:szCs w:val="24"/>
        </w:rPr>
        <w:t xml:space="preserve">program </w:t>
      </w:r>
      <w:r w:rsidR="0063598B">
        <w:rPr>
          <w:rFonts w:ascii="Times New Roman" w:eastAsia="Times New Roman" w:hAnsi="Times New Roman" w:cs="Times New Roman"/>
          <w:color w:val="000000" w:themeColor="text1"/>
          <w:sz w:val="24"/>
          <w:szCs w:val="24"/>
        </w:rPr>
        <w:t>are</w:t>
      </w:r>
      <w:r w:rsidR="001A3C47" w:rsidRPr="001A3C47">
        <w:rPr>
          <w:rFonts w:ascii="Times New Roman" w:eastAsia="Times New Roman" w:hAnsi="Times New Roman" w:cs="Times New Roman"/>
          <w:color w:val="000000" w:themeColor="text1"/>
          <w:sz w:val="24"/>
          <w:szCs w:val="24"/>
        </w:rPr>
        <w:t xml:space="preserve"> positively influential in the same direction and has an effect of 46.4%.</w:t>
      </w:r>
      <w:r w:rsidR="0063598B">
        <w:rPr>
          <w:rFonts w:ascii="Times New Roman" w:eastAsia="Times New Roman" w:hAnsi="Times New Roman" w:cs="Times New Roman"/>
          <w:color w:val="000000" w:themeColor="text1"/>
          <w:sz w:val="24"/>
          <w:szCs w:val="24"/>
        </w:rPr>
        <w:t xml:space="preserve"> </w:t>
      </w:r>
      <w:r w:rsidR="0063598B" w:rsidRPr="0063598B">
        <w:rPr>
          <w:rFonts w:ascii="Times New Roman" w:eastAsia="Times New Roman" w:hAnsi="Times New Roman" w:cs="Times New Roman"/>
          <w:color w:val="000000" w:themeColor="text1"/>
          <w:sz w:val="24"/>
          <w:szCs w:val="24"/>
        </w:rPr>
        <w:t>However, other factors, even they show a significant effect, appear to have an effect of 5-7%.</w:t>
      </w:r>
    </w:p>
    <w:p w:rsidR="00104803" w:rsidRPr="002823F9" w:rsidRDefault="00E16A92" w:rsidP="006347CE">
      <w:pPr>
        <w:autoSpaceDE w:val="0"/>
        <w:autoSpaceDN w:val="0"/>
        <w:adjustRightInd w:val="0"/>
        <w:spacing w:before="240" w:after="120" w:line="240" w:lineRule="auto"/>
        <w:rPr>
          <w:rFonts w:ascii="Times New Roman" w:hAnsi="Times New Roman" w:cs="Times New Roman"/>
          <w:b/>
          <w:bCs/>
          <w:color w:val="222222"/>
          <w:sz w:val="28"/>
          <w:szCs w:val="20"/>
        </w:rPr>
      </w:pPr>
      <w:r>
        <w:rPr>
          <w:rFonts w:ascii="Times New Roman" w:hAnsi="Times New Roman" w:cs="Times New Roman"/>
          <w:b/>
          <w:bCs/>
          <w:color w:val="000000"/>
          <w:sz w:val="28"/>
          <w:szCs w:val="20"/>
          <w:shd w:val="clear" w:color="auto" w:fill="FFFFFF"/>
        </w:rPr>
        <w:t>Conclusion</w:t>
      </w:r>
    </w:p>
    <w:p w:rsidR="00761E93" w:rsidRPr="002823F9" w:rsidRDefault="00104803" w:rsidP="001223B5">
      <w:pPr>
        <w:autoSpaceDE w:val="0"/>
        <w:autoSpaceDN w:val="0"/>
        <w:adjustRightInd w:val="0"/>
        <w:spacing w:before="120" w:after="0"/>
        <w:jc w:val="both"/>
        <w:rPr>
          <w:rFonts w:ascii="Times New Roman" w:hAnsi="Times New Roman" w:cs="Times New Roman"/>
          <w:color w:val="000000"/>
          <w:sz w:val="24"/>
          <w:szCs w:val="20"/>
        </w:rPr>
      </w:pPr>
      <w:r w:rsidRPr="002823F9">
        <w:rPr>
          <w:rFonts w:ascii="Times New Roman" w:hAnsi="Times New Roman" w:cs="Times New Roman"/>
          <w:color w:val="000000"/>
          <w:sz w:val="24"/>
          <w:szCs w:val="20"/>
        </w:rPr>
        <w:t>In such an era where Classical Model is now unable to provide a comprehensive explanation on</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production process and production factors, human capital has an important role both for developed</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countries to realize their plans on economic growth &amp; maintenance and for developing countries to</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provide economic development. Although there have been attempts to determine the relationship</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between human capital and economic growth &amp; progress since 1960s, the ‘quality’ aspect of</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human factor has taken an important role in economic analysis just since 1970s. Schultz’s</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theoretical and Denison’s empirical studies have been some pioneering studies to increase the</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awareness of people on human capital. The causality between human capital and economic growth</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has been confirmed thanks to the following econometric studies. The studies conclude that human</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capital plays a central role in economic growth and progress, and that low quality of human factor</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is a chief factor amongst the negative factors which affect the underdeveloped countries’ level of</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development.</w:t>
      </w:r>
    </w:p>
    <w:p w:rsidR="00EB1AB1" w:rsidRPr="002823F9" w:rsidRDefault="00104803" w:rsidP="001223B5">
      <w:pPr>
        <w:autoSpaceDE w:val="0"/>
        <w:autoSpaceDN w:val="0"/>
        <w:adjustRightInd w:val="0"/>
        <w:spacing w:before="120" w:after="0"/>
        <w:jc w:val="both"/>
        <w:rPr>
          <w:rFonts w:ascii="Times New Roman" w:hAnsi="Times New Roman" w:cs="Times New Roman"/>
          <w:color w:val="000000"/>
          <w:sz w:val="24"/>
          <w:szCs w:val="20"/>
        </w:rPr>
      </w:pPr>
      <w:r w:rsidRPr="002823F9">
        <w:rPr>
          <w:rFonts w:ascii="Times New Roman" w:hAnsi="Times New Roman" w:cs="Times New Roman"/>
          <w:color w:val="000000"/>
          <w:sz w:val="24"/>
          <w:szCs w:val="20"/>
        </w:rPr>
        <w:t>It is important to increase the level of human capital, which is accepted as the most important</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factor for long term and sustainable growth. Thus, one’s investments on his education serve as</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a</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major factor to make the best of human capital in production process. Some studies also</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conclude</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 xml:space="preserve">that physical capital investments which are not supported by required educational </w:t>
      </w:r>
      <w:r w:rsidRPr="002823F9">
        <w:rPr>
          <w:rFonts w:ascii="Times New Roman" w:hAnsi="Times New Roman" w:cs="Times New Roman"/>
          <w:color w:val="000000"/>
          <w:sz w:val="24"/>
          <w:szCs w:val="20"/>
        </w:rPr>
        <w:lastRenderedPageBreak/>
        <w:t>expenses, in</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 xml:space="preserve">other words </w:t>
      </w:r>
      <w:r w:rsidRPr="002823F9">
        <w:rPr>
          <w:rFonts w:ascii="Times New Roman" w:hAnsi="Times New Roman" w:cs="Times New Roman"/>
          <w:i/>
          <w:iCs/>
          <w:color w:val="000000"/>
          <w:sz w:val="24"/>
          <w:szCs w:val="20"/>
        </w:rPr>
        <w:t xml:space="preserve">low-quality </w:t>
      </w:r>
      <w:r w:rsidRPr="002823F9">
        <w:rPr>
          <w:rFonts w:ascii="Times New Roman" w:hAnsi="Times New Roman" w:cs="Times New Roman"/>
          <w:color w:val="000000"/>
          <w:sz w:val="24"/>
          <w:szCs w:val="20"/>
        </w:rPr>
        <w:t>human factor, have resulted in a low level of economic efficiency.</w:t>
      </w:r>
    </w:p>
    <w:p w:rsidR="00104803" w:rsidRPr="002823F9" w:rsidRDefault="00104803" w:rsidP="001223B5">
      <w:pPr>
        <w:autoSpaceDE w:val="0"/>
        <w:autoSpaceDN w:val="0"/>
        <w:adjustRightInd w:val="0"/>
        <w:spacing w:before="120" w:after="0"/>
        <w:jc w:val="both"/>
        <w:rPr>
          <w:rFonts w:ascii="Times New Roman" w:hAnsi="Times New Roman" w:cs="Times New Roman"/>
          <w:color w:val="000000"/>
          <w:sz w:val="24"/>
          <w:szCs w:val="20"/>
        </w:rPr>
      </w:pPr>
      <w:r w:rsidRPr="002823F9">
        <w:rPr>
          <w:rFonts w:ascii="Times New Roman" w:hAnsi="Times New Roman" w:cs="Times New Roman"/>
          <w:color w:val="000000"/>
          <w:sz w:val="24"/>
          <w:szCs w:val="20"/>
        </w:rPr>
        <w:t>Many studies conclude that there is a strong and significant correlation between human capital and</w:t>
      </w:r>
      <w:r w:rsidR="00EB1AB1"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 xml:space="preserve">economic growth and education </w:t>
      </w:r>
      <w:r w:rsidR="00992701">
        <w:rPr>
          <w:rFonts w:ascii="Times New Roman" w:hAnsi="Times New Roman" w:cs="Times New Roman"/>
          <w:color w:val="000000"/>
          <w:sz w:val="24"/>
          <w:szCs w:val="20"/>
        </w:rPr>
        <w:t>and</w:t>
      </w:r>
      <w:r w:rsidRPr="002823F9">
        <w:rPr>
          <w:rFonts w:ascii="Times New Roman" w:hAnsi="Times New Roman" w:cs="Times New Roman"/>
          <w:color w:val="000000"/>
          <w:sz w:val="24"/>
          <w:szCs w:val="20"/>
        </w:rPr>
        <w:t xml:space="preserve"> human capital.</w:t>
      </w:r>
    </w:p>
    <w:p w:rsidR="00761E93" w:rsidRPr="002823F9" w:rsidRDefault="00104803" w:rsidP="001223B5">
      <w:pPr>
        <w:autoSpaceDE w:val="0"/>
        <w:autoSpaceDN w:val="0"/>
        <w:adjustRightInd w:val="0"/>
        <w:spacing w:before="120" w:after="0"/>
        <w:jc w:val="both"/>
        <w:rPr>
          <w:rFonts w:ascii="Times New Roman" w:hAnsi="Times New Roman" w:cs="Times New Roman"/>
          <w:color w:val="000000"/>
          <w:sz w:val="24"/>
          <w:szCs w:val="20"/>
        </w:rPr>
      </w:pPr>
      <w:r w:rsidRPr="002823F9">
        <w:rPr>
          <w:rFonts w:ascii="Times New Roman" w:hAnsi="Times New Roman" w:cs="Times New Roman"/>
          <w:color w:val="000000"/>
          <w:sz w:val="24"/>
          <w:szCs w:val="20"/>
        </w:rPr>
        <w:t>This study investigates the relationship between human capital and economic performance along</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with an MBA degree being a factor. The study</w:t>
      </w:r>
      <w:r w:rsidR="00992701">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 xml:space="preserve">has the following results in light of </w:t>
      </w:r>
      <w:r w:rsidR="000334D4">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the earlier established hypotheses;</w:t>
      </w:r>
      <w:r w:rsidR="00761E93" w:rsidRPr="002823F9">
        <w:rPr>
          <w:rFonts w:ascii="Times New Roman" w:hAnsi="Times New Roman" w:cs="Times New Roman"/>
          <w:color w:val="000000"/>
          <w:sz w:val="24"/>
          <w:szCs w:val="20"/>
        </w:rPr>
        <w:t xml:space="preserve"> </w:t>
      </w:r>
    </w:p>
    <w:p w:rsidR="00761E93" w:rsidRPr="002823F9" w:rsidRDefault="00104803" w:rsidP="001223B5">
      <w:pPr>
        <w:autoSpaceDE w:val="0"/>
        <w:autoSpaceDN w:val="0"/>
        <w:adjustRightInd w:val="0"/>
        <w:spacing w:before="120" w:after="0"/>
        <w:jc w:val="both"/>
        <w:rPr>
          <w:rFonts w:ascii="Times New Roman" w:hAnsi="Times New Roman" w:cs="Times New Roman"/>
          <w:color w:val="000000"/>
          <w:sz w:val="24"/>
          <w:szCs w:val="20"/>
        </w:rPr>
      </w:pPr>
      <w:r w:rsidRPr="002823F9">
        <w:rPr>
          <w:rFonts w:ascii="Times New Roman" w:hAnsi="Times New Roman" w:cs="Times New Roman"/>
          <w:color w:val="000000"/>
          <w:sz w:val="24"/>
          <w:szCs w:val="20"/>
        </w:rPr>
        <w:t>As stated in the first hypothesis, an expectation of higher income is an important factor in their</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decision making to pursue an MBA through which they expect to foster their individual</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knowledge; the study also concludes that there is statistically a significant relationship between</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their future career plans &amp; higher income and decision making to pursue an MBA. However, since</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82.4% of the participants emphasize a positive effect of better career plans on their decision to</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 xml:space="preserve">attain an MBA while 53.5% has done MBA due to an expectation for a higher income, </w:t>
      </w:r>
      <w:r w:rsidR="00761E93" w:rsidRPr="002823F9">
        <w:rPr>
          <w:rFonts w:ascii="Times New Roman" w:hAnsi="Times New Roman" w:cs="Times New Roman"/>
          <w:color w:val="000000"/>
          <w:sz w:val="24"/>
          <w:szCs w:val="20"/>
        </w:rPr>
        <w:t xml:space="preserve">beter </w:t>
      </w:r>
      <w:r w:rsidRPr="002823F9">
        <w:rPr>
          <w:rFonts w:ascii="Times New Roman" w:hAnsi="Times New Roman" w:cs="Times New Roman"/>
          <w:color w:val="000000"/>
          <w:sz w:val="24"/>
          <w:szCs w:val="20"/>
        </w:rPr>
        <w:t>career plans is a predominant factor for the participants to pursue an MBA. This is an unexpected</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result which one presumes the main factor would most probably be a higher wage.</w:t>
      </w:r>
    </w:p>
    <w:p w:rsidR="00761E93" w:rsidRPr="002823F9" w:rsidRDefault="00104803" w:rsidP="001223B5">
      <w:pPr>
        <w:autoSpaceDE w:val="0"/>
        <w:autoSpaceDN w:val="0"/>
        <w:adjustRightInd w:val="0"/>
        <w:spacing w:before="120" w:after="0"/>
        <w:jc w:val="both"/>
        <w:rPr>
          <w:rFonts w:ascii="Times New Roman" w:hAnsi="Times New Roman" w:cs="Times New Roman"/>
          <w:color w:val="000000"/>
          <w:sz w:val="24"/>
          <w:szCs w:val="20"/>
        </w:rPr>
      </w:pPr>
      <w:r w:rsidRPr="002823F9">
        <w:rPr>
          <w:rFonts w:ascii="Times New Roman" w:hAnsi="Times New Roman" w:cs="Times New Roman"/>
          <w:color w:val="000000"/>
          <w:sz w:val="24"/>
          <w:szCs w:val="20"/>
        </w:rPr>
        <w:t>When comes to the second hypothesis, the level of the relationship between the institutional</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support the participant get from their workplace and their decision to pursue MBA is under</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the</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expected level (53.5%). The low rate may suggest that there should be more studies to increase</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 xml:space="preserve">institutional awareness of the necessity of quality human capital at work places. </w:t>
      </w:r>
      <w:r w:rsidR="00704897">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The institutional</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support is higher (%55) for private enterprises (as expected) than public institutions.</w:t>
      </w:r>
    </w:p>
    <w:p w:rsidR="00761E93" w:rsidRPr="002823F9" w:rsidRDefault="00104803" w:rsidP="001223B5">
      <w:pPr>
        <w:autoSpaceDE w:val="0"/>
        <w:autoSpaceDN w:val="0"/>
        <w:adjustRightInd w:val="0"/>
        <w:spacing w:before="120" w:after="0"/>
        <w:jc w:val="both"/>
        <w:rPr>
          <w:rFonts w:ascii="Times New Roman" w:hAnsi="Times New Roman" w:cs="Times New Roman"/>
          <w:color w:val="000000"/>
          <w:sz w:val="24"/>
          <w:szCs w:val="20"/>
        </w:rPr>
      </w:pPr>
      <w:r w:rsidRPr="002823F9">
        <w:rPr>
          <w:rFonts w:ascii="Times New Roman" w:hAnsi="Times New Roman" w:cs="Times New Roman"/>
          <w:color w:val="000000"/>
          <w:sz w:val="24"/>
          <w:szCs w:val="20"/>
        </w:rPr>
        <w:t>As for the third hypothesis, it is concluded that there has been a significant relationship between</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MBA education and its contribution to one’s personal development, motivation, and career, and</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 xml:space="preserve">thus human capital. According to the responses obtained from the participants, </w:t>
      </w:r>
      <w:r w:rsidR="000334D4">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the program is able</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to meet the respondents’ expectations. There is no significant trend observed regarding MBA’s</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effect on increasing one’s social recognition.</w:t>
      </w:r>
    </w:p>
    <w:p w:rsidR="00104803" w:rsidRPr="002823F9" w:rsidRDefault="00104803" w:rsidP="001223B5">
      <w:pPr>
        <w:autoSpaceDE w:val="0"/>
        <w:autoSpaceDN w:val="0"/>
        <w:adjustRightInd w:val="0"/>
        <w:spacing w:before="120" w:after="0"/>
        <w:jc w:val="both"/>
        <w:rPr>
          <w:rFonts w:ascii="Times New Roman" w:hAnsi="Times New Roman" w:cs="Times New Roman"/>
          <w:color w:val="000000"/>
          <w:sz w:val="24"/>
          <w:szCs w:val="20"/>
        </w:rPr>
      </w:pPr>
      <w:r w:rsidRPr="002823F9">
        <w:rPr>
          <w:rFonts w:ascii="Times New Roman" w:hAnsi="Times New Roman" w:cs="Times New Roman"/>
          <w:color w:val="000000"/>
          <w:sz w:val="24"/>
          <w:szCs w:val="20"/>
        </w:rPr>
        <w:t>As for the last hypothesis, the study finds that there is not significant relationship between MBA</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and a real increase in one’s income and position at work. Such a low result may be attributed to</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that such an increase in one’s income and potential promotion may take some time. And some</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studies in the literature (Arias and McMahon, 2001) also confirm the result in this paper stating</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 xml:space="preserve">that turnover of human capital investments may take time. 95% of </w:t>
      </w:r>
      <w:r w:rsidR="00704897">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the respondents graduated from</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the program within the last four years. When such responses related to MBA’s positive influence</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 xml:space="preserve">on career and meeting expectations are considered, </w:t>
      </w:r>
      <w:r w:rsidR="000334D4">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the study concludes that getting such</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incentives may take time to realize. Additionally, ranking income level low may be a secondary</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reason for the case.</w:t>
      </w:r>
    </w:p>
    <w:p w:rsidR="00761E93" w:rsidRPr="002823F9" w:rsidRDefault="00104803" w:rsidP="001223B5">
      <w:pPr>
        <w:autoSpaceDE w:val="0"/>
        <w:autoSpaceDN w:val="0"/>
        <w:adjustRightInd w:val="0"/>
        <w:spacing w:before="120" w:after="0"/>
        <w:jc w:val="both"/>
        <w:rPr>
          <w:rFonts w:ascii="Times New Roman" w:hAnsi="Times New Roman" w:cs="Times New Roman"/>
          <w:color w:val="000000"/>
          <w:sz w:val="24"/>
          <w:szCs w:val="20"/>
        </w:rPr>
      </w:pPr>
      <w:r w:rsidRPr="002823F9">
        <w:rPr>
          <w:rFonts w:ascii="Times New Roman" w:hAnsi="Times New Roman" w:cs="Times New Roman"/>
          <w:color w:val="000000"/>
          <w:sz w:val="24"/>
          <w:szCs w:val="20"/>
        </w:rPr>
        <w:t>In conclusion, the study reveals that MBA has an impact on human capital, thus economic</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performance. To increase efficiency of human capital through MBA programs in Turkey may</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require high educational institutions to develop such</w:t>
      </w:r>
      <w:r w:rsidR="00761E93" w:rsidRPr="002823F9">
        <w:rPr>
          <w:rFonts w:ascii="Times New Roman" w:hAnsi="Times New Roman" w:cs="Times New Roman"/>
          <w:color w:val="000000"/>
          <w:sz w:val="24"/>
          <w:szCs w:val="20"/>
        </w:rPr>
        <w:t xml:space="preserve"> masters programs and make them </w:t>
      </w:r>
      <w:r w:rsidRPr="002823F9">
        <w:rPr>
          <w:rFonts w:ascii="Times New Roman" w:hAnsi="Times New Roman" w:cs="Times New Roman"/>
          <w:color w:val="000000"/>
          <w:sz w:val="24"/>
          <w:szCs w:val="20"/>
        </w:rPr>
        <w:t>common.</w:t>
      </w:r>
    </w:p>
    <w:p w:rsidR="00761E93" w:rsidRPr="002823F9" w:rsidRDefault="00104803" w:rsidP="001223B5">
      <w:pPr>
        <w:autoSpaceDE w:val="0"/>
        <w:autoSpaceDN w:val="0"/>
        <w:adjustRightInd w:val="0"/>
        <w:spacing w:before="120" w:after="0"/>
        <w:jc w:val="both"/>
        <w:rPr>
          <w:rFonts w:ascii="Times New Roman" w:hAnsi="Times New Roman" w:cs="Times New Roman"/>
          <w:color w:val="000000"/>
          <w:sz w:val="24"/>
          <w:szCs w:val="20"/>
        </w:rPr>
      </w:pPr>
      <w:r w:rsidRPr="002823F9">
        <w:rPr>
          <w:rFonts w:ascii="Times New Roman" w:hAnsi="Times New Roman" w:cs="Times New Roman"/>
          <w:color w:val="000000"/>
          <w:sz w:val="24"/>
          <w:szCs w:val="20"/>
        </w:rPr>
        <w:lastRenderedPageBreak/>
        <w:t>Additionally, such institutions should strive to increase institutional (both public and private)</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awareness of contributing effect of MBA programs on individual and institutional development.</w:t>
      </w:r>
    </w:p>
    <w:p w:rsidR="00104803" w:rsidRPr="002823F9" w:rsidRDefault="00104803" w:rsidP="001223B5">
      <w:pPr>
        <w:autoSpaceDE w:val="0"/>
        <w:autoSpaceDN w:val="0"/>
        <w:adjustRightInd w:val="0"/>
        <w:spacing w:before="120" w:after="0"/>
        <w:jc w:val="both"/>
        <w:rPr>
          <w:rFonts w:ascii="Times New Roman" w:hAnsi="Times New Roman" w:cs="Times New Roman"/>
          <w:color w:val="000000"/>
          <w:sz w:val="24"/>
          <w:szCs w:val="20"/>
        </w:rPr>
      </w:pPr>
      <w:r w:rsidRPr="002823F9">
        <w:rPr>
          <w:rFonts w:ascii="Times New Roman" w:hAnsi="Times New Roman" w:cs="Times New Roman"/>
          <w:color w:val="000000"/>
          <w:sz w:val="24"/>
          <w:szCs w:val="20"/>
        </w:rPr>
        <w:t>As educational expenses, including MBA programs, increase human capital, the Turkish</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government should allocate more resources and effort to the program in accordance with its 2023</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macroeconomic goals. It is also vital to state that both the government’s health and technology</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policies should be in synchronization with the education policy to fulfill macroeconomic</w:t>
      </w:r>
      <w:r w:rsidR="00761E93" w:rsidRPr="002823F9">
        <w:rPr>
          <w:rFonts w:ascii="Times New Roman" w:hAnsi="Times New Roman" w:cs="Times New Roman"/>
          <w:color w:val="000000"/>
          <w:sz w:val="24"/>
          <w:szCs w:val="20"/>
        </w:rPr>
        <w:t xml:space="preserve"> </w:t>
      </w:r>
      <w:r w:rsidRPr="002823F9">
        <w:rPr>
          <w:rFonts w:ascii="Times New Roman" w:hAnsi="Times New Roman" w:cs="Times New Roman"/>
          <w:color w:val="000000"/>
          <w:sz w:val="24"/>
          <w:szCs w:val="20"/>
        </w:rPr>
        <w:t>objectives.</w:t>
      </w:r>
    </w:p>
    <w:p w:rsidR="00104803" w:rsidRPr="002823F9" w:rsidRDefault="00104803" w:rsidP="00A52211">
      <w:pPr>
        <w:autoSpaceDE w:val="0"/>
        <w:autoSpaceDN w:val="0"/>
        <w:adjustRightInd w:val="0"/>
        <w:spacing w:before="240" w:after="240" w:line="240" w:lineRule="auto"/>
        <w:rPr>
          <w:rFonts w:ascii="Times New Roman" w:hAnsi="Times New Roman" w:cs="Times New Roman"/>
          <w:b/>
          <w:bCs/>
          <w:color w:val="222222"/>
          <w:sz w:val="28"/>
          <w:szCs w:val="20"/>
        </w:rPr>
      </w:pPr>
      <w:r w:rsidRPr="002823F9">
        <w:rPr>
          <w:rFonts w:ascii="Times New Roman" w:hAnsi="Times New Roman" w:cs="Times New Roman"/>
          <w:b/>
          <w:bCs/>
          <w:color w:val="222222"/>
          <w:sz w:val="28"/>
          <w:szCs w:val="20"/>
        </w:rPr>
        <w:t>References</w:t>
      </w:r>
    </w:p>
    <w:p w:rsidR="004424F7" w:rsidRPr="00A52211" w:rsidRDefault="00D43988" w:rsidP="004424F7">
      <w:pPr>
        <w:spacing w:after="120" w:line="240" w:lineRule="auto"/>
        <w:ind w:left="720" w:hanging="720"/>
        <w:rPr>
          <w:rFonts w:ascii="Times New Roman" w:hAnsi="Times New Roman" w:cs="Times New Roman"/>
          <w:color w:val="000000" w:themeColor="text1"/>
        </w:rPr>
      </w:pPr>
      <w:r>
        <w:rPr>
          <w:rFonts w:ascii="Times New Roman" w:hAnsi="Times New Roman" w:cs="Times New Roman"/>
          <w:sz w:val="24"/>
          <w:szCs w:val="24"/>
        </w:rPr>
        <w:t>Akgül, A. &amp;</w:t>
      </w:r>
      <w:r w:rsidR="00661406" w:rsidRPr="00A52211">
        <w:rPr>
          <w:rFonts w:ascii="Times New Roman" w:hAnsi="Times New Roman" w:cs="Times New Roman"/>
          <w:sz w:val="24"/>
          <w:szCs w:val="24"/>
        </w:rPr>
        <w:t xml:space="preserve"> Çevik, O. (2003) </w:t>
      </w:r>
      <w:r w:rsidR="004424F7" w:rsidRPr="00A52211">
        <w:rPr>
          <w:rFonts w:ascii="Times New Roman" w:hAnsi="Times New Roman" w:cs="Times New Roman"/>
          <w:sz w:val="24"/>
          <w:szCs w:val="24"/>
        </w:rPr>
        <w:t>İstatistiksel Analiz Teknikle</w:t>
      </w:r>
      <w:r w:rsidR="00661406" w:rsidRPr="00A52211">
        <w:rPr>
          <w:rFonts w:ascii="Times New Roman" w:hAnsi="Times New Roman" w:cs="Times New Roman"/>
          <w:sz w:val="24"/>
          <w:szCs w:val="24"/>
        </w:rPr>
        <w:t>ri (SPSS ile İşletme Yönetimi Uygulamaları)</w:t>
      </w:r>
      <w:r w:rsidR="004424F7" w:rsidRPr="00A52211">
        <w:rPr>
          <w:rFonts w:ascii="Times New Roman" w:hAnsi="Times New Roman" w:cs="Times New Roman"/>
          <w:sz w:val="24"/>
          <w:szCs w:val="24"/>
        </w:rPr>
        <w:t>, Ankara, Emek Ofset.</w:t>
      </w:r>
    </w:p>
    <w:p w:rsidR="00CC1BD3" w:rsidRPr="00A52211" w:rsidRDefault="00CC1BD3" w:rsidP="00CC1BD3">
      <w:pPr>
        <w:spacing w:after="120" w:line="240" w:lineRule="auto"/>
        <w:ind w:left="720" w:hanging="720"/>
        <w:rPr>
          <w:rFonts w:ascii="Times New Roman" w:hAnsi="Times New Roman" w:cs="Times New Roman"/>
          <w:noProof/>
          <w:sz w:val="24"/>
          <w:szCs w:val="20"/>
        </w:rPr>
      </w:pPr>
      <w:r w:rsidRPr="00A52211">
        <w:rPr>
          <w:rFonts w:ascii="Times New Roman" w:hAnsi="Times New Roman" w:cs="Times New Roman"/>
          <w:sz w:val="24"/>
          <w:szCs w:val="20"/>
        </w:rPr>
        <w:fldChar w:fldCharType="begin"/>
      </w:r>
      <w:r w:rsidRPr="00A52211">
        <w:rPr>
          <w:rFonts w:ascii="Times New Roman" w:hAnsi="Times New Roman" w:cs="Times New Roman"/>
          <w:sz w:val="24"/>
          <w:szCs w:val="20"/>
        </w:rPr>
        <w:instrText xml:space="preserve"> ADDIN EN.REFLIST </w:instrText>
      </w:r>
      <w:r w:rsidRPr="00A52211">
        <w:rPr>
          <w:rFonts w:ascii="Times New Roman" w:hAnsi="Times New Roman" w:cs="Times New Roman"/>
          <w:sz w:val="24"/>
          <w:szCs w:val="20"/>
        </w:rPr>
        <w:fldChar w:fldCharType="separate"/>
      </w:r>
      <w:bookmarkStart w:id="1" w:name="_ENREF_1"/>
      <w:r w:rsidRPr="00A52211">
        <w:rPr>
          <w:rFonts w:ascii="Times New Roman" w:hAnsi="Times New Roman" w:cs="Times New Roman"/>
          <w:noProof/>
          <w:sz w:val="24"/>
          <w:szCs w:val="20"/>
        </w:rPr>
        <w:t xml:space="preserve">Arias, O., &amp; McMahon, W. W. (2001). Dynamic Rates of Return to Education in the US. </w:t>
      </w:r>
      <w:r w:rsidRPr="00A52211">
        <w:rPr>
          <w:rFonts w:ascii="Times New Roman" w:hAnsi="Times New Roman" w:cs="Times New Roman"/>
          <w:i/>
          <w:noProof/>
          <w:sz w:val="24"/>
          <w:szCs w:val="20"/>
        </w:rPr>
        <w:t>Economics of Education Review, 20</w:t>
      </w:r>
      <w:r w:rsidRPr="00A52211">
        <w:rPr>
          <w:rFonts w:ascii="Times New Roman" w:hAnsi="Times New Roman" w:cs="Times New Roman"/>
          <w:noProof/>
          <w:sz w:val="24"/>
          <w:szCs w:val="20"/>
        </w:rPr>
        <w:t xml:space="preserve">(2), 121-138. </w:t>
      </w:r>
      <w:bookmarkEnd w:id="1"/>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2" w:name="_ENREF_2"/>
      <w:r w:rsidRPr="00A52211">
        <w:rPr>
          <w:rFonts w:ascii="Times New Roman" w:hAnsi="Times New Roman" w:cs="Times New Roman"/>
          <w:noProof/>
          <w:sz w:val="24"/>
          <w:szCs w:val="20"/>
        </w:rPr>
        <w:t xml:space="preserve">Asteriou, D., &amp; Agiomirgianakis, G. M. (2001). Human Capital and Economic Growth: Time Series Evidence from Greece. </w:t>
      </w:r>
      <w:r w:rsidRPr="00A52211">
        <w:rPr>
          <w:rFonts w:ascii="Times New Roman" w:hAnsi="Times New Roman" w:cs="Times New Roman"/>
          <w:i/>
          <w:noProof/>
          <w:sz w:val="24"/>
          <w:szCs w:val="20"/>
        </w:rPr>
        <w:t>Journal of Policy Modeling, 23</w:t>
      </w:r>
      <w:r w:rsidRPr="00A52211">
        <w:rPr>
          <w:rFonts w:ascii="Times New Roman" w:hAnsi="Times New Roman" w:cs="Times New Roman"/>
          <w:noProof/>
          <w:sz w:val="24"/>
          <w:szCs w:val="20"/>
        </w:rPr>
        <w:t xml:space="preserve">(5), 481-489. </w:t>
      </w:r>
      <w:bookmarkEnd w:id="2"/>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3" w:name="_ENREF_3"/>
      <w:r w:rsidRPr="00A52211">
        <w:rPr>
          <w:rFonts w:ascii="Times New Roman" w:hAnsi="Times New Roman" w:cs="Times New Roman"/>
          <w:noProof/>
          <w:sz w:val="24"/>
          <w:szCs w:val="20"/>
        </w:rPr>
        <w:t xml:space="preserve">Barro, R. (1999). Human Capital and Growth in Cross-Country Regressions. </w:t>
      </w:r>
      <w:r w:rsidRPr="00A52211">
        <w:rPr>
          <w:rFonts w:ascii="Times New Roman" w:hAnsi="Times New Roman" w:cs="Times New Roman"/>
          <w:i/>
          <w:noProof/>
          <w:sz w:val="24"/>
          <w:szCs w:val="20"/>
        </w:rPr>
        <w:t>Swedish Economic Policy Review, Autumn</w:t>
      </w:r>
      <w:r w:rsidRPr="00A52211">
        <w:rPr>
          <w:rFonts w:ascii="Times New Roman" w:hAnsi="Times New Roman" w:cs="Times New Roman"/>
          <w:noProof/>
          <w:sz w:val="24"/>
          <w:szCs w:val="20"/>
        </w:rPr>
        <w:t xml:space="preserve">. </w:t>
      </w:r>
      <w:bookmarkEnd w:id="3"/>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4" w:name="_ENREF_4"/>
      <w:r w:rsidRPr="00A52211">
        <w:rPr>
          <w:rFonts w:ascii="Times New Roman" w:hAnsi="Times New Roman" w:cs="Times New Roman"/>
          <w:noProof/>
          <w:sz w:val="24"/>
          <w:szCs w:val="20"/>
        </w:rPr>
        <w:t xml:space="preserve">Barro, R. (2002). Education as a Determinant of Economic Growth. In E. P. Lazear (Ed.), </w:t>
      </w:r>
      <w:r w:rsidRPr="00A52211">
        <w:rPr>
          <w:rFonts w:ascii="Times New Roman" w:hAnsi="Times New Roman" w:cs="Times New Roman"/>
          <w:i/>
          <w:noProof/>
          <w:sz w:val="24"/>
          <w:szCs w:val="20"/>
        </w:rPr>
        <w:t>Education in the Twenty-First Century</w:t>
      </w:r>
      <w:r w:rsidRPr="00A52211">
        <w:rPr>
          <w:rFonts w:ascii="Times New Roman" w:hAnsi="Times New Roman" w:cs="Times New Roman"/>
          <w:noProof/>
          <w:sz w:val="24"/>
          <w:szCs w:val="20"/>
        </w:rPr>
        <w:t>: Hoover Institution Press.</w:t>
      </w:r>
      <w:bookmarkEnd w:id="4"/>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5" w:name="_ENREF_5"/>
      <w:r w:rsidRPr="00A52211">
        <w:rPr>
          <w:rFonts w:ascii="Times New Roman" w:hAnsi="Times New Roman" w:cs="Times New Roman"/>
          <w:noProof/>
          <w:sz w:val="24"/>
          <w:szCs w:val="20"/>
        </w:rPr>
        <w:t xml:space="preserve">Barro, R., &amp; Lee, J. W. . (1993). International Comparisons of Educational Attainment. </w:t>
      </w:r>
      <w:r w:rsidRPr="00A52211">
        <w:rPr>
          <w:rFonts w:ascii="Times New Roman" w:hAnsi="Times New Roman" w:cs="Times New Roman"/>
          <w:i/>
          <w:noProof/>
          <w:sz w:val="24"/>
          <w:szCs w:val="20"/>
        </w:rPr>
        <w:t>Journal of Monetary Economics, December</w:t>
      </w:r>
      <w:r w:rsidRPr="00A52211">
        <w:rPr>
          <w:rFonts w:ascii="Times New Roman" w:hAnsi="Times New Roman" w:cs="Times New Roman"/>
          <w:noProof/>
          <w:sz w:val="24"/>
          <w:szCs w:val="20"/>
        </w:rPr>
        <w:t xml:space="preserve">. </w:t>
      </w:r>
      <w:bookmarkEnd w:id="5"/>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6" w:name="_ENREF_6"/>
      <w:r w:rsidRPr="00A52211">
        <w:rPr>
          <w:rFonts w:ascii="Times New Roman" w:hAnsi="Times New Roman" w:cs="Times New Roman"/>
          <w:noProof/>
          <w:sz w:val="24"/>
          <w:szCs w:val="20"/>
        </w:rPr>
        <w:t>Breton, T. R. (2003).</w:t>
      </w:r>
      <w:r w:rsidRPr="00A52211">
        <w:rPr>
          <w:rFonts w:ascii="Times New Roman" w:hAnsi="Times New Roman" w:cs="Times New Roman"/>
          <w:i/>
          <w:noProof/>
          <w:sz w:val="24"/>
          <w:szCs w:val="20"/>
        </w:rPr>
        <w:t xml:space="preserve"> Education, Human Capital, and National Income</w:t>
      </w:r>
      <w:r w:rsidRPr="00A52211">
        <w:rPr>
          <w:rFonts w:ascii="Times New Roman" w:hAnsi="Times New Roman" w:cs="Times New Roman"/>
          <w:noProof/>
          <w:sz w:val="24"/>
          <w:szCs w:val="20"/>
        </w:rPr>
        <w:t xml:space="preserve">. </w:t>
      </w:r>
      <w:hyperlink r:id="rId7" w:history="1">
        <w:r w:rsidRPr="00A52211">
          <w:rPr>
            <w:rStyle w:val="Kpr"/>
            <w:rFonts w:ascii="Times New Roman" w:hAnsi="Times New Roman" w:cs="Times New Roman"/>
            <w:noProof/>
            <w:color w:val="auto"/>
            <w:sz w:val="24"/>
            <w:szCs w:val="20"/>
            <w:u w:val="none"/>
          </w:rPr>
          <w:t>http://bbs.cenet.org.cn/uploadimages/20044132111560674.pdf</w:t>
        </w:r>
      </w:hyperlink>
      <w:r w:rsidRPr="00A52211">
        <w:rPr>
          <w:rFonts w:ascii="Times New Roman" w:hAnsi="Times New Roman" w:cs="Times New Roman"/>
          <w:noProof/>
          <w:sz w:val="24"/>
          <w:szCs w:val="20"/>
        </w:rPr>
        <w:t>.</w:t>
      </w:r>
      <w:bookmarkEnd w:id="6"/>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7" w:name="_ENREF_7"/>
      <w:r w:rsidRPr="00A52211">
        <w:rPr>
          <w:rFonts w:ascii="Times New Roman" w:hAnsi="Times New Roman" w:cs="Times New Roman"/>
          <w:noProof/>
          <w:sz w:val="24"/>
          <w:szCs w:val="20"/>
        </w:rPr>
        <w:t xml:space="preserve">Carnoy, M. (1995). The Economics of Education, Then and Now. In M. Carnoy (Ed.), </w:t>
      </w:r>
      <w:r w:rsidRPr="00A52211">
        <w:rPr>
          <w:rFonts w:ascii="Times New Roman" w:hAnsi="Times New Roman" w:cs="Times New Roman"/>
          <w:i/>
          <w:noProof/>
          <w:sz w:val="24"/>
          <w:szCs w:val="20"/>
        </w:rPr>
        <w:t xml:space="preserve">International Encyclopaedia of Economics of Education, </w:t>
      </w:r>
      <w:r w:rsidRPr="00A52211">
        <w:rPr>
          <w:rFonts w:ascii="Times New Roman" w:hAnsi="Times New Roman" w:cs="Times New Roman"/>
          <w:noProof/>
          <w:sz w:val="24"/>
          <w:szCs w:val="20"/>
        </w:rPr>
        <w:t>(Second Edition ed., pp. 1-7): Pergamon.</w:t>
      </w:r>
      <w:bookmarkEnd w:id="7"/>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8" w:name="_ENREF_8"/>
      <w:r w:rsidRPr="00A52211">
        <w:rPr>
          <w:rFonts w:ascii="Times New Roman" w:hAnsi="Times New Roman" w:cs="Times New Roman"/>
          <w:noProof/>
          <w:sz w:val="24"/>
          <w:szCs w:val="20"/>
        </w:rPr>
        <w:t xml:space="preserve">Cheng, B. S., &amp; Hsu, R. C. (1997). Human Capital and Economic Growth in Japan: an Application of -Time Series Analysis. </w:t>
      </w:r>
      <w:r w:rsidRPr="00A52211">
        <w:rPr>
          <w:rFonts w:ascii="Times New Roman" w:hAnsi="Times New Roman" w:cs="Times New Roman"/>
          <w:i/>
          <w:noProof/>
          <w:sz w:val="24"/>
          <w:szCs w:val="20"/>
        </w:rPr>
        <w:t>Applied Economics Letters, 4</w:t>
      </w:r>
      <w:r w:rsidRPr="00A52211">
        <w:rPr>
          <w:rFonts w:ascii="Times New Roman" w:hAnsi="Times New Roman" w:cs="Times New Roman"/>
          <w:noProof/>
          <w:sz w:val="24"/>
          <w:szCs w:val="20"/>
        </w:rPr>
        <w:t xml:space="preserve">(6), 393-395. </w:t>
      </w:r>
      <w:bookmarkEnd w:id="8"/>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9" w:name="_ENREF_9"/>
      <w:r w:rsidRPr="00A52211">
        <w:rPr>
          <w:rFonts w:ascii="Times New Roman" w:hAnsi="Times New Roman" w:cs="Times New Roman"/>
          <w:noProof/>
          <w:sz w:val="24"/>
          <w:szCs w:val="20"/>
        </w:rPr>
        <w:t xml:space="preserve">Denison, E. F. (1962). </w:t>
      </w:r>
      <w:r w:rsidRPr="00A52211">
        <w:rPr>
          <w:rFonts w:ascii="Times New Roman" w:hAnsi="Times New Roman" w:cs="Times New Roman"/>
          <w:i/>
          <w:noProof/>
          <w:sz w:val="24"/>
          <w:szCs w:val="20"/>
        </w:rPr>
        <w:t>The Sources of Economic Growth in the United States and the Alternatives Before Us</w:t>
      </w:r>
      <w:r w:rsidRPr="00A52211">
        <w:rPr>
          <w:rFonts w:ascii="Times New Roman" w:hAnsi="Times New Roman" w:cs="Times New Roman"/>
          <w:noProof/>
          <w:sz w:val="24"/>
          <w:szCs w:val="20"/>
        </w:rPr>
        <w:t xml:space="preserve"> (Vol. 13). New York: Committee for Economic Development </w:t>
      </w:r>
      <w:bookmarkEnd w:id="9"/>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10" w:name="_ENREF_10"/>
      <w:r w:rsidRPr="00A52211">
        <w:rPr>
          <w:rFonts w:ascii="Times New Roman" w:hAnsi="Times New Roman" w:cs="Times New Roman"/>
          <w:noProof/>
          <w:sz w:val="24"/>
          <w:szCs w:val="20"/>
        </w:rPr>
        <w:t xml:space="preserve">Doğan, S., &amp; Bozkurt, H. Y. (2003). </w:t>
      </w:r>
      <w:r w:rsidRPr="00A52211">
        <w:rPr>
          <w:rFonts w:ascii="Times New Roman" w:hAnsi="Times New Roman" w:cs="Times New Roman"/>
          <w:i/>
          <w:noProof/>
          <w:sz w:val="24"/>
          <w:szCs w:val="20"/>
        </w:rPr>
        <w:t>Eğitim ve Ekonomik Büyüme İlişkisi: Türkiye İçin Kointegrasyon Analizi</w:t>
      </w:r>
      <w:r w:rsidRPr="00A52211">
        <w:rPr>
          <w:rFonts w:ascii="Times New Roman" w:hAnsi="Times New Roman" w:cs="Times New Roman"/>
          <w:noProof/>
          <w:sz w:val="24"/>
          <w:szCs w:val="20"/>
        </w:rPr>
        <w:t xml:space="preserve">. Paper presented at the II. Ulusal Bilgi, Ekonomi ve Yönetim Kongresi, Derbest-İzmit. </w:t>
      </w:r>
      <w:bookmarkEnd w:id="10"/>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11" w:name="_ENREF_11"/>
      <w:r w:rsidRPr="00A52211">
        <w:rPr>
          <w:rFonts w:ascii="Times New Roman" w:hAnsi="Times New Roman" w:cs="Times New Roman"/>
          <w:noProof/>
          <w:sz w:val="24"/>
          <w:szCs w:val="20"/>
        </w:rPr>
        <w:t xml:space="preserve">Doğan, S., &amp; Şanlı, B. (2003). İktisadi Kalkınmada Beşeri Sermaye. </w:t>
      </w:r>
      <w:r w:rsidRPr="00A52211">
        <w:rPr>
          <w:rFonts w:ascii="Times New Roman" w:hAnsi="Times New Roman" w:cs="Times New Roman"/>
          <w:i/>
          <w:noProof/>
          <w:sz w:val="24"/>
          <w:szCs w:val="20"/>
        </w:rPr>
        <w:t>Süleyman Demirel Üniversitesi İktisadi ve İdari Bilimler Fakültesi, 8</w:t>
      </w:r>
      <w:r w:rsidRPr="00A52211">
        <w:rPr>
          <w:rFonts w:ascii="Times New Roman" w:hAnsi="Times New Roman" w:cs="Times New Roman"/>
          <w:noProof/>
          <w:sz w:val="24"/>
          <w:szCs w:val="20"/>
        </w:rPr>
        <w:t xml:space="preserve">(1), 173-196. </w:t>
      </w:r>
      <w:bookmarkEnd w:id="11"/>
    </w:p>
    <w:p w:rsidR="00892A88" w:rsidRPr="00A52211" w:rsidRDefault="00CC1BD3" w:rsidP="00CC1BD3">
      <w:pPr>
        <w:spacing w:after="120" w:line="240" w:lineRule="auto"/>
        <w:ind w:left="720" w:hanging="720"/>
        <w:rPr>
          <w:rFonts w:ascii="Times New Roman" w:hAnsi="Times New Roman" w:cs="Times New Roman"/>
          <w:noProof/>
          <w:sz w:val="24"/>
          <w:szCs w:val="20"/>
        </w:rPr>
      </w:pPr>
      <w:bookmarkStart w:id="12" w:name="_ENREF_12"/>
      <w:r w:rsidRPr="00A52211">
        <w:rPr>
          <w:rFonts w:ascii="Times New Roman" w:hAnsi="Times New Roman" w:cs="Times New Roman"/>
          <w:noProof/>
          <w:sz w:val="24"/>
          <w:szCs w:val="20"/>
        </w:rPr>
        <w:t xml:space="preserve">Ergen, H. (1999). Türkiye'de Eğitimin Ekonomik Büyümeye Katkısı. </w:t>
      </w:r>
      <w:r w:rsidRPr="00A52211">
        <w:rPr>
          <w:rFonts w:ascii="Times New Roman" w:hAnsi="Times New Roman" w:cs="Times New Roman"/>
          <w:i/>
          <w:noProof/>
          <w:sz w:val="24"/>
          <w:szCs w:val="20"/>
        </w:rPr>
        <w:t>Ekonomik Yaklaşım, 10</w:t>
      </w:r>
      <w:r w:rsidRPr="00A52211">
        <w:rPr>
          <w:rFonts w:ascii="Times New Roman" w:hAnsi="Times New Roman" w:cs="Times New Roman"/>
          <w:noProof/>
          <w:sz w:val="24"/>
          <w:szCs w:val="20"/>
        </w:rPr>
        <w:t>(35), 21-56.</w:t>
      </w:r>
      <w:bookmarkStart w:id="13" w:name="_ENREF_13"/>
      <w:bookmarkEnd w:id="12"/>
    </w:p>
    <w:p w:rsidR="00CC1BD3" w:rsidRPr="00A52211" w:rsidRDefault="00CC1BD3" w:rsidP="00CC1BD3">
      <w:pPr>
        <w:spacing w:after="120" w:line="240" w:lineRule="auto"/>
        <w:ind w:left="720" w:hanging="720"/>
        <w:rPr>
          <w:rFonts w:ascii="Times New Roman" w:hAnsi="Times New Roman" w:cs="Times New Roman"/>
          <w:noProof/>
          <w:sz w:val="24"/>
          <w:szCs w:val="20"/>
        </w:rPr>
      </w:pPr>
      <w:r w:rsidRPr="00A52211">
        <w:rPr>
          <w:rFonts w:ascii="Times New Roman" w:hAnsi="Times New Roman" w:cs="Times New Roman"/>
          <w:noProof/>
          <w:sz w:val="24"/>
          <w:szCs w:val="20"/>
        </w:rPr>
        <w:t xml:space="preserve">Freire-Seren, M. J. (2001). Human Capital Accumulation and Economic Growth. </w:t>
      </w:r>
      <w:r w:rsidRPr="00A52211">
        <w:rPr>
          <w:rFonts w:ascii="Times New Roman" w:hAnsi="Times New Roman" w:cs="Times New Roman"/>
          <w:i/>
          <w:noProof/>
          <w:sz w:val="24"/>
          <w:szCs w:val="20"/>
        </w:rPr>
        <w:t>Investigaciones Económicas, 25</w:t>
      </w:r>
      <w:r w:rsidRPr="00A52211">
        <w:rPr>
          <w:rFonts w:ascii="Times New Roman" w:hAnsi="Times New Roman" w:cs="Times New Roman"/>
          <w:noProof/>
          <w:sz w:val="24"/>
          <w:szCs w:val="20"/>
        </w:rPr>
        <w:t xml:space="preserve">(3), 585-602. </w:t>
      </w:r>
      <w:bookmarkEnd w:id="13"/>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14" w:name="_ENREF_14"/>
      <w:r w:rsidRPr="00A52211">
        <w:rPr>
          <w:rFonts w:ascii="Times New Roman" w:hAnsi="Times New Roman" w:cs="Times New Roman"/>
          <w:noProof/>
          <w:sz w:val="24"/>
          <w:szCs w:val="20"/>
        </w:rPr>
        <w:t xml:space="preserve">Güngör, N. D. (1997). Education and Economic Growth in Turkey 1980-1990: A Panel Study. </w:t>
      </w:r>
      <w:r w:rsidRPr="00A52211">
        <w:rPr>
          <w:rFonts w:ascii="Times New Roman" w:hAnsi="Times New Roman" w:cs="Times New Roman"/>
          <w:i/>
          <w:noProof/>
          <w:sz w:val="24"/>
          <w:szCs w:val="20"/>
        </w:rPr>
        <w:t>Middle East Technical University Studies in Development, 24</w:t>
      </w:r>
      <w:r w:rsidRPr="00A52211">
        <w:rPr>
          <w:rFonts w:ascii="Times New Roman" w:hAnsi="Times New Roman" w:cs="Times New Roman"/>
          <w:noProof/>
          <w:sz w:val="24"/>
          <w:szCs w:val="20"/>
        </w:rPr>
        <w:t xml:space="preserve">(2), 185-214. </w:t>
      </w:r>
      <w:bookmarkEnd w:id="14"/>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15" w:name="_ENREF_15"/>
      <w:r w:rsidRPr="00A52211">
        <w:rPr>
          <w:rFonts w:ascii="Times New Roman" w:hAnsi="Times New Roman" w:cs="Times New Roman"/>
          <w:noProof/>
          <w:sz w:val="24"/>
          <w:szCs w:val="20"/>
        </w:rPr>
        <w:lastRenderedPageBreak/>
        <w:t xml:space="preserve">Kar, M., &amp; Ağır, H. (2006). Türkiye’de Beşeri Sermaye ve Ekonomik Büyüme İlişkisi: Eşbütünleşme Yaklaşımı ile Nedensellik Testi, 1926-1994. </w:t>
      </w:r>
      <w:r w:rsidRPr="00A52211">
        <w:rPr>
          <w:rFonts w:ascii="Times New Roman" w:hAnsi="Times New Roman" w:cs="Times New Roman"/>
          <w:i/>
          <w:noProof/>
          <w:sz w:val="24"/>
          <w:szCs w:val="20"/>
        </w:rPr>
        <w:t>Selçuk Üniversitesi İ.İ.B.F Sosyal ve Ekonomik Araştırmalar Dergisi, 6</w:t>
      </w:r>
      <w:r w:rsidRPr="00A52211">
        <w:rPr>
          <w:rFonts w:ascii="Times New Roman" w:hAnsi="Times New Roman" w:cs="Times New Roman"/>
          <w:noProof/>
          <w:sz w:val="24"/>
          <w:szCs w:val="20"/>
        </w:rPr>
        <w:t xml:space="preserve">(11), 51-68. </w:t>
      </w:r>
      <w:bookmarkEnd w:id="15"/>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16" w:name="_ENREF_16"/>
      <w:r w:rsidRPr="00A52211">
        <w:rPr>
          <w:rFonts w:ascii="Times New Roman" w:hAnsi="Times New Roman" w:cs="Times New Roman"/>
          <w:noProof/>
          <w:sz w:val="24"/>
          <w:szCs w:val="20"/>
        </w:rPr>
        <w:t xml:space="preserve">Kar, M., &amp; Taban, S. (2003). Kamu Harcama Çeşitlerinin Ekonomik Büyüme Üzerine Etkileri. </w:t>
      </w:r>
      <w:r w:rsidRPr="00A52211">
        <w:rPr>
          <w:rFonts w:ascii="Times New Roman" w:hAnsi="Times New Roman" w:cs="Times New Roman"/>
          <w:i/>
          <w:noProof/>
          <w:sz w:val="24"/>
          <w:szCs w:val="20"/>
        </w:rPr>
        <w:t>Ankara Üniversitesi SBF Dergisi, 58</w:t>
      </w:r>
      <w:r w:rsidRPr="00A52211">
        <w:rPr>
          <w:rFonts w:ascii="Times New Roman" w:hAnsi="Times New Roman" w:cs="Times New Roman"/>
          <w:noProof/>
          <w:sz w:val="24"/>
          <w:szCs w:val="20"/>
        </w:rPr>
        <w:t xml:space="preserve">(3), 145-169. </w:t>
      </w:r>
      <w:bookmarkEnd w:id="16"/>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17" w:name="_ENREF_17"/>
      <w:r w:rsidRPr="00A52211">
        <w:rPr>
          <w:rFonts w:ascii="Times New Roman" w:hAnsi="Times New Roman" w:cs="Times New Roman"/>
          <w:noProof/>
          <w:sz w:val="24"/>
          <w:szCs w:val="20"/>
        </w:rPr>
        <w:t xml:space="preserve">Lau, L. J., Jamison, D. T., Liu, S., &amp; Rivkin, S. (1993). Education and Economic Growth Some Cross-sectional Evidence from Brazil. </w:t>
      </w:r>
      <w:r w:rsidRPr="00A52211">
        <w:rPr>
          <w:rFonts w:ascii="Times New Roman" w:hAnsi="Times New Roman" w:cs="Times New Roman"/>
          <w:i/>
          <w:noProof/>
          <w:sz w:val="24"/>
          <w:szCs w:val="20"/>
        </w:rPr>
        <w:t>Journal of Development Economics, 41</w:t>
      </w:r>
      <w:r w:rsidRPr="00A52211">
        <w:rPr>
          <w:rFonts w:ascii="Times New Roman" w:hAnsi="Times New Roman" w:cs="Times New Roman"/>
          <w:noProof/>
          <w:sz w:val="24"/>
          <w:szCs w:val="20"/>
        </w:rPr>
        <w:t xml:space="preserve">(1), 45-70. </w:t>
      </w:r>
      <w:bookmarkEnd w:id="17"/>
    </w:p>
    <w:p w:rsidR="00CC1BD3" w:rsidRPr="00A52211" w:rsidRDefault="00D43988" w:rsidP="00CC1BD3">
      <w:pPr>
        <w:spacing w:after="120" w:line="240" w:lineRule="auto"/>
        <w:ind w:left="720" w:hanging="720"/>
        <w:rPr>
          <w:rFonts w:ascii="Times New Roman" w:hAnsi="Times New Roman" w:cs="Times New Roman"/>
          <w:noProof/>
          <w:sz w:val="24"/>
          <w:szCs w:val="20"/>
        </w:rPr>
      </w:pPr>
      <w:bookmarkStart w:id="18" w:name="_ENREF_18"/>
      <w:r>
        <w:rPr>
          <w:rFonts w:ascii="Times New Roman" w:hAnsi="Times New Roman" w:cs="Times New Roman"/>
          <w:noProof/>
          <w:sz w:val="24"/>
          <w:szCs w:val="20"/>
        </w:rPr>
        <w:t xml:space="preserve">Lucas Jr, R. E. </w:t>
      </w:r>
      <w:r w:rsidR="00CC1BD3" w:rsidRPr="00A52211">
        <w:rPr>
          <w:rFonts w:ascii="Times New Roman" w:hAnsi="Times New Roman" w:cs="Times New Roman"/>
          <w:noProof/>
          <w:sz w:val="24"/>
          <w:szCs w:val="20"/>
        </w:rPr>
        <w:t xml:space="preserve">(1988). On the Mechanics of Economic Development. </w:t>
      </w:r>
      <w:r w:rsidR="00CC1BD3" w:rsidRPr="00A52211">
        <w:rPr>
          <w:rFonts w:ascii="Times New Roman" w:hAnsi="Times New Roman" w:cs="Times New Roman"/>
          <w:i/>
          <w:noProof/>
          <w:sz w:val="24"/>
          <w:szCs w:val="20"/>
        </w:rPr>
        <w:t>Journal of Monetary Economics, 22</w:t>
      </w:r>
      <w:r w:rsidR="00CC1BD3" w:rsidRPr="00A52211">
        <w:rPr>
          <w:rFonts w:ascii="Times New Roman" w:hAnsi="Times New Roman" w:cs="Times New Roman"/>
          <w:noProof/>
          <w:sz w:val="24"/>
          <w:szCs w:val="20"/>
        </w:rPr>
        <w:t xml:space="preserve">(1), 3-42. </w:t>
      </w:r>
      <w:bookmarkEnd w:id="18"/>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19" w:name="_ENREF_19"/>
      <w:r w:rsidRPr="00A52211">
        <w:rPr>
          <w:rFonts w:ascii="Times New Roman" w:hAnsi="Times New Roman" w:cs="Times New Roman"/>
          <w:noProof/>
          <w:sz w:val="24"/>
          <w:szCs w:val="20"/>
        </w:rPr>
        <w:t xml:space="preserve">Mankiw, N. G., Romer, D., &amp; Weil, D. N. (1992). A Contribution to the Empirics of Economic Growth. </w:t>
      </w:r>
      <w:r w:rsidRPr="00A52211">
        <w:rPr>
          <w:rFonts w:ascii="Times New Roman" w:hAnsi="Times New Roman" w:cs="Times New Roman"/>
          <w:i/>
          <w:noProof/>
          <w:sz w:val="24"/>
          <w:szCs w:val="20"/>
        </w:rPr>
        <w:t>The Quarterly Journal of Economics, 107</w:t>
      </w:r>
      <w:r w:rsidRPr="00A52211">
        <w:rPr>
          <w:rFonts w:ascii="Times New Roman" w:hAnsi="Times New Roman" w:cs="Times New Roman"/>
          <w:noProof/>
          <w:sz w:val="24"/>
          <w:szCs w:val="20"/>
        </w:rPr>
        <w:t xml:space="preserve">(2), 407-437. </w:t>
      </w:r>
      <w:bookmarkEnd w:id="19"/>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20" w:name="_ENREF_20"/>
      <w:r w:rsidRPr="00A52211">
        <w:rPr>
          <w:rFonts w:ascii="Times New Roman" w:hAnsi="Times New Roman" w:cs="Times New Roman"/>
          <w:noProof/>
          <w:sz w:val="24"/>
          <w:szCs w:val="20"/>
        </w:rPr>
        <w:t xml:space="preserve">Psacharopoulos, G., &amp; Schultz, T.W. (1984). </w:t>
      </w:r>
      <w:r w:rsidRPr="00A52211">
        <w:rPr>
          <w:rFonts w:ascii="Times New Roman" w:hAnsi="Times New Roman" w:cs="Times New Roman"/>
          <w:i/>
          <w:noProof/>
          <w:sz w:val="24"/>
          <w:szCs w:val="20"/>
        </w:rPr>
        <w:t>The Contribution of Education to Economic Growth: International Comparisons</w:t>
      </w:r>
      <w:r w:rsidRPr="00A52211">
        <w:rPr>
          <w:rFonts w:ascii="Times New Roman" w:hAnsi="Times New Roman" w:cs="Times New Roman"/>
          <w:noProof/>
          <w:sz w:val="24"/>
          <w:szCs w:val="20"/>
        </w:rPr>
        <w:t>: World Bank.</w:t>
      </w:r>
      <w:bookmarkEnd w:id="20"/>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21" w:name="_ENREF_21"/>
      <w:r w:rsidRPr="00A52211">
        <w:rPr>
          <w:rFonts w:ascii="Times New Roman" w:hAnsi="Times New Roman" w:cs="Times New Roman"/>
          <w:noProof/>
          <w:sz w:val="24"/>
          <w:szCs w:val="20"/>
        </w:rPr>
        <w:t xml:space="preserve">Romer, P. M. (1990). Human Capital and Growth: Theory and Evidence. </w:t>
      </w:r>
      <w:r w:rsidRPr="00A52211">
        <w:rPr>
          <w:rFonts w:ascii="Times New Roman" w:hAnsi="Times New Roman" w:cs="Times New Roman"/>
          <w:i/>
          <w:noProof/>
          <w:sz w:val="24"/>
          <w:szCs w:val="20"/>
        </w:rPr>
        <w:t>Carnegie-Rochester Conference Series on Public Policy, 32</w:t>
      </w:r>
      <w:r w:rsidRPr="00A52211">
        <w:rPr>
          <w:rFonts w:ascii="Times New Roman" w:hAnsi="Times New Roman" w:cs="Times New Roman"/>
          <w:noProof/>
          <w:sz w:val="24"/>
          <w:szCs w:val="20"/>
        </w:rPr>
        <w:t xml:space="preserve">(1), 251-286. </w:t>
      </w:r>
      <w:bookmarkEnd w:id="21"/>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22" w:name="_ENREF_22"/>
      <w:r w:rsidRPr="00A52211">
        <w:rPr>
          <w:rFonts w:ascii="Times New Roman" w:hAnsi="Times New Roman" w:cs="Times New Roman"/>
          <w:noProof/>
          <w:sz w:val="24"/>
          <w:szCs w:val="20"/>
        </w:rPr>
        <w:t xml:space="preserve">Sarı, R., &amp; Soytaş, U. (2006). Income and Education in Turkey: A Multivariate Analysis. </w:t>
      </w:r>
      <w:r w:rsidRPr="00A52211">
        <w:rPr>
          <w:rFonts w:ascii="Times New Roman" w:hAnsi="Times New Roman" w:cs="Times New Roman"/>
          <w:i/>
          <w:noProof/>
          <w:sz w:val="24"/>
          <w:szCs w:val="20"/>
        </w:rPr>
        <w:t>Education Economics, 14</w:t>
      </w:r>
      <w:r w:rsidRPr="00A52211">
        <w:rPr>
          <w:rFonts w:ascii="Times New Roman" w:hAnsi="Times New Roman" w:cs="Times New Roman"/>
          <w:noProof/>
          <w:sz w:val="24"/>
          <w:szCs w:val="20"/>
        </w:rPr>
        <w:t xml:space="preserve">(2), 181-196. </w:t>
      </w:r>
      <w:bookmarkEnd w:id="22"/>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23" w:name="_ENREF_23"/>
      <w:r w:rsidRPr="00A52211">
        <w:rPr>
          <w:rFonts w:ascii="Times New Roman" w:hAnsi="Times New Roman" w:cs="Times New Roman"/>
          <w:noProof/>
          <w:sz w:val="24"/>
          <w:szCs w:val="20"/>
        </w:rPr>
        <w:t xml:space="preserve">Schultz, T. W. (1961). Investment in Human Capital. </w:t>
      </w:r>
      <w:r w:rsidRPr="00A52211">
        <w:rPr>
          <w:rFonts w:ascii="Times New Roman" w:hAnsi="Times New Roman" w:cs="Times New Roman"/>
          <w:i/>
          <w:noProof/>
          <w:sz w:val="24"/>
          <w:szCs w:val="20"/>
        </w:rPr>
        <w:t>The American Economic Review, 51</w:t>
      </w:r>
      <w:r w:rsidRPr="00A52211">
        <w:rPr>
          <w:rFonts w:ascii="Times New Roman" w:hAnsi="Times New Roman" w:cs="Times New Roman"/>
          <w:noProof/>
          <w:sz w:val="24"/>
          <w:szCs w:val="20"/>
        </w:rPr>
        <w:t xml:space="preserve">(1), 1-17. </w:t>
      </w:r>
      <w:bookmarkEnd w:id="23"/>
    </w:p>
    <w:p w:rsidR="00CC1BD3" w:rsidRPr="00A52211" w:rsidRDefault="00CC1BD3" w:rsidP="00CC1BD3">
      <w:pPr>
        <w:spacing w:after="120" w:line="240" w:lineRule="auto"/>
        <w:ind w:left="720" w:hanging="720"/>
        <w:rPr>
          <w:rFonts w:ascii="Times New Roman" w:hAnsi="Times New Roman" w:cs="Times New Roman"/>
          <w:noProof/>
          <w:sz w:val="24"/>
          <w:szCs w:val="20"/>
        </w:rPr>
      </w:pPr>
      <w:bookmarkStart w:id="24" w:name="_ENREF_24"/>
      <w:r w:rsidRPr="00A52211">
        <w:rPr>
          <w:rFonts w:ascii="Times New Roman" w:hAnsi="Times New Roman" w:cs="Times New Roman"/>
          <w:noProof/>
          <w:sz w:val="24"/>
          <w:szCs w:val="20"/>
        </w:rPr>
        <w:t xml:space="preserve">Spence, A. M. (1974). Competitive and Optimal Responses to Signals: An Analysis of Efficiency and Distribution. </w:t>
      </w:r>
      <w:r w:rsidRPr="00A52211">
        <w:rPr>
          <w:rFonts w:ascii="Times New Roman" w:hAnsi="Times New Roman" w:cs="Times New Roman"/>
          <w:i/>
          <w:noProof/>
          <w:sz w:val="24"/>
          <w:szCs w:val="20"/>
        </w:rPr>
        <w:t>Journal of Economic Theory, 7</w:t>
      </w:r>
      <w:r w:rsidRPr="00A52211">
        <w:rPr>
          <w:rFonts w:ascii="Times New Roman" w:hAnsi="Times New Roman" w:cs="Times New Roman"/>
          <w:noProof/>
          <w:sz w:val="24"/>
          <w:szCs w:val="20"/>
        </w:rPr>
        <w:t xml:space="preserve">(3), 296-332. </w:t>
      </w:r>
      <w:bookmarkEnd w:id="24"/>
    </w:p>
    <w:p w:rsidR="00892A88" w:rsidRPr="00A52211" w:rsidRDefault="00892A88" w:rsidP="00CC1BD3">
      <w:pPr>
        <w:spacing w:after="120" w:line="240" w:lineRule="auto"/>
        <w:ind w:left="720" w:hanging="720"/>
        <w:rPr>
          <w:rFonts w:ascii="Times New Roman" w:hAnsi="Times New Roman" w:cs="Times New Roman"/>
          <w:color w:val="000000" w:themeColor="text1"/>
          <w:sz w:val="24"/>
        </w:rPr>
      </w:pPr>
      <w:bookmarkStart w:id="25" w:name="_ENREF_25"/>
      <w:r w:rsidRPr="00A52211">
        <w:rPr>
          <w:rFonts w:ascii="Times New Roman" w:hAnsi="Times New Roman" w:cs="Times New Roman"/>
          <w:color w:val="000000" w:themeColor="text1"/>
          <w:sz w:val="24"/>
        </w:rPr>
        <w:t xml:space="preserve">Spring, J. (2015). Economization of Education: Human Capital, Global Corporations, Skills-Based Schooling. New York: Taylor &amp; Francis. </w:t>
      </w:r>
    </w:p>
    <w:p w:rsidR="00CC1BD3" w:rsidRPr="00A52211" w:rsidRDefault="00CC1BD3" w:rsidP="00CC1BD3">
      <w:pPr>
        <w:spacing w:after="120" w:line="240" w:lineRule="auto"/>
        <w:ind w:left="720" w:hanging="720"/>
        <w:rPr>
          <w:rFonts w:ascii="Times New Roman" w:hAnsi="Times New Roman" w:cs="Times New Roman"/>
          <w:noProof/>
          <w:sz w:val="24"/>
          <w:szCs w:val="20"/>
        </w:rPr>
      </w:pPr>
      <w:r w:rsidRPr="00A52211">
        <w:rPr>
          <w:rFonts w:ascii="Times New Roman" w:hAnsi="Times New Roman" w:cs="Times New Roman"/>
          <w:noProof/>
          <w:sz w:val="24"/>
          <w:szCs w:val="20"/>
        </w:rPr>
        <w:t xml:space="preserve">Türkmen, F. (2002). </w:t>
      </w:r>
      <w:r w:rsidRPr="00A52211">
        <w:rPr>
          <w:rFonts w:ascii="Times New Roman" w:hAnsi="Times New Roman" w:cs="Times New Roman"/>
          <w:i/>
          <w:noProof/>
          <w:sz w:val="24"/>
          <w:szCs w:val="20"/>
        </w:rPr>
        <w:t>Eğitimin Ekonomik ve Sosyal Faydaları ve Türkiye'de Eğitim Ekonomik Büyüme İlişkisinin Araştırılması</w:t>
      </w:r>
      <w:r w:rsidRPr="00A52211">
        <w:rPr>
          <w:rFonts w:ascii="Times New Roman" w:hAnsi="Times New Roman" w:cs="Times New Roman"/>
          <w:noProof/>
          <w:sz w:val="24"/>
          <w:szCs w:val="20"/>
        </w:rPr>
        <w:t>. Ankara: DPT Yayını.</w:t>
      </w:r>
      <w:bookmarkEnd w:id="25"/>
    </w:p>
    <w:p w:rsidR="00892A88" w:rsidRPr="00A52211" w:rsidRDefault="00CC1BD3" w:rsidP="00892A88">
      <w:pPr>
        <w:spacing w:after="120" w:line="240" w:lineRule="auto"/>
        <w:ind w:left="720" w:hanging="720"/>
        <w:rPr>
          <w:rFonts w:ascii="Times New Roman" w:hAnsi="Times New Roman" w:cs="Times New Roman"/>
          <w:sz w:val="24"/>
          <w:szCs w:val="20"/>
        </w:rPr>
      </w:pPr>
      <w:bookmarkStart w:id="26" w:name="_ENREF_26"/>
      <w:r w:rsidRPr="00A52211">
        <w:rPr>
          <w:rFonts w:ascii="Times New Roman" w:hAnsi="Times New Roman" w:cs="Times New Roman"/>
          <w:noProof/>
          <w:sz w:val="24"/>
          <w:szCs w:val="20"/>
        </w:rPr>
        <w:t xml:space="preserve">Ünal, I. (1993). </w:t>
      </w:r>
      <w:r w:rsidRPr="00A52211">
        <w:rPr>
          <w:rFonts w:ascii="Times New Roman" w:hAnsi="Times New Roman" w:cs="Times New Roman"/>
          <w:i/>
          <w:noProof/>
          <w:sz w:val="24"/>
          <w:szCs w:val="20"/>
        </w:rPr>
        <w:t>Eğitimin Ekonomik Rolü ve Türkiye ile İlgili Bulgular</w:t>
      </w:r>
      <w:r w:rsidRPr="00A52211">
        <w:rPr>
          <w:rFonts w:ascii="Times New Roman" w:hAnsi="Times New Roman" w:cs="Times New Roman"/>
          <w:noProof/>
          <w:sz w:val="24"/>
          <w:szCs w:val="20"/>
        </w:rPr>
        <w:t xml:space="preserve"> (Vol. Tebliğler-2). Üçüncü İzmir İktisat Kongresi: T.C. Başbakanlık, Devlet Planlama Teşkilatı.</w:t>
      </w:r>
      <w:bookmarkEnd w:id="26"/>
      <w:r w:rsidRPr="00A52211">
        <w:rPr>
          <w:rFonts w:ascii="Times New Roman" w:hAnsi="Times New Roman" w:cs="Times New Roman"/>
          <w:sz w:val="24"/>
          <w:szCs w:val="20"/>
        </w:rPr>
        <w:fldChar w:fldCharType="end"/>
      </w:r>
    </w:p>
    <w:p w:rsidR="00942AA3" w:rsidRPr="00B851FC" w:rsidRDefault="00986757" w:rsidP="00B851FC">
      <w:pPr>
        <w:spacing w:after="120" w:line="240" w:lineRule="auto"/>
        <w:ind w:left="720" w:hanging="720"/>
        <w:rPr>
          <w:rFonts w:ascii="Times New Roman" w:hAnsi="Times New Roman" w:cs="Times New Roman"/>
          <w:color w:val="000000" w:themeColor="text1"/>
          <w:sz w:val="24"/>
        </w:rPr>
      </w:pPr>
      <w:hyperlink r:id="rId8" w:history="1">
        <w:r w:rsidR="00892A88" w:rsidRPr="00A52211">
          <w:rPr>
            <w:rStyle w:val="Kpr"/>
            <w:rFonts w:ascii="Times New Roman" w:hAnsi="Times New Roman" w:cs="Times New Roman"/>
            <w:color w:val="000000" w:themeColor="text1"/>
            <w:sz w:val="24"/>
            <w:u w:val="none"/>
            <w:bdr w:val="none" w:sz="0" w:space="0" w:color="auto" w:frame="1"/>
          </w:rPr>
          <w:t>Wantchekon</w:t>
        </w:r>
      </w:hyperlink>
      <w:r w:rsidR="00892A88" w:rsidRPr="00A52211">
        <w:rPr>
          <w:rStyle w:val="al-author-name"/>
          <w:rFonts w:ascii="Times New Roman" w:hAnsi="Times New Roman" w:cs="Times New Roman"/>
          <w:color w:val="000000" w:themeColor="text1"/>
          <w:sz w:val="24"/>
          <w:bdr w:val="none" w:sz="0" w:space="0" w:color="auto" w:frame="1"/>
        </w:rPr>
        <w:t xml:space="preserve"> L., </w:t>
      </w:r>
      <w:r w:rsidR="00892A88" w:rsidRPr="00A52211">
        <w:rPr>
          <w:rFonts w:ascii="Times New Roman" w:hAnsi="Times New Roman" w:cs="Times New Roman"/>
          <w:color w:val="000000" w:themeColor="text1"/>
          <w:sz w:val="24"/>
        </w:rPr>
        <w:t> </w:t>
      </w:r>
      <w:hyperlink r:id="rId9" w:history="1">
        <w:r w:rsidR="00892A88" w:rsidRPr="00A52211">
          <w:rPr>
            <w:rStyle w:val="Kpr"/>
            <w:rFonts w:ascii="Times New Roman" w:hAnsi="Times New Roman" w:cs="Times New Roman"/>
            <w:color w:val="000000" w:themeColor="text1"/>
            <w:sz w:val="24"/>
            <w:u w:val="none"/>
            <w:bdr w:val="none" w:sz="0" w:space="0" w:color="auto" w:frame="1"/>
          </w:rPr>
          <w:t>Klašnja</w:t>
        </w:r>
      </w:hyperlink>
      <w:r w:rsidR="00892A88" w:rsidRPr="00A52211">
        <w:rPr>
          <w:rStyle w:val="al-author-name"/>
          <w:rFonts w:ascii="Times New Roman" w:hAnsi="Times New Roman" w:cs="Times New Roman"/>
          <w:color w:val="000000" w:themeColor="text1"/>
          <w:sz w:val="24"/>
          <w:bdr w:val="none" w:sz="0" w:space="0" w:color="auto" w:frame="1"/>
        </w:rPr>
        <w:t xml:space="preserve"> M. &amp;</w:t>
      </w:r>
      <w:r w:rsidR="00892A88" w:rsidRPr="00A52211">
        <w:rPr>
          <w:rFonts w:ascii="Times New Roman" w:hAnsi="Times New Roman" w:cs="Times New Roman"/>
          <w:color w:val="000000" w:themeColor="text1"/>
          <w:sz w:val="24"/>
        </w:rPr>
        <w:t> </w:t>
      </w:r>
      <w:hyperlink r:id="rId10" w:history="1">
        <w:r w:rsidR="00892A88" w:rsidRPr="00A52211">
          <w:rPr>
            <w:rStyle w:val="Kpr"/>
            <w:rFonts w:ascii="Times New Roman" w:hAnsi="Times New Roman" w:cs="Times New Roman"/>
            <w:color w:val="000000" w:themeColor="text1"/>
            <w:sz w:val="24"/>
            <w:u w:val="none"/>
            <w:bdr w:val="none" w:sz="0" w:space="0" w:color="auto" w:frame="1"/>
          </w:rPr>
          <w:t>Novta</w:t>
        </w:r>
      </w:hyperlink>
      <w:r w:rsidR="00892A88" w:rsidRPr="00A52211">
        <w:rPr>
          <w:rStyle w:val="al-author-name"/>
          <w:rFonts w:ascii="Times New Roman" w:hAnsi="Times New Roman" w:cs="Times New Roman"/>
          <w:color w:val="000000" w:themeColor="text1"/>
          <w:sz w:val="24"/>
          <w:bdr w:val="none" w:sz="0" w:space="0" w:color="auto" w:frame="1"/>
        </w:rPr>
        <w:t xml:space="preserve"> N. (2015). </w:t>
      </w:r>
      <w:r w:rsidR="00892A88" w:rsidRPr="00A52211">
        <w:rPr>
          <w:rFonts w:ascii="Times New Roman" w:hAnsi="Times New Roman" w:cs="Times New Roman"/>
          <w:color w:val="000000" w:themeColor="text1"/>
          <w:sz w:val="24"/>
        </w:rPr>
        <w:t>Education and Human Capital Externalities: Evidence from Colonial Benin,</w:t>
      </w:r>
      <w:r w:rsidR="00892A88" w:rsidRPr="00A52211">
        <w:rPr>
          <w:rStyle w:val="Vurgu"/>
          <w:rFonts w:ascii="Times New Roman" w:hAnsi="Times New Roman" w:cs="Times New Roman"/>
          <w:color w:val="000000" w:themeColor="text1"/>
          <w:sz w:val="24"/>
          <w:bdr w:val="none" w:sz="0" w:space="0" w:color="auto" w:frame="1"/>
        </w:rPr>
        <w:t xml:space="preserve"> The Quarterly Journal of Economics</w:t>
      </w:r>
      <w:r w:rsidR="00892A88" w:rsidRPr="00A52211">
        <w:rPr>
          <w:rFonts w:ascii="Times New Roman" w:hAnsi="Times New Roman" w:cs="Times New Roman"/>
          <w:color w:val="000000" w:themeColor="text1"/>
          <w:sz w:val="24"/>
        </w:rPr>
        <w:t>, 130 (2), 703–757.</w:t>
      </w:r>
    </w:p>
    <w:sectPr w:rsidR="00942AA3" w:rsidRPr="00B851FC" w:rsidSect="000B08A4">
      <w:headerReference w:type="default" r:id="rId11"/>
      <w:footerReference w:type="default" r:id="rId12"/>
      <w:pgSz w:w="11906" w:h="16838"/>
      <w:pgMar w:top="1417" w:right="1417" w:bottom="1417" w:left="1417" w:header="708" w:footer="708" w:gutter="0"/>
      <w:pgNumType w:start="4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57" w:rsidRDefault="00986757" w:rsidP="0023606D">
      <w:pPr>
        <w:spacing w:after="0" w:line="240" w:lineRule="auto"/>
      </w:pPr>
      <w:r>
        <w:separator/>
      </w:r>
    </w:p>
  </w:endnote>
  <w:endnote w:type="continuationSeparator" w:id="0">
    <w:p w:rsidR="00986757" w:rsidRDefault="00986757" w:rsidP="0023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Impact">
    <w:panose1 w:val="020B0806030902050204"/>
    <w:charset w:val="A2"/>
    <w:family w:val="swiss"/>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897207"/>
      <w:docPartObj>
        <w:docPartGallery w:val="Page Numbers (Bottom of Page)"/>
        <w:docPartUnique/>
      </w:docPartObj>
    </w:sdtPr>
    <w:sdtEndPr/>
    <w:sdtContent>
      <w:p w:rsidR="00F12A6D" w:rsidRDefault="00F12A6D">
        <w:pPr>
          <w:pStyle w:val="AltBilgi"/>
          <w:jc w:val="right"/>
        </w:pPr>
        <w:r>
          <w:fldChar w:fldCharType="begin"/>
        </w:r>
        <w:r>
          <w:instrText>PAGE   \* MERGEFORMAT</w:instrText>
        </w:r>
        <w:r>
          <w:fldChar w:fldCharType="separate"/>
        </w:r>
        <w:r w:rsidR="00DE3125">
          <w:rPr>
            <w:noProof/>
          </w:rPr>
          <w:t>46</w:t>
        </w:r>
        <w:r>
          <w:fldChar w:fldCharType="end"/>
        </w:r>
      </w:p>
    </w:sdtContent>
  </w:sdt>
  <w:p w:rsidR="00F12A6D" w:rsidRDefault="00F12A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57" w:rsidRDefault="00986757" w:rsidP="0023606D">
      <w:pPr>
        <w:spacing w:after="0" w:line="240" w:lineRule="auto"/>
      </w:pPr>
      <w:r>
        <w:separator/>
      </w:r>
    </w:p>
  </w:footnote>
  <w:footnote w:type="continuationSeparator" w:id="0">
    <w:p w:rsidR="00986757" w:rsidRDefault="00986757" w:rsidP="00236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6D" w:rsidRDefault="00F12A6D" w:rsidP="0023606D">
    <w:pPr>
      <w:spacing w:after="0" w:line="240" w:lineRule="auto"/>
      <w:rPr>
        <w:bCs/>
        <w:i/>
        <w:sz w:val="20"/>
        <w:szCs w:val="20"/>
        <w:shd w:val="clear" w:color="auto" w:fill="FFFFFF"/>
        <w:lang w:val="en-MY"/>
      </w:rPr>
    </w:pPr>
    <w:r>
      <w:rPr>
        <w:bCs/>
        <w:i/>
        <w:sz w:val="20"/>
        <w:szCs w:val="20"/>
        <w:shd w:val="clear" w:color="auto" w:fill="FFFFFF"/>
        <w:lang w:val="en-MY"/>
      </w:rPr>
      <w:t>Aras O.N.</w:t>
    </w:r>
    <w:r w:rsidR="00DE3125">
      <w:rPr>
        <w:bCs/>
        <w:i/>
        <w:sz w:val="20"/>
        <w:szCs w:val="20"/>
        <w:shd w:val="clear" w:color="auto" w:fill="FFFFFF"/>
        <w:lang w:val="en-MY"/>
      </w:rPr>
      <w:t xml:space="preserve"> and Öztürk M.</w:t>
    </w:r>
  </w:p>
  <w:p w:rsidR="00F12A6D" w:rsidRPr="0023606D" w:rsidRDefault="00F12A6D" w:rsidP="0023606D">
    <w:pPr>
      <w:spacing w:after="0" w:line="240" w:lineRule="auto"/>
      <w:rPr>
        <w:szCs w:val="24"/>
        <w:lang w:val="en-GB"/>
      </w:rPr>
    </w:pPr>
    <w:r>
      <w:rPr>
        <w:bCs/>
        <w:i/>
        <w:sz w:val="20"/>
        <w:szCs w:val="20"/>
        <w:shd w:val="clear" w:color="auto" w:fill="FFFFFF"/>
        <w:lang w:val="en-MY"/>
      </w:rPr>
      <w:t>/ Journal of Management, Economics, and Industrial Organization, Vol.1 No.2, 2017, pp.45-62.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4803"/>
    <w:rsid w:val="00000D55"/>
    <w:rsid w:val="0001179A"/>
    <w:rsid w:val="00020783"/>
    <w:rsid w:val="000334D4"/>
    <w:rsid w:val="000718A9"/>
    <w:rsid w:val="000B08A4"/>
    <w:rsid w:val="000C27CF"/>
    <w:rsid w:val="000C4702"/>
    <w:rsid w:val="000D5FCB"/>
    <w:rsid w:val="000E6A03"/>
    <w:rsid w:val="0010004F"/>
    <w:rsid w:val="00104803"/>
    <w:rsid w:val="001223B5"/>
    <w:rsid w:val="00126DB6"/>
    <w:rsid w:val="0014241F"/>
    <w:rsid w:val="00162445"/>
    <w:rsid w:val="00165679"/>
    <w:rsid w:val="00175C29"/>
    <w:rsid w:val="001A28E1"/>
    <w:rsid w:val="001A3C47"/>
    <w:rsid w:val="001D27CC"/>
    <w:rsid w:val="001F0BA3"/>
    <w:rsid w:val="001F788F"/>
    <w:rsid w:val="00201BCD"/>
    <w:rsid w:val="00231047"/>
    <w:rsid w:val="0023606D"/>
    <w:rsid w:val="0024261E"/>
    <w:rsid w:val="002632C4"/>
    <w:rsid w:val="002823F9"/>
    <w:rsid w:val="00293A8E"/>
    <w:rsid w:val="00294309"/>
    <w:rsid w:val="002A5A81"/>
    <w:rsid w:val="002B3A71"/>
    <w:rsid w:val="00300008"/>
    <w:rsid w:val="0034268E"/>
    <w:rsid w:val="00356EFF"/>
    <w:rsid w:val="00360F45"/>
    <w:rsid w:val="00386CD9"/>
    <w:rsid w:val="003B42D3"/>
    <w:rsid w:val="003C2A91"/>
    <w:rsid w:val="003F1453"/>
    <w:rsid w:val="00430D65"/>
    <w:rsid w:val="0043459D"/>
    <w:rsid w:val="004424F7"/>
    <w:rsid w:val="004458C0"/>
    <w:rsid w:val="00492E36"/>
    <w:rsid w:val="00497B7C"/>
    <w:rsid w:val="004A0DB4"/>
    <w:rsid w:val="004C214D"/>
    <w:rsid w:val="004E450D"/>
    <w:rsid w:val="004F111F"/>
    <w:rsid w:val="005013C9"/>
    <w:rsid w:val="005046F3"/>
    <w:rsid w:val="005350E9"/>
    <w:rsid w:val="005641EC"/>
    <w:rsid w:val="00566317"/>
    <w:rsid w:val="005758CC"/>
    <w:rsid w:val="00577D5E"/>
    <w:rsid w:val="005877CF"/>
    <w:rsid w:val="006018D5"/>
    <w:rsid w:val="00607B49"/>
    <w:rsid w:val="006347CE"/>
    <w:rsid w:val="0063598B"/>
    <w:rsid w:val="006426F1"/>
    <w:rsid w:val="006603AE"/>
    <w:rsid w:val="00661406"/>
    <w:rsid w:val="006C6F6D"/>
    <w:rsid w:val="006E40A3"/>
    <w:rsid w:val="006E668F"/>
    <w:rsid w:val="00704897"/>
    <w:rsid w:val="0071528E"/>
    <w:rsid w:val="007448B0"/>
    <w:rsid w:val="00751C25"/>
    <w:rsid w:val="00756855"/>
    <w:rsid w:val="00761E93"/>
    <w:rsid w:val="007B20CE"/>
    <w:rsid w:val="007B2622"/>
    <w:rsid w:val="007D5DF2"/>
    <w:rsid w:val="008041FF"/>
    <w:rsid w:val="00860A58"/>
    <w:rsid w:val="00892A88"/>
    <w:rsid w:val="008B270A"/>
    <w:rsid w:val="008D51FE"/>
    <w:rsid w:val="008F26AE"/>
    <w:rsid w:val="00942AA3"/>
    <w:rsid w:val="0094472B"/>
    <w:rsid w:val="00957B05"/>
    <w:rsid w:val="00957D08"/>
    <w:rsid w:val="00986757"/>
    <w:rsid w:val="00987CB6"/>
    <w:rsid w:val="00992701"/>
    <w:rsid w:val="009D446A"/>
    <w:rsid w:val="009D73D2"/>
    <w:rsid w:val="009E1028"/>
    <w:rsid w:val="009E69CF"/>
    <w:rsid w:val="00A02D66"/>
    <w:rsid w:val="00A23566"/>
    <w:rsid w:val="00A27D42"/>
    <w:rsid w:val="00A43DCE"/>
    <w:rsid w:val="00A52211"/>
    <w:rsid w:val="00A60E4D"/>
    <w:rsid w:val="00A94D58"/>
    <w:rsid w:val="00AE4898"/>
    <w:rsid w:val="00AF7455"/>
    <w:rsid w:val="00B2206E"/>
    <w:rsid w:val="00B22FED"/>
    <w:rsid w:val="00B6535D"/>
    <w:rsid w:val="00B851FC"/>
    <w:rsid w:val="00BA168A"/>
    <w:rsid w:val="00BD0AD7"/>
    <w:rsid w:val="00C15D09"/>
    <w:rsid w:val="00C36586"/>
    <w:rsid w:val="00C62A43"/>
    <w:rsid w:val="00CA0D14"/>
    <w:rsid w:val="00CB1192"/>
    <w:rsid w:val="00CC1BD3"/>
    <w:rsid w:val="00D067C5"/>
    <w:rsid w:val="00D14E46"/>
    <w:rsid w:val="00D22185"/>
    <w:rsid w:val="00D31EA8"/>
    <w:rsid w:val="00D43988"/>
    <w:rsid w:val="00D46A1F"/>
    <w:rsid w:val="00D51229"/>
    <w:rsid w:val="00D56570"/>
    <w:rsid w:val="00D80E89"/>
    <w:rsid w:val="00D95DB7"/>
    <w:rsid w:val="00DC1904"/>
    <w:rsid w:val="00DE3125"/>
    <w:rsid w:val="00DF532F"/>
    <w:rsid w:val="00E16A92"/>
    <w:rsid w:val="00E2602F"/>
    <w:rsid w:val="00E52317"/>
    <w:rsid w:val="00E94F4F"/>
    <w:rsid w:val="00EB1AB1"/>
    <w:rsid w:val="00ED6AD7"/>
    <w:rsid w:val="00F10733"/>
    <w:rsid w:val="00F12A6D"/>
    <w:rsid w:val="00F13862"/>
    <w:rsid w:val="00F150C1"/>
    <w:rsid w:val="00F32FDD"/>
    <w:rsid w:val="00F5471D"/>
    <w:rsid w:val="00FA25F8"/>
    <w:rsid w:val="00FB2239"/>
    <w:rsid w:val="00FF1C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74601D"/>
  <w15:docId w15:val="{13C7A598-522E-4B4D-822F-4F5341B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A3"/>
  </w:style>
  <w:style w:type="paragraph" w:styleId="Balk1">
    <w:name w:val="heading 1"/>
    <w:basedOn w:val="Normal"/>
    <w:next w:val="Normal"/>
    <w:link w:val="Balk1Char"/>
    <w:uiPriority w:val="9"/>
    <w:qFormat/>
    <w:rsid w:val="003B42D3"/>
    <w:pPr>
      <w:keepNext/>
      <w:keepLines/>
      <w:spacing w:before="480" w:after="0" w:line="360" w:lineRule="auto"/>
      <w:ind w:left="567"/>
      <w:jc w:val="both"/>
      <w:outlineLvl w:val="0"/>
    </w:pPr>
    <w:rPr>
      <w:rFonts w:asciiTheme="majorHAnsi" w:eastAsiaTheme="majorEastAsia" w:hAnsiTheme="majorHAnsi" w:cstheme="majorBidi"/>
      <w:b/>
      <w:bCs/>
      <w:noProof/>
      <w:color w:val="365F91" w:themeColor="accent1" w:themeShade="BF"/>
      <w:sz w:val="28"/>
      <w:szCs w:val="28"/>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C1BD3"/>
    <w:rPr>
      <w:color w:val="0000FF"/>
      <w:u w:val="single"/>
    </w:rPr>
  </w:style>
  <w:style w:type="table" w:styleId="TabloKlavuzu">
    <w:name w:val="Table Grid"/>
    <w:basedOn w:val="NormalTablo"/>
    <w:uiPriority w:val="59"/>
    <w:rsid w:val="00C62A4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60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606D"/>
  </w:style>
  <w:style w:type="paragraph" w:styleId="AltBilgi">
    <w:name w:val="footer"/>
    <w:basedOn w:val="Normal"/>
    <w:link w:val="AltBilgiChar"/>
    <w:uiPriority w:val="99"/>
    <w:unhideWhenUsed/>
    <w:rsid w:val="002360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606D"/>
  </w:style>
  <w:style w:type="character" w:customStyle="1" w:styleId="Balk1Char">
    <w:name w:val="Başlık 1 Char"/>
    <w:basedOn w:val="VarsaylanParagrafYazTipi"/>
    <w:link w:val="Balk1"/>
    <w:uiPriority w:val="9"/>
    <w:rsid w:val="003B42D3"/>
    <w:rPr>
      <w:rFonts w:asciiTheme="majorHAnsi" w:eastAsiaTheme="majorEastAsia" w:hAnsiTheme="majorHAnsi" w:cstheme="majorBidi"/>
      <w:b/>
      <w:bCs/>
      <w:noProof/>
      <w:color w:val="365F91" w:themeColor="accent1" w:themeShade="BF"/>
      <w:sz w:val="28"/>
      <w:szCs w:val="28"/>
      <w:lang w:val="en-US" w:eastAsia="tr-TR"/>
    </w:rPr>
  </w:style>
  <w:style w:type="character" w:customStyle="1" w:styleId="f">
    <w:name w:val="f"/>
    <w:basedOn w:val="VarsaylanParagrafYazTipi"/>
    <w:rsid w:val="00F13862"/>
  </w:style>
  <w:style w:type="character" w:styleId="Vurgu">
    <w:name w:val="Emphasis"/>
    <w:basedOn w:val="VarsaylanParagrafYazTipi"/>
    <w:uiPriority w:val="20"/>
    <w:qFormat/>
    <w:rsid w:val="00F13862"/>
    <w:rPr>
      <w:i/>
      <w:iCs/>
    </w:rPr>
  </w:style>
  <w:style w:type="character" w:customStyle="1" w:styleId="al-author-name">
    <w:name w:val="al-author-name"/>
    <w:basedOn w:val="VarsaylanParagrafYazTipi"/>
    <w:rsid w:val="0089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12695">
      <w:bodyDiv w:val="1"/>
      <w:marLeft w:val="0"/>
      <w:marRight w:val="0"/>
      <w:marTop w:val="0"/>
      <w:marBottom w:val="0"/>
      <w:divBdr>
        <w:top w:val="none" w:sz="0" w:space="0" w:color="auto"/>
        <w:left w:val="none" w:sz="0" w:space="0" w:color="auto"/>
        <w:bottom w:val="none" w:sz="0" w:space="0" w:color="auto"/>
        <w:right w:val="none" w:sz="0" w:space="0" w:color="auto"/>
      </w:divBdr>
    </w:div>
    <w:div w:id="1927499279">
      <w:bodyDiv w:val="1"/>
      <w:marLeft w:val="0"/>
      <w:marRight w:val="0"/>
      <w:marTop w:val="0"/>
      <w:marBottom w:val="0"/>
      <w:divBdr>
        <w:top w:val="none" w:sz="0" w:space="0" w:color="auto"/>
        <w:left w:val="none" w:sz="0" w:space="0" w:color="auto"/>
        <w:bottom w:val="none" w:sz="0" w:space="0" w:color="auto"/>
        <w:right w:val="none" w:sz="0" w:space="0" w:color="auto"/>
      </w:divBdr>
      <w:divsChild>
        <w:div w:id="1580821449">
          <w:marLeft w:val="0"/>
          <w:marRight w:val="0"/>
          <w:marTop w:val="0"/>
          <w:marBottom w:val="0"/>
          <w:divBdr>
            <w:top w:val="none" w:sz="0" w:space="0" w:color="auto"/>
            <w:left w:val="none" w:sz="0" w:space="0" w:color="auto"/>
            <w:bottom w:val="none" w:sz="0" w:space="0" w:color="auto"/>
            <w:right w:val="none" w:sz="0" w:space="0" w:color="auto"/>
          </w:divBdr>
          <w:divsChild>
            <w:div w:id="1483735266">
              <w:marLeft w:val="0"/>
              <w:marRight w:val="0"/>
              <w:marTop w:val="0"/>
              <w:marBottom w:val="0"/>
              <w:divBdr>
                <w:top w:val="none" w:sz="0" w:space="0" w:color="auto"/>
                <w:left w:val="none" w:sz="0" w:space="0" w:color="auto"/>
                <w:bottom w:val="none" w:sz="0" w:space="0" w:color="auto"/>
                <w:right w:val="none" w:sz="0" w:space="0" w:color="auto"/>
              </w:divBdr>
            </w:div>
          </w:divsChild>
        </w:div>
        <w:div w:id="1948535583">
          <w:marLeft w:val="0"/>
          <w:marRight w:val="0"/>
          <w:marTop w:val="0"/>
          <w:marBottom w:val="0"/>
          <w:divBdr>
            <w:top w:val="none" w:sz="0" w:space="0" w:color="auto"/>
            <w:left w:val="none" w:sz="0" w:space="0" w:color="auto"/>
            <w:bottom w:val="none" w:sz="0" w:space="0" w:color="auto"/>
            <w:right w:val="none" w:sz="0" w:space="0" w:color="auto"/>
          </w:divBdr>
          <w:divsChild>
            <w:div w:id="832796340">
              <w:marLeft w:val="0"/>
              <w:marRight w:val="0"/>
              <w:marTop w:val="0"/>
              <w:marBottom w:val="0"/>
              <w:divBdr>
                <w:top w:val="none" w:sz="0" w:space="0" w:color="auto"/>
                <w:left w:val="none" w:sz="0" w:space="0" w:color="auto"/>
                <w:bottom w:val="none" w:sz="0" w:space="0" w:color="auto"/>
                <w:right w:val="none" w:sz="0" w:space="0" w:color="auto"/>
              </w:divBdr>
              <w:divsChild>
                <w:div w:id="6191901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bs.cenet.org.cn/uploadimages/20044132111560674.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18</Pages>
  <Words>8022</Words>
  <Characters>45728</Characters>
  <Application>Microsoft Office Word</Application>
  <DocSecurity>0</DocSecurity>
  <Lines>381</Lines>
  <Paragraphs>107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FU</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onaras</dc:creator>
  <cp:lastModifiedBy>Ona</cp:lastModifiedBy>
  <cp:revision>88</cp:revision>
  <dcterms:created xsi:type="dcterms:W3CDTF">2014-12-23T09:24:00Z</dcterms:created>
  <dcterms:modified xsi:type="dcterms:W3CDTF">2017-08-30T06:19:00Z</dcterms:modified>
</cp:coreProperties>
</file>