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62C95" w14:textId="7043D360" w:rsidR="00E10428" w:rsidRDefault="00E10428" w:rsidP="00E10428">
      <w:pPr>
        <w:spacing w:after="160"/>
        <w:jc w:val="center"/>
        <w:outlineLvl w:val="0"/>
        <w:rPr>
          <w:rFonts w:ascii="Arial" w:hAnsi="Arial" w:cs="Arial"/>
          <w:b/>
          <w:bCs/>
          <w:color w:val="000000"/>
          <w:sz w:val="28"/>
          <w:szCs w:val="28"/>
        </w:rPr>
      </w:pPr>
      <w:r>
        <w:rPr>
          <w:rFonts w:ascii="Arial" w:hAnsi="Arial" w:cs="Arial"/>
          <w:b/>
          <w:bCs/>
          <w:color w:val="000000"/>
          <w:sz w:val="28"/>
          <w:szCs w:val="28"/>
        </w:rPr>
        <w:t>Falling Rates of Marijuana Dependence Among Heavy Users</w:t>
      </w:r>
    </w:p>
    <w:p w14:paraId="7510EFB3" w14:textId="76E15312" w:rsidR="00E10428" w:rsidRDefault="00E10428" w:rsidP="00E10428">
      <w:pPr>
        <w:spacing w:after="160"/>
        <w:jc w:val="center"/>
        <w:outlineLvl w:val="0"/>
        <w:rPr>
          <w:rFonts w:ascii="Arial" w:hAnsi="Arial" w:cs="Arial"/>
          <w:b/>
          <w:bCs/>
          <w:color w:val="000000"/>
          <w:sz w:val="28"/>
          <w:szCs w:val="28"/>
        </w:rPr>
      </w:pPr>
      <w:r>
        <w:rPr>
          <w:rFonts w:ascii="Arial" w:hAnsi="Arial" w:cs="Arial"/>
          <w:b/>
          <w:bCs/>
          <w:color w:val="000000"/>
          <w:sz w:val="28"/>
          <w:szCs w:val="28"/>
        </w:rPr>
        <w:t>Steven Davenport</w:t>
      </w:r>
    </w:p>
    <w:p w14:paraId="2BF1D0BB" w14:textId="52BA521C" w:rsidR="00E10428" w:rsidRDefault="00E10428" w:rsidP="00E10428">
      <w:pPr>
        <w:spacing w:after="160"/>
        <w:jc w:val="center"/>
        <w:outlineLvl w:val="0"/>
        <w:rPr>
          <w:rFonts w:ascii="Arial" w:hAnsi="Arial" w:cs="Arial"/>
          <w:b/>
          <w:bCs/>
          <w:color w:val="000000"/>
          <w:sz w:val="28"/>
          <w:szCs w:val="28"/>
        </w:rPr>
      </w:pPr>
      <w:r>
        <w:rPr>
          <w:rFonts w:ascii="Arial" w:hAnsi="Arial" w:cs="Arial"/>
          <w:b/>
          <w:bCs/>
          <w:color w:val="000000"/>
          <w:sz w:val="28"/>
          <w:szCs w:val="28"/>
        </w:rPr>
        <w:t>Pardee RAND Graduate School</w:t>
      </w:r>
    </w:p>
    <w:p w14:paraId="50ECE333" w14:textId="77777777" w:rsidR="00757CD9" w:rsidRDefault="00757CD9" w:rsidP="00E10428">
      <w:pPr>
        <w:spacing w:after="160"/>
        <w:jc w:val="center"/>
        <w:outlineLvl w:val="0"/>
        <w:rPr>
          <w:rFonts w:ascii="Arial" w:hAnsi="Arial" w:cs="Arial"/>
          <w:b/>
          <w:bCs/>
          <w:color w:val="000000"/>
          <w:sz w:val="28"/>
          <w:szCs w:val="28"/>
        </w:rPr>
      </w:pPr>
    </w:p>
    <w:p w14:paraId="7F3C9732" w14:textId="6C2F5E5C" w:rsidR="00E10428" w:rsidRPr="00E711CA" w:rsidRDefault="00E10428" w:rsidP="00E711CA">
      <w:pPr>
        <w:spacing w:after="160"/>
        <w:jc w:val="center"/>
        <w:outlineLvl w:val="0"/>
        <w:rPr>
          <w:rFonts w:ascii="Arial" w:hAnsi="Arial" w:cs="Arial"/>
          <w:bCs/>
          <w:color w:val="000000"/>
        </w:rPr>
      </w:pPr>
      <w:r w:rsidRPr="00E10428">
        <w:rPr>
          <w:rFonts w:ascii="Arial" w:hAnsi="Arial" w:cs="Arial"/>
          <w:bCs/>
          <w:color w:val="000000"/>
          <w:sz w:val="28"/>
          <w:szCs w:val="28"/>
        </w:rPr>
        <w:t xml:space="preserve">doi to </w:t>
      </w:r>
      <w:r w:rsidRPr="00E711CA">
        <w:rPr>
          <w:rFonts w:ascii="Arial" w:hAnsi="Arial" w:cs="Arial"/>
          <w:bCs/>
          <w:color w:val="000000"/>
        </w:rPr>
        <w:t>published article: https://doi.org/10.1016/j.drugalcdep.2018.06.025</w:t>
      </w:r>
    </w:p>
    <w:p w14:paraId="4014FCC2" w14:textId="3A18DFE3" w:rsidR="00E10428" w:rsidRPr="00E711CA" w:rsidRDefault="00757CD9" w:rsidP="00E711CA">
      <w:pPr>
        <w:spacing w:after="160"/>
        <w:jc w:val="center"/>
        <w:outlineLvl w:val="0"/>
        <w:rPr>
          <w:rFonts w:ascii="Arial" w:hAnsi="Arial" w:cs="Arial"/>
          <w:bCs/>
          <w:color w:val="000000"/>
        </w:rPr>
      </w:pPr>
      <w:r w:rsidRPr="00E711CA">
        <w:rPr>
          <w:rFonts w:ascii="Arial" w:hAnsi="Arial" w:cs="Arial"/>
          <w:bCs/>
          <w:color w:val="000000"/>
        </w:rPr>
        <w:t>Submitted as manuscript on April 29, 2018</w:t>
      </w:r>
    </w:p>
    <w:p w14:paraId="456E98FC" w14:textId="77777777" w:rsidR="00757CD9" w:rsidRDefault="00757CD9">
      <w:pPr>
        <w:rPr>
          <w:rFonts w:ascii="Arial" w:hAnsi="Arial" w:cs="Arial"/>
          <w:b/>
          <w:bCs/>
          <w:color w:val="000000"/>
          <w:sz w:val="28"/>
          <w:szCs w:val="28"/>
        </w:rPr>
      </w:pPr>
      <w:r>
        <w:rPr>
          <w:rFonts w:ascii="Arial" w:hAnsi="Arial" w:cs="Arial"/>
          <w:b/>
          <w:bCs/>
          <w:color w:val="000000"/>
          <w:sz w:val="28"/>
          <w:szCs w:val="28"/>
        </w:rPr>
        <w:br w:type="page"/>
      </w:r>
    </w:p>
    <w:p w14:paraId="242CFF6B" w14:textId="2AD4EC00" w:rsidR="00550338" w:rsidRPr="003B50F6" w:rsidRDefault="00550338" w:rsidP="00550338">
      <w:pPr>
        <w:spacing w:after="160"/>
        <w:jc w:val="both"/>
        <w:outlineLvl w:val="0"/>
        <w:rPr>
          <w:rFonts w:ascii="Arial" w:hAnsi="Arial" w:cs="Arial"/>
          <w:sz w:val="28"/>
          <w:szCs w:val="28"/>
        </w:rPr>
      </w:pPr>
      <w:r>
        <w:rPr>
          <w:rFonts w:ascii="Arial" w:hAnsi="Arial" w:cs="Arial"/>
          <w:b/>
          <w:bCs/>
          <w:color w:val="000000"/>
          <w:sz w:val="28"/>
          <w:szCs w:val="28"/>
        </w:rPr>
        <w:lastRenderedPageBreak/>
        <w:t>Abstract</w:t>
      </w:r>
    </w:p>
    <w:p w14:paraId="6D4F8050" w14:textId="5CA2D735" w:rsidR="00CB6015" w:rsidRPr="00FA0610" w:rsidRDefault="00357856" w:rsidP="00CB6015">
      <w:pPr>
        <w:rPr>
          <w:rFonts w:ascii="Arial" w:hAnsi="Arial" w:cs="Arial"/>
          <w:b/>
        </w:rPr>
      </w:pPr>
      <w:bookmarkStart w:id="0" w:name="OLE_LINK11"/>
      <w:bookmarkStart w:id="1" w:name="OLE_LINK12"/>
      <w:r>
        <w:rPr>
          <w:rFonts w:ascii="Arial" w:hAnsi="Arial" w:cs="Arial"/>
          <w:b/>
        </w:rPr>
        <w:t>Introduction</w:t>
      </w:r>
    </w:p>
    <w:p w14:paraId="50620F3E" w14:textId="6C57ECDF" w:rsidR="00B02E92" w:rsidRDefault="00B02E92" w:rsidP="00B02E92">
      <w:pPr>
        <w:jc w:val="both"/>
        <w:rPr>
          <w:rFonts w:ascii="Arial" w:hAnsi="Arial" w:cs="Arial"/>
        </w:rPr>
      </w:pPr>
      <w:r>
        <w:rPr>
          <w:rFonts w:ascii="Arial" w:hAnsi="Arial" w:cs="Arial"/>
        </w:rPr>
        <w:t>Marijuana use has become increasingly popular in the United States since the turn of the century, and typical use patterns among current marijuana users have intensified, raising concerns for an increase in cannabis use disorders (CUDs). Yet the population prevalence of CUDs has mostly remained flat. We analyzed trends in DSM-IV marijuana dependence among Daily/Near-Daily (DND) users, both overall and by age and gender, and considered potential explanations.</w:t>
      </w:r>
    </w:p>
    <w:p w14:paraId="2BF81ECC" w14:textId="05A5799A" w:rsidR="00CB6015" w:rsidRPr="00FA0610" w:rsidRDefault="00CB6015" w:rsidP="009C0FE7">
      <w:pPr>
        <w:jc w:val="both"/>
        <w:rPr>
          <w:rFonts w:ascii="Arial" w:hAnsi="Arial" w:cs="Arial"/>
        </w:rPr>
      </w:pPr>
    </w:p>
    <w:p w14:paraId="68C2394B" w14:textId="77777777" w:rsidR="00CB6015" w:rsidRPr="00FA0610" w:rsidRDefault="00CB6015" w:rsidP="009C0FE7">
      <w:pPr>
        <w:jc w:val="both"/>
        <w:rPr>
          <w:rFonts w:ascii="Arial" w:hAnsi="Arial" w:cs="Arial"/>
          <w:b/>
        </w:rPr>
      </w:pPr>
      <w:r w:rsidRPr="00FA0610">
        <w:rPr>
          <w:rFonts w:ascii="Arial" w:hAnsi="Arial" w:cs="Arial"/>
          <w:b/>
        </w:rPr>
        <w:t>Methods</w:t>
      </w:r>
    </w:p>
    <w:p w14:paraId="7E1CF37E" w14:textId="4ACC0F86" w:rsidR="00CB6015" w:rsidRPr="00FA0610" w:rsidRDefault="005E083B" w:rsidP="00357856">
      <w:pPr>
        <w:jc w:val="both"/>
        <w:rPr>
          <w:rFonts w:ascii="Arial" w:hAnsi="Arial" w:cs="Arial"/>
        </w:rPr>
      </w:pPr>
      <w:r>
        <w:rPr>
          <w:rFonts w:ascii="Arial" w:hAnsi="Arial" w:cs="Arial"/>
        </w:rPr>
        <w:t xml:space="preserve">Using data </w:t>
      </w:r>
      <w:r w:rsidR="009E6251">
        <w:rPr>
          <w:rFonts w:ascii="Arial" w:hAnsi="Arial" w:cs="Arial"/>
        </w:rPr>
        <w:t xml:space="preserve">assembled </w:t>
      </w:r>
      <w:r>
        <w:rPr>
          <w:rFonts w:ascii="Arial" w:hAnsi="Arial" w:cs="Arial"/>
        </w:rPr>
        <w:t xml:space="preserve">from the National Survey on Drug Use and Health (2002-2016), rates of </w:t>
      </w:r>
      <w:r w:rsidR="009E6251">
        <w:rPr>
          <w:rFonts w:ascii="Arial" w:hAnsi="Arial" w:cs="Arial"/>
        </w:rPr>
        <w:t xml:space="preserve">self-reported </w:t>
      </w:r>
      <w:r>
        <w:rPr>
          <w:rFonts w:ascii="Arial" w:hAnsi="Arial" w:cs="Arial"/>
        </w:rPr>
        <w:t xml:space="preserve">dependence and constituent symptoms are calculated for </w:t>
      </w:r>
      <w:r w:rsidR="00357856">
        <w:rPr>
          <w:rFonts w:ascii="Arial" w:hAnsi="Arial" w:cs="Arial"/>
        </w:rPr>
        <w:t xml:space="preserve">DND </w:t>
      </w:r>
      <w:r w:rsidR="00255EDD">
        <w:rPr>
          <w:rFonts w:ascii="Arial" w:hAnsi="Arial" w:cs="Arial"/>
        </w:rPr>
        <w:t>marijuana</w:t>
      </w:r>
      <w:r w:rsidR="00357856">
        <w:rPr>
          <w:rFonts w:ascii="Arial" w:hAnsi="Arial" w:cs="Arial"/>
        </w:rPr>
        <w:t xml:space="preserve"> users; logistic regressions </w:t>
      </w:r>
      <w:r w:rsidR="00255EDD">
        <w:rPr>
          <w:rFonts w:ascii="Arial" w:hAnsi="Arial" w:cs="Arial"/>
        </w:rPr>
        <w:t xml:space="preserve">with pre- and post- periods (2002-2004, 2014-2016) </w:t>
      </w:r>
      <w:r w:rsidR="00357856">
        <w:rPr>
          <w:rFonts w:ascii="Arial" w:hAnsi="Arial" w:cs="Arial"/>
        </w:rPr>
        <w:t xml:space="preserve">are applied to describe </w:t>
      </w:r>
      <w:r w:rsidR="00255EDD">
        <w:rPr>
          <w:rFonts w:ascii="Arial" w:hAnsi="Arial" w:cs="Arial"/>
        </w:rPr>
        <w:t xml:space="preserve">temporal </w:t>
      </w:r>
      <w:r w:rsidR="00357856">
        <w:rPr>
          <w:rFonts w:ascii="Arial" w:hAnsi="Arial" w:cs="Arial"/>
        </w:rPr>
        <w:t>changes</w:t>
      </w:r>
      <w:r w:rsidR="00255EDD">
        <w:rPr>
          <w:rFonts w:ascii="Arial" w:hAnsi="Arial" w:cs="Arial"/>
        </w:rPr>
        <w:t>.</w:t>
      </w:r>
    </w:p>
    <w:p w14:paraId="37B635A4" w14:textId="77777777" w:rsidR="00CB6015" w:rsidRPr="00FA0610" w:rsidRDefault="00CB6015" w:rsidP="009C0FE7">
      <w:pPr>
        <w:jc w:val="both"/>
        <w:rPr>
          <w:rFonts w:ascii="Arial" w:hAnsi="Arial" w:cs="Arial"/>
        </w:rPr>
      </w:pPr>
    </w:p>
    <w:p w14:paraId="64349AA2" w14:textId="77777777" w:rsidR="00CB6015" w:rsidRPr="00FA0610" w:rsidRDefault="00CB6015" w:rsidP="009C0FE7">
      <w:pPr>
        <w:jc w:val="both"/>
        <w:rPr>
          <w:rFonts w:ascii="Arial" w:hAnsi="Arial" w:cs="Arial"/>
          <w:b/>
        </w:rPr>
      </w:pPr>
      <w:r w:rsidRPr="00FA0610">
        <w:rPr>
          <w:rFonts w:ascii="Arial" w:hAnsi="Arial" w:cs="Arial"/>
          <w:b/>
        </w:rPr>
        <w:t>Results</w:t>
      </w:r>
    </w:p>
    <w:p w14:paraId="43E7F2AB" w14:textId="4FBBDD02" w:rsidR="00357856" w:rsidRDefault="00255EDD" w:rsidP="00255EDD">
      <w:pPr>
        <w:jc w:val="both"/>
        <w:rPr>
          <w:rFonts w:ascii="Arial" w:hAnsi="Arial" w:cs="Arial"/>
        </w:rPr>
      </w:pPr>
      <w:r>
        <w:rPr>
          <w:rFonts w:ascii="Arial" w:hAnsi="Arial" w:cs="Arial"/>
        </w:rPr>
        <w:t>D</w:t>
      </w:r>
      <w:r w:rsidR="00357856">
        <w:rPr>
          <w:rFonts w:ascii="Arial" w:hAnsi="Arial" w:cs="Arial"/>
        </w:rPr>
        <w:t>ependence among DND users fell by 39%</w:t>
      </w:r>
      <w:r w:rsidR="00CB6015" w:rsidRPr="00357856">
        <w:rPr>
          <w:rFonts w:ascii="Arial" w:hAnsi="Arial" w:cs="Arial"/>
        </w:rPr>
        <w:t xml:space="preserve"> (</w:t>
      </w:r>
      <w:r w:rsidR="00FA0610">
        <w:rPr>
          <w:rFonts w:ascii="Arial" w:hAnsi="Arial" w:cs="Arial"/>
        </w:rPr>
        <w:t>26.5%</w:t>
      </w:r>
      <w:r>
        <w:rPr>
          <w:rFonts w:ascii="Arial" w:hAnsi="Arial" w:cs="Arial"/>
        </w:rPr>
        <w:t>-</w:t>
      </w:r>
      <w:r w:rsidR="00FA0610">
        <w:rPr>
          <w:rFonts w:ascii="Arial" w:hAnsi="Arial" w:cs="Arial"/>
        </w:rPr>
        <w:t>16.1%</w:t>
      </w:r>
      <w:r w:rsidR="00357856">
        <w:rPr>
          <w:rFonts w:ascii="Arial" w:hAnsi="Arial" w:cs="Arial"/>
        </w:rPr>
        <w:t xml:space="preserve">; </w:t>
      </w:r>
      <w:r w:rsidR="00357856">
        <w:rPr>
          <w:rFonts w:ascii="Arial" w:hAnsi="Arial" w:cs="Arial"/>
          <w:i/>
        </w:rPr>
        <w:t>p</w:t>
      </w:r>
      <w:r w:rsidR="00357856">
        <w:rPr>
          <w:rFonts w:ascii="Arial" w:hAnsi="Arial" w:cs="Arial"/>
        </w:rPr>
        <w:t>&lt;0.001</w:t>
      </w:r>
      <w:r w:rsidR="00355914">
        <w:rPr>
          <w:rFonts w:ascii="Arial" w:hAnsi="Arial" w:cs="Arial"/>
        </w:rPr>
        <w:t>). No significant change is detected at the population level.</w:t>
      </w:r>
      <w:r w:rsidR="00F84AB6">
        <w:rPr>
          <w:rFonts w:ascii="Arial" w:hAnsi="Arial" w:cs="Arial"/>
        </w:rPr>
        <w:t xml:space="preserve"> </w:t>
      </w:r>
      <w:r>
        <w:rPr>
          <w:rFonts w:ascii="Arial" w:hAnsi="Arial" w:cs="Arial"/>
        </w:rPr>
        <w:t xml:space="preserve">Sub-group analysis shows a steep gradient for age but not for gender. Declines are robust to sub-group analysis, </w:t>
      </w:r>
      <w:r w:rsidR="00F84AB6">
        <w:rPr>
          <w:rFonts w:ascii="Arial" w:hAnsi="Arial" w:cs="Arial"/>
        </w:rPr>
        <w:t>except for users over 50 years old. Among dependence symptoms, most showed significant declines: giving up important activities (</w:t>
      </w:r>
      <w:r w:rsidR="00F84AB6">
        <w:rPr>
          <w:rFonts w:ascii="Arial" w:hAnsi="Arial" w:cs="Arial"/>
          <w:i/>
        </w:rPr>
        <w:t>p&lt;0.001)</w:t>
      </w:r>
      <w:r w:rsidR="00F84AB6">
        <w:rPr>
          <w:rFonts w:ascii="Arial" w:hAnsi="Arial" w:cs="Arial"/>
        </w:rPr>
        <w:t>; continued use despite emotional, mental, or physical problems (</w:t>
      </w:r>
      <w:r w:rsidR="00F84AB6">
        <w:rPr>
          <w:rFonts w:ascii="Arial" w:hAnsi="Arial" w:cs="Arial"/>
          <w:i/>
        </w:rPr>
        <w:t>p&lt;0.001)</w:t>
      </w:r>
      <w:r w:rsidR="00F84AB6">
        <w:rPr>
          <w:rFonts w:ascii="Arial" w:hAnsi="Arial" w:cs="Arial"/>
        </w:rPr>
        <w:t>; failing attempts to reduce use (</w:t>
      </w:r>
      <w:r w:rsidR="00F84AB6">
        <w:rPr>
          <w:rFonts w:ascii="Arial" w:hAnsi="Arial" w:cs="Arial"/>
          <w:i/>
        </w:rPr>
        <w:t xml:space="preserve">p&lt;0.001); </w:t>
      </w:r>
      <w:r w:rsidR="00F84AB6" w:rsidRPr="00F84AB6">
        <w:rPr>
          <w:rFonts w:ascii="Arial" w:hAnsi="Arial" w:cs="Arial"/>
        </w:rPr>
        <w:t>spending</w:t>
      </w:r>
      <w:r w:rsidR="00F84AB6">
        <w:rPr>
          <w:rFonts w:ascii="Arial" w:hAnsi="Arial" w:cs="Arial"/>
          <w:i/>
        </w:rPr>
        <w:t xml:space="preserve"> </w:t>
      </w:r>
      <w:r w:rsidR="00F84AB6">
        <w:rPr>
          <w:rFonts w:ascii="Arial" w:hAnsi="Arial" w:cs="Arial"/>
        </w:rPr>
        <w:t>lots of time getting, using, or getting over marijuana (</w:t>
      </w:r>
      <w:r w:rsidRPr="00255EDD">
        <w:rPr>
          <w:rFonts w:ascii="Arial" w:hAnsi="Arial" w:cs="Arial"/>
          <w:i/>
        </w:rPr>
        <w:t>p</w:t>
      </w:r>
      <w:r>
        <w:rPr>
          <w:rFonts w:ascii="Arial" w:hAnsi="Arial" w:cs="Arial"/>
        </w:rPr>
        <w:t>&lt;0.01); and failing to keep limits set on use (</w:t>
      </w:r>
      <w:r w:rsidRPr="00255EDD">
        <w:rPr>
          <w:rFonts w:ascii="Arial" w:hAnsi="Arial" w:cs="Arial"/>
          <w:i/>
        </w:rPr>
        <w:t>p</w:t>
      </w:r>
      <w:r>
        <w:rPr>
          <w:rFonts w:ascii="Arial" w:hAnsi="Arial" w:cs="Arial"/>
        </w:rPr>
        <w:t>&lt;.05). Reported tolerance showed no significant change.</w:t>
      </w:r>
    </w:p>
    <w:p w14:paraId="14549F4D" w14:textId="05936299" w:rsidR="0017047A" w:rsidRDefault="0017047A" w:rsidP="009C0FE7">
      <w:pPr>
        <w:jc w:val="both"/>
        <w:rPr>
          <w:rFonts w:ascii="Arial" w:hAnsi="Arial" w:cs="Arial"/>
        </w:rPr>
      </w:pPr>
    </w:p>
    <w:p w14:paraId="2054A4D8" w14:textId="0EA91E76" w:rsidR="0017047A" w:rsidRDefault="0017047A" w:rsidP="009C0FE7">
      <w:pPr>
        <w:jc w:val="both"/>
        <w:rPr>
          <w:rFonts w:ascii="Arial" w:hAnsi="Arial" w:cs="Arial"/>
          <w:b/>
          <w:color w:val="FF0000"/>
        </w:rPr>
      </w:pPr>
      <w:r w:rsidRPr="0017047A">
        <w:rPr>
          <w:rFonts w:ascii="Arial" w:hAnsi="Arial" w:cs="Arial"/>
          <w:b/>
        </w:rPr>
        <w:t>Conclusions</w:t>
      </w:r>
    </w:p>
    <w:p w14:paraId="4F772A0C" w14:textId="2195A97A" w:rsidR="00255EDD" w:rsidRPr="00255EDD" w:rsidRDefault="00255EDD" w:rsidP="00255EDD">
      <w:pPr>
        <w:jc w:val="both"/>
        <w:rPr>
          <w:rFonts w:eastAsia="Times New Roman"/>
        </w:rPr>
      </w:pPr>
      <w:r>
        <w:rPr>
          <w:rFonts w:ascii="Arial" w:hAnsi="Arial" w:cs="Arial"/>
        </w:rPr>
        <w:t xml:space="preserve">Though it is unclear why, the risk of dependence formation among heavy marijuana users appear to have declined substantially since 2002. Further research is warranted to search for explanations related to state marijuana policies, product forms, or social context. </w:t>
      </w:r>
    </w:p>
    <w:p w14:paraId="64C2B21B" w14:textId="6B3AF052" w:rsidR="000C7A17" w:rsidRDefault="000C7A17" w:rsidP="00B77914">
      <w:pPr>
        <w:spacing w:after="160"/>
        <w:jc w:val="both"/>
        <w:outlineLvl w:val="0"/>
        <w:rPr>
          <w:rFonts w:ascii="Arial" w:hAnsi="Arial" w:cs="Arial"/>
          <w:b/>
          <w:bCs/>
          <w:color w:val="000000"/>
          <w:sz w:val="28"/>
          <w:szCs w:val="28"/>
        </w:rPr>
      </w:pPr>
    </w:p>
    <w:bookmarkEnd w:id="0"/>
    <w:bookmarkEnd w:id="1"/>
    <w:p w14:paraId="1B019FCE" w14:textId="5A494D57" w:rsidR="007B19B9" w:rsidRPr="009207EB" w:rsidRDefault="000C7A17" w:rsidP="009207EB">
      <w:pPr>
        <w:spacing w:after="160"/>
        <w:jc w:val="both"/>
        <w:outlineLvl w:val="0"/>
        <w:rPr>
          <w:rFonts w:ascii="Arial" w:hAnsi="Arial" w:cs="Arial"/>
          <w:bCs/>
          <w:color w:val="000000" w:themeColor="text1"/>
        </w:rPr>
      </w:pPr>
      <w:r w:rsidRPr="00B11B7F">
        <w:rPr>
          <w:rFonts w:ascii="Arial" w:hAnsi="Arial" w:cs="Arial"/>
          <w:b/>
          <w:bCs/>
          <w:color w:val="000000" w:themeColor="text1"/>
        </w:rPr>
        <w:t xml:space="preserve">Key words: </w:t>
      </w:r>
      <w:bookmarkStart w:id="2" w:name="OLE_LINK13"/>
      <w:bookmarkStart w:id="3" w:name="OLE_LINK14"/>
      <w:r>
        <w:rPr>
          <w:rFonts w:ascii="Arial" w:hAnsi="Arial" w:cs="Arial"/>
          <w:bCs/>
          <w:color w:val="000000" w:themeColor="text1"/>
        </w:rPr>
        <w:t>marijuana;</w:t>
      </w:r>
      <w:r w:rsidRPr="00B11B7F">
        <w:rPr>
          <w:rFonts w:ascii="Arial" w:hAnsi="Arial" w:cs="Arial"/>
          <w:bCs/>
          <w:color w:val="000000" w:themeColor="text1"/>
        </w:rPr>
        <w:t xml:space="preserve"> cannabis</w:t>
      </w:r>
      <w:r>
        <w:rPr>
          <w:rFonts w:ascii="Arial" w:hAnsi="Arial" w:cs="Arial"/>
          <w:bCs/>
          <w:color w:val="000000" w:themeColor="text1"/>
        </w:rPr>
        <w:t>;</w:t>
      </w:r>
      <w:r w:rsidRPr="00B11B7F">
        <w:rPr>
          <w:rFonts w:ascii="Arial" w:hAnsi="Arial" w:cs="Arial"/>
          <w:bCs/>
          <w:color w:val="000000" w:themeColor="text1"/>
        </w:rPr>
        <w:t xml:space="preserve"> dependence</w:t>
      </w:r>
      <w:r>
        <w:rPr>
          <w:rFonts w:ascii="Arial" w:hAnsi="Arial" w:cs="Arial"/>
          <w:bCs/>
          <w:color w:val="000000" w:themeColor="text1"/>
        </w:rPr>
        <w:t>;</w:t>
      </w:r>
      <w:r w:rsidRPr="00B11B7F">
        <w:rPr>
          <w:rFonts w:ascii="Arial" w:hAnsi="Arial" w:cs="Arial"/>
          <w:bCs/>
          <w:color w:val="000000" w:themeColor="text1"/>
        </w:rPr>
        <w:t xml:space="preserve"> United States</w:t>
      </w:r>
      <w:r>
        <w:rPr>
          <w:rFonts w:ascii="Arial" w:hAnsi="Arial" w:cs="Arial"/>
          <w:bCs/>
          <w:color w:val="000000" w:themeColor="text1"/>
        </w:rPr>
        <w:t xml:space="preserve">; </w:t>
      </w:r>
      <w:r w:rsidRPr="00B11B7F">
        <w:rPr>
          <w:rFonts w:ascii="Arial" w:hAnsi="Arial" w:cs="Arial"/>
          <w:bCs/>
          <w:color w:val="000000" w:themeColor="text1"/>
        </w:rPr>
        <w:t>National Survey on Drug Use and Health</w:t>
      </w:r>
      <w:r>
        <w:rPr>
          <w:rFonts w:ascii="Arial" w:hAnsi="Arial" w:cs="Arial"/>
          <w:bCs/>
          <w:color w:val="000000" w:themeColor="text1"/>
        </w:rPr>
        <w:t xml:space="preserve">; </w:t>
      </w:r>
      <w:r w:rsidRPr="00B11B7F">
        <w:rPr>
          <w:rFonts w:ascii="Arial" w:hAnsi="Arial" w:cs="Arial"/>
          <w:bCs/>
          <w:color w:val="000000" w:themeColor="text1"/>
        </w:rPr>
        <w:t>NSDUH</w:t>
      </w:r>
      <w:bookmarkEnd w:id="2"/>
      <w:bookmarkEnd w:id="3"/>
      <w:r w:rsidR="007B19B9">
        <w:rPr>
          <w:rFonts w:ascii="Arial" w:hAnsi="Arial" w:cs="Arial"/>
          <w:b/>
          <w:bCs/>
          <w:color w:val="000000"/>
          <w:sz w:val="28"/>
          <w:szCs w:val="28"/>
        </w:rPr>
        <w:br w:type="page"/>
      </w:r>
    </w:p>
    <w:p w14:paraId="52F68629" w14:textId="74F6F1A0" w:rsidR="00190881" w:rsidRPr="009F3CB9" w:rsidRDefault="00CC373F" w:rsidP="009F3CB9">
      <w:pPr>
        <w:pStyle w:val="ListParagraph"/>
        <w:numPr>
          <w:ilvl w:val="0"/>
          <w:numId w:val="7"/>
        </w:numPr>
        <w:spacing w:after="160"/>
        <w:jc w:val="both"/>
        <w:outlineLvl w:val="0"/>
        <w:rPr>
          <w:rFonts w:ascii="Arial" w:hAnsi="Arial" w:cs="Arial"/>
          <w:sz w:val="28"/>
          <w:szCs w:val="28"/>
        </w:rPr>
      </w:pPr>
      <w:r>
        <w:rPr>
          <w:rFonts w:ascii="Arial" w:hAnsi="Arial" w:cs="Arial"/>
          <w:b/>
          <w:bCs/>
          <w:color w:val="000000"/>
          <w:sz w:val="28"/>
          <w:szCs w:val="28"/>
        </w:rPr>
        <w:lastRenderedPageBreak/>
        <w:t>Introduction</w:t>
      </w:r>
    </w:p>
    <w:p w14:paraId="5685A7A3" w14:textId="71C52E86" w:rsidR="00893C2A" w:rsidRPr="003B50F6" w:rsidRDefault="00CB4C7E" w:rsidP="00190881">
      <w:pPr>
        <w:spacing w:after="160"/>
        <w:jc w:val="both"/>
        <w:rPr>
          <w:rFonts w:ascii="Arial" w:hAnsi="Arial" w:cs="Arial"/>
          <w:color w:val="000000"/>
        </w:rPr>
      </w:pPr>
      <w:r>
        <w:rPr>
          <w:rFonts w:ascii="Arial" w:hAnsi="Arial" w:cs="Arial"/>
          <w:color w:val="000000"/>
        </w:rPr>
        <w:t>Since the turn of the century, the United States has seen dramatic changes in marijuana policy, use, and social context.</w:t>
      </w:r>
      <w:r w:rsidR="00190881" w:rsidRPr="003B50F6">
        <w:rPr>
          <w:rFonts w:ascii="Arial" w:hAnsi="Arial" w:cs="Arial"/>
          <w:color w:val="000000"/>
        </w:rPr>
        <w:t xml:space="preserve"> </w:t>
      </w:r>
      <w:r w:rsidR="00551025">
        <w:rPr>
          <w:rFonts w:ascii="Arial" w:hAnsi="Arial" w:cs="Arial"/>
          <w:color w:val="000000"/>
        </w:rPr>
        <w:t>Eight</w:t>
      </w:r>
      <w:r w:rsidR="00373EB6" w:rsidRPr="003B50F6">
        <w:rPr>
          <w:rFonts w:ascii="Arial" w:hAnsi="Arial" w:cs="Arial"/>
          <w:color w:val="000000"/>
        </w:rPr>
        <w:t xml:space="preserve"> </w:t>
      </w:r>
      <w:r w:rsidR="00190881" w:rsidRPr="003B50F6">
        <w:rPr>
          <w:rFonts w:ascii="Arial" w:hAnsi="Arial" w:cs="Arial"/>
          <w:color w:val="000000"/>
        </w:rPr>
        <w:t>states and the District of Columbia have legalized the possession, use, production, distribution, and sale of marijuana</w:t>
      </w:r>
      <w:r w:rsidR="008E18BF">
        <w:rPr>
          <w:rFonts w:ascii="Arial" w:hAnsi="Arial" w:cs="Arial"/>
          <w:color w:val="000000"/>
        </w:rPr>
        <w:t xml:space="preserve"> for non-medical use</w:t>
      </w:r>
      <w:r w:rsidR="00190881" w:rsidRPr="003B50F6">
        <w:rPr>
          <w:rFonts w:ascii="Arial" w:hAnsi="Arial" w:cs="Arial"/>
          <w:color w:val="000000"/>
        </w:rPr>
        <w:t xml:space="preserve">; </w:t>
      </w:r>
      <w:r w:rsidR="00551025">
        <w:rPr>
          <w:rFonts w:ascii="Arial" w:hAnsi="Arial" w:cs="Arial"/>
          <w:color w:val="000000"/>
        </w:rPr>
        <w:t xml:space="preserve">and </w:t>
      </w:r>
      <w:r w:rsidR="00190881" w:rsidRPr="003B50F6">
        <w:rPr>
          <w:rFonts w:ascii="Arial" w:hAnsi="Arial" w:cs="Arial"/>
          <w:color w:val="000000"/>
        </w:rPr>
        <w:t xml:space="preserve">more than thirty states have legalized some form of medical marijuana, </w:t>
      </w:r>
      <w:r w:rsidR="00551025">
        <w:rPr>
          <w:rFonts w:ascii="Arial" w:hAnsi="Arial" w:cs="Arial"/>
          <w:color w:val="000000"/>
        </w:rPr>
        <w:t xml:space="preserve">often sold via </w:t>
      </w:r>
      <w:r w:rsidR="00190881" w:rsidRPr="003B50F6">
        <w:rPr>
          <w:rFonts w:ascii="Arial" w:hAnsi="Arial" w:cs="Arial"/>
          <w:color w:val="000000"/>
        </w:rPr>
        <w:t>dispensaries.</w:t>
      </w:r>
      <w:r w:rsidR="00893C2A" w:rsidRPr="003B50F6">
        <w:rPr>
          <w:rFonts w:ascii="Arial" w:hAnsi="Arial" w:cs="Arial"/>
          <w:color w:val="000000"/>
        </w:rPr>
        <w:t xml:space="preserve"> </w:t>
      </w:r>
      <w:r>
        <w:rPr>
          <w:rFonts w:ascii="Arial" w:hAnsi="Arial" w:cs="Arial"/>
          <w:color w:val="000000"/>
        </w:rPr>
        <w:t>Perceptions of the risk of marijuana use have been falling</w:t>
      </w:r>
      <w:r w:rsidR="00DA5328">
        <w:rPr>
          <w:rFonts w:ascii="Arial" w:hAnsi="Arial" w:cs="Arial"/>
          <w:color w:val="000000"/>
        </w:rPr>
        <w:t xml:space="preserve"> </w:t>
      </w:r>
      <w:r w:rsidR="00DA5328">
        <w:rPr>
          <w:rFonts w:ascii="Arial" w:hAnsi="Arial" w:cs="Arial"/>
          <w:color w:val="000000"/>
        </w:rPr>
        <w:fldChar w:fldCharType="begin" w:fldLock="1"/>
      </w:r>
      <w:r w:rsidR="00DA5328">
        <w:rPr>
          <w:rFonts w:ascii="Arial" w:hAnsi="Arial" w:cs="Arial"/>
          <w:color w:val="000000"/>
        </w:rPr>
        <w:instrText>ADDIN CSL_CITATION { "citationItems" : [ { "id" : "ITEM-1", "itemData" : { "DOI" : "https://doi.org/10.1016/j.drugalcdep.2015.02.009", "ISSN" : "0376-8716", "author" : [ { "dropping-particle" : "", "family" : "Pacek", "given" : "Lauren R", "non-dropping-particle" : "", "parse-names" : false, "suffix" : "" }, { "dropping-particle" : "", "family" : "Mauro", "given" : "Pia M", "non-dropping-particle" : "", "parse-names" : false, "suffix" : "" }, { "dropping-particle" : "", "family" : "Martins", "given" : "Silvia S", "non-dropping-particle" : "", "parse-names" : false, "suffix" : "" } ], "container-title" : "Drug and Alcohol Dependence", "id" : "ITEM-1", "issued" : { "date-parts" : [ [ "2015" ] ] }, "page" : "232-244", "title" : "Perceived risk of regular cannabis use in the United States from 2002 to 2012: Differences by sex, age, and race/ethnicity", "type" : "article-journal", "volume" : "149" }, "uris" : [ "http://www.mendeley.com/documents/?uuid=f0dd7e82-ea2d-4583-8608-91eb58564716" ] } ], "mendeley" : { "formattedCitation" : "(Pacek et al., 2015)", "plainTextFormattedCitation" : "(Pacek et al., 2015)", "previouslyFormattedCitation" : "(Pacek et al., 2015)" }, "properties" : {  }, "schema" : "https://github.com/citation-style-language/schema/raw/master/csl-citation.json" }</w:instrText>
      </w:r>
      <w:r w:rsidR="00DA5328">
        <w:rPr>
          <w:rFonts w:ascii="Arial" w:hAnsi="Arial" w:cs="Arial"/>
          <w:color w:val="000000"/>
        </w:rPr>
        <w:fldChar w:fldCharType="separate"/>
      </w:r>
      <w:r w:rsidR="00DA5328" w:rsidRPr="00DA5328">
        <w:rPr>
          <w:rFonts w:ascii="Arial" w:hAnsi="Arial" w:cs="Arial"/>
          <w:noProof/>
          <w:color w:val="000000"/>
        </w:rPr>
        <w:t>(Pacek et al., 2015)</w:t>
      </w:r>
      <w:r w:rsidR="00DA5328">
        <w:rPr>
          <w:rFonts w:ascii="Arial" w:hAnsi="Arial" w:cs="Arial"/>
          <w:color w:val="000000"/>
        </w:rPr>
        <w:fldChar w:fldCharType="end"/>
      </w:r>
      <w:r>
        <w:rPr>
          <w:rFonts w:ascii="Arial" w:hAnsi="Arial" w:cs="Arial"/>
          <w:color w:val="000000"/>
        </w:rPr>
        <w:t xml:space="preserve">, and approval for marijuana legalization </w:t>
      </w:r>
      <w:r w:rsidR="004A4380">
        <w:rPr>
          <w:rFonts w:ascii="Arial" w:hAnsi="Arial" w:cs="Arial"/>
          <w:color w:val="000000"/>
        </w:rPr>
        <w:t>has risen to nearly a two-third super majority</w:t>
      </w:r>
      <w:r w:rsidR="00F20529">
        <w:rPr>
          <w:rFonts w:ascii="Arial" w:hAnsi="Arial" w:cs="Arial"/>
          <w:color w:val="000000"/>
        </w:rPr>
        <w:t xml:space="preserve"> </w:t>
      </w:r>
      <w:r w:rsidR="00F20529">
        <w:rPr>
          <w:rFonts w:ascii="Arial" w:hAnsi="Arial" w:cs="Arial"/>
          <w:color w:val="000000"/>
        </w:rPr>
        <w:fldChar w:fldCharType="begin" w:fldLock="1"/>
      </w:r>
      <w:r w:rsidR="00F20529">
        <w:rPr>
          <w:rFonts w:ascii="Arial" w:hAnsi="Arial" w:cs="Arial"/>
          <w:color w:val="000000"/>
        </w:rPr>
        <w:instrText>ADDIN CSL_CITATION { "citationItems" : [ { "id" : "ITEM-1", "itemData" : { "URL" : "http://news.gallup.com/poll/221018/record-high-support-legalizing-marijuana.aspx?g_source=MARIJUANA&amp;g_medium=topic&amp;g_campaign=tiles", "accessed" : { "date-parts" : [ [ "2018", "4", "26" ] ] }, "author" : [ { "dropping-particle" : "", "family" : "Gallup", "given" : "", "non-dropping-particle" : "", "parse-names" : false, "suffix" : "" } ], "id" : "ITEM-1", "issued" : { "date-parts" : [ [ "2017" ] ] }, "title" : "Record-High Support for Legalizing Marijuana Use in U.S.", "type" : "webpage" }, "uris" : [ "http://www.mendeley.com/documents/?uuid=da78b410-7934-3e5d-85cc-1531f55504cf" ] } ], "mendeley" : { "formattedCitation" : "(Gallup, 2017)", "plainTextFormattedCitation" : "(Gallup, 2017)", "previouslyFormattedCitation" : "(Gallup, 2017)" }, "properties" : {  }, "schema" : "https://github.com/citation-style-language/schema/raw/master/csl-citation.json" }</w:instrText>
      </w:r>
      <w:r w:rsidR="00F20529">
        <w:rPr>
          <w:rFonts w:ascii="Arial" w:hAnsi="Arial" w:cs="Arial"/>
          <w:color w:val="000000"/>
        </w:rPr>
        <w:fldChar w:fldCharType="separate"/>
      </w:r>
      <w:r w:rsidR="00F20529" w:rsidRPr="00F20529">
        <w:rPr>
          <w:rFonts w:ascii="Arial" w:hAnsi="Arial" w:cs="Arial"/>
          <w:noProof/>
          <w:color w:val="000000"/>
        </w:rPr>
        <w:t>(Gallup, 2017)</w:t>
      </w:r>
      <w:r w:rsidR="00F20529">
        <w:rPr>
          <w:rFonts w:ascii="Arial" w:hAnsi="Arial" w:cs="Arial"/>
          <w:color w:val="000000"/>
        </w:rPr>
        <w:fldChar w:fldCharType="end"/>
      </w:r>
      <w:r w:rsidR="004A4380">
        <w:rPr>
          <w:rFonts w:ascii="Arial" w:hAnsi="Arial" w:cs="Arial"/>
          <w:color w:val="000000"/>
        </w:rPr>
        <w:t xml:space="preserve">. </w:t>
      </w:r>
      <w:r w:rsidR="00893C2A" w:rsidRPr="003B50F6">
        <w:rPr>
          <w:rFonts w:ascii="Arial" w:hAnsi="Arial" w:cs="Arial"/>
          <w:color w:val="000000"/>
        </w:rPr>
        <w:t>Marijuana use has also changed in other ways, such as increasing THC potency</w:t>
      </w:r>
      <w:r w:rsidR="002755F1">
        <w:rPr>
          <w:rFonts w:ascii="Arial" w:hAnsi="Arial" w:cs="Arial"/>
          <w:color w:val="000000"/>
        </w:rPr>
        <w:t>,</w:t>
      </w:r>
      <w:r w:rsidR="00893C2A" w:rsidRPr="003B50F6">
        <w:rPr>
          <w:rFonts w:ascii="Arial" w:hAnsi="Arial" w:cs="Arial"/>
          <w:color w:val="000000"/>
        </w:rPr>
        <w:t xml:space="preserve"> an increasing acceptance and availability of marijuana for medical use, and rising popularity of alternative forms of consumption such as edibles, portable vaporizers, and “dabbing” solid concentrates</w:t>
      </w:r>
      <w:r w:rsidR="008A6362">
        <w:rPr>
          <w:rFonts w:ascii="Arial" w:hAnsi="Arial" w:cs="Arial"/>
          <w:color w:val="000000"/>
        </w:rPr>
        <w:t xml:space="preserve"> </w:t>
      </w:r>
      <w:r w:rsidR="008A6362">
        <w:rPr>
          <w:rFonts w:ascii="Arial" w:hAnsi="Arial" w:cs="Arial"/>
          <w:color w:val="000000"/>
        </w:rPr>
        <w:fldChar w:fldCharType="begin" w:fldLock="1"/>
      </w:r>
      <w:r w:rsidR="008A6362">
        <w:rPr>
          <w:rFonts w:ascii="Arial" w:hAnsi="Arial" w:cs="Arial"/>
          <w:color w:val="000000"/>
        </w:rPr>
        <w:instrText>ADDIN CSL_CITATION { "citationItems" : [ { "id" : "ITEM-1", "itemData" : { "author" : [ { "dropping-particle" : "", "family" : "Kilmer", "given" : "Beau", "non-dropping-particle" : "", "parse-names" : false, "suffix" : "" }, { "dropping-particle" : "", "family" : "Everingham", "given" : "Susan S. Sohler", "non-dropping-particle" : "", "parse-names" : false, "suffix" : "" }, { "dropping-particle" : "", "family" : "Caulkins", "given" : "Jonathan P.", "non-dropping-particle" : "", "parse-names" : false, "suffix" : "" }, { "dropping-particle" : "", "family" : "Midgette", "given" : "Greg", "non-dropping-particle" : "", "parse-names" : false, "suffix" : "" }, { "dropping-particle" : "", "family" : "Pacula", "given" : "Rosalie Liccardo", "non-dropping-particle" : "", "parse-names" : false, "suffix" : "" }, { "dropping-particle" : "", "family" : "Reuter", "given" : "Peter H.", "non-dropping-particle" : "", "parse-names" : false, "suffix" : "" }, { "dropping-particle" : "", "family" : "Burns", "given" : "Rachel M.", "non-dropping-particle" : "", "parse-names" : false, "suffix" : "" }, { "dropping-particle" : "", "family" : "Han", "given" : "Bing", "non-dropping-particle" : "", "parse-names" : false, "suffix" : "" }, { "dropping-particle" : "", "family" : "Lundberg", "given" : "Russell", "non-dropping-particle" : "", "parse-names" : false, "suffix" : "" } ], "id" : "ITEM-1", "issue" : "February", "issued" : { "date-parts" : [ [ "2014" ] ] }, "publisher" : "Santa Monica, CA: RAND Corporation", "title" : "What America\u2019s Users Spend on Illegal Drugs: 2000-2010", "type" : "report" }, "uris" : [ "http://www.mendeley.com/documents/?uuid=ab3ead95-9c3e-45e5-bc2f-9164431e86b7" ] }, { "id" : "ITEM-2", "itemData" : { "DOI" : "10.1177/0022042616659759", "ISSN" : "00220426", "abstract" : "The past decade has seen a remarkable liberalization of marijuana policies in many parts of the United States. We analyze data from the National Survey on Drug Use and Health (NSDUH) for coinciding changes in the marijuana market from 2002 to 2013, including market size, number and demographics of customers, and varying means of acquiring the drug. Results suggests that (a) the national market has grown, especially in terms of the number of daily users; (b) marijuana users remained economically \" downscale \" over this period, and in many ways resemble cigarette users; (c) distribution networks appear to be professionalizing in a sense, as fewer users obtain marijuana socially; (d) the typical purchase has gotten smaller by weight but not price paid, suggestive of a trend toward higher potencies; (e) marijuana expenditures vary by user group; and (f) respondents with medical marijuana recommendations differ from other users in systematic ways.", "author" : [ { "dropping-particle" : "", "family" : "Davenport", "given" : "Steven S.", "non-dropping-particle" : "", "parse-names" : false, "suffix" : "" }, { "dropping-particle" : "", "family" : "Caulkins", "given" : "Jonathan P.", "non-dropping-particle" : "", "parse-names" : false, "suffix" : "" } ], "container-title" : "Journal of Drug Issues", "id" : "ITEM-2", "issue" : "4", "issued" : { "date-parts" : [ [ "2016" ] ] }, "page" : "411-427", "title" : "Evolution of the United States marijuana market in the decade of liberalization before full legalization", "type" : "article-journal", "volume" : "46" }, "uris" : [ "http://www.mendeley.com/documents/?uuid=af78958c-be13-43ba-9abd-339e05c3e32e" ] } ], "mendeley" : { "formattedCitation" : "(Davenport and Caulkins, 2016; Kilmer et al., 2014)", "plainTextFormattedCitation" : "(Davenport and Caulkins, 2016; Kilmer et al., 2014)", "previouslyFormattedCitation" : "(Davenport and Caulkins, 2016; Kilmer et al., 2014)" }, "properties" : {  }, "schema" : "https://github.com/citation-style-language/schema/raw/master/csl-citation.json" }</w:instrText>
      </w:r>
      <w:r w:rsidR="008A6362">
        <w:rPr>
          <w:rFonts w:ascii="Arial" w:hAnsi="Arial" w:cs="Arial"/>
          <w:color w:val="000000"/>
        </w:rPr>
        <w:fldChar w:fldCharType="separate"/>
      </w:r>
      <w:r w:rsidR="008A6362" w:rsidRPr="008A6362">
        <w:rPr>
          <w:rFonts w:ascii="Arial" w:hAnsi="Arial" w:cs="Arial"/>
          <w:noProof/>
          <w:color w:val="000000"/>
        </w:rPr>
        <w:t>(Davenport and Caulkins, 2016; Kilmer et al., 2014)</w:t>
      </w:r>
      <w:r w:rsidR="008A6362">
        <w:rPr>
          <w:rFonts w:ascii="Arial" w:hAnsi="Arial" w:cs="Arial"/>
          <w:color w:val="000000"/>
        </w:rPr>
        <w:fldChar w:fldCharType="end"/>
      </w:r>
      <w:r w:rsidR="00893C2A" w:rsidRPr="003B50F6">
        <w:rPr>
          <w:rFonts w:ascii="Arial" w:hAnsi="Arial" w:cs="Arial"/>
          <w:color w:val="000000"/>
        </w:rPr>
        <w:t>.</w:t>
      </w:r>
    </w:p>
    <w:p w14:paraId="7112A24C" w14:textId="6EC0823E" w:rsidR="00CB4C7E" w:rsidRPr="003B50F6" w:rsidRDefault="00067EFE" w:rsidP="006A73BF">
      <w:pPr>
        <w:spacing w:after="160"/>
        <w:jc w:val="both"/>
        <w:rPr>
          <w:rFonts w:ascii="Arial" w:hAnsi="Arial" w:cs="Arial"/>
          <w:color w:val="000000"/>
        </w:rPr>
      </w:pPr>
      <w:r w:rsidRPr="003B50F6">
        <w:rPr>
          <w:rFonts w:ascii="Arial" w:hAnsi="Arial" w:cs="Arial"/>
          <w:color w:val="000000"/>
        </w:rPr>
        <w:t>M</w:t>
      </w:r>
      <w:r w:rsidR="00190881" w:rsidRPr="003B50F6">
        <w:rPr>
          <w:rFonts w:ascii="Arial" w:hAnsi="Arial" w:cs="Arial"/>
          <w:color w:val="000000"/>
        </w:rPr>
        <w:t xml:space="preserve">arijuana use has </w:t>
      </w:r>
      <w:r w:rsidR="00CC4B0F">
        <w:rPr>
          <w:rFonts w:ascii="Arial" w:hAnsi="Arial" w:cs="Arial"/>
          <w:color w:val="000000"/>
        </w:rPr>
        <w:t>been on an upward trend since roughly the mid-1990s</w:t>
      </w:r>
      <w:r w:rsidR="00CB4C7E">
        <w:rPr>
          <w:rFonts w:ascii="Arial" w:hAnsi="Arial" w:cs="Arial"/>
          <w:color w:val="000000"/>
        </w:rPr>
        <w:t>, and intensifying since 2007</w:t>
      </w:r>
      <w:r w:rsidR="00B94E2E">
        <w:rPr>
          <w:rFonts w:ascii="Arial" w:hAnsi="Arial" w:cs="Arial"/>
          <w:color w:val="000000"/>
        </w:rPr>
        <w:t xml:space="preserve"> </w:t>
      </w:r>
      <w:r w:rsidR="00B94E2E">
        <w:rPr>
          <w:rFonts w:ascii="Arial" w:hAnsi="Arial" w:cs="Arial"/>
          <w:color w:val="000000"/>
        </w:rPr>
        <w:fldChar w:fldCharType="begin" w:fldLock="1"/>
      </w:r>
      <w:r w:rsidR="00B94E2E">
        <w:rPr>
          <w:rFonts w:ascii="Arial" w:hAnsi="Arial" w:cs="Arial"/>
          <w:color w:val="000000"/>
        </w:rPr>
        <w:instrText>ADDIN CSL_CITATION { "citationItems" : [ { "id" : "ITEM-1", "itemData" : { "DOI" : "https://doi.org/10.1016/j.drugalcdep.2016.10.042", "ISSN" : "0376-8716", "author" : [ { "dropping-particle" : "", "family" : "Carliner", "given" : "Hannah", "non-dropping-particle" : "", "parse-names" : false, "suffix" : "" }, { "dropping-particle" : "", "family" : "Mauro", "given" : "Pia M", "non-dropping-particle" : "", "parse-names" : false, "suffix" : "" }, { "dropping-particle" : "", "family" : "Brown", "given" : "Qiana L", "non-dropping-particle" : "", "parse-names" : false, "suffix" : "" }, { "dropping-particle" : "", "family" : "Shmulewitz", "given" : "Dvora", "non-dropping-particle" : "", "parse-names" : false, "suffix" : "" }, { "dropping-particle" : "", "family" : "Rahim-Juwel", "given" : "Reanne", "non-dropping-particle" : "", "parse-names" : false, "suffix" : "" }, { "dropping-particle" : "", "family" : "Sarvet", "given" : "Aaron L", "non-dropping-particle" : "", "parse-names" : false, "suffix" : "" }, { "dropping-particle" : "", "family" : "Wall", "given" : "Melanie M", "non-dropping-particle" : "", "parse-names" : false, "suffix" : "" }, { "dropping-particle" : "", "family" : "Martins", "given" : "Silvia S", "non-dropping-particle" : "", "parse-names" : false, "suffix" : "" }, { "dropping-particle" : "", "family" : "Carliner", "given" : "Geoffrey", "non-dropping-particle" : "", "parse-names" : false, "suffix" : "" }, { "dropping-particle" : "", "family" : "Hasin", "given" : "Deborah S", "non-dropping-particle" : "", "parse-names" : false, "suffix" : "" } ], "container-title" : "Drug and Alcohol Dependence", "id" : "ITEM-1", "issued" : { "date-parts" : [ [ "2017" ] ] }, "page" : "51-58", "title" : "The widening gender gap in marijuana use prevalence in the U.S. during a period of economic change, 2002\u20132014", "type" : "article-journal", "volume" : "170" }, "uris" : [ "http://www.mendeley.com/documents/?uuid=cc183bb1-b822-4ea7-be5a-3c57e09cc05a" ] } ], "mendeley" : { "formattedCitation" : "(Carliner et al., 2017)", "plainTextFormattedCitation" : "(Carliner et al., 2017)", "previouslyFormattedCitation" : "(Carliner et al., 2017)" }, "properties" : {  }, "schema" : "https://github.com/citation-style-language/schema/raw/master/csl-citation.json" }</w:instrText>
      </w:r>
      <w:r w:rsidR="00B94E2E">
        <w:rPr>
          <w:rFonts w:ascii="Arial" w:hAnsi="Arial" w:cs="Arial"/>
          <w:color w:val="000000"/>
        </w:rPr>
        <w:fldChar w:fldCharType="separate"/>
      </w:r>
      <w:r w:rsidR="00B94E2E" w:rsidRPr="00B94E2E">
        <w:rPr>
          <w:rFonts w:ascii="Arial" w:hAnsi="Arial" w:cs="Arial"/>
          <w:noProof/>
          <w:color w:val="000000"/>
        </w:rPr>
        <w:t>(Carliner et al., 2017)</w:t>
      </w:r>
      <w:r w:rsidR="00B94E2E">
        <w:rPr>
          <w:rFonts w:ascii="Arial" w:hAnsi="Arial" w:cs="Arial"/>
          <w:color w:val="000000"/>
        </w:rPr>
        <w:fldChar w:fldCharType="end"/>
      </w:r>
      <w:r w:rsidR="00CC4B0F">
        <w:rPr>
          <w:rFonts w:ascii="Arial" w:hAnsi="Arial" w:cs="Arial"/>
          <w:color w:val="000000"/>
        </w:rPr>
        <w:t xml:space="preserve">. </w:t>
      </w:r>
      <w:r w:rsidR="00190881" w:rsidRPr="003B50F6">
        <w:rPr>
          <w:rFonts w:ascii="Arial" w:hAnsi="Arial" w:cs="Arial"/>
          <w:color w:val="000000"/>
        </w:rPr>
        <w:t xml:space="preserve">The portion of </w:t>
      </w:r>
      <w:r w:rsidR="005F3842" w:rsidRPr="003B50F6">
        <w:rPr>
          <w:rFonts w:ascii="Arial" w:hAnsi="Arial" w:cs="Arial"/>
          <w:color w:val="000000"/>
        </w:rPr>
        <w:t xml:space="preserve">Americans </w:t>
      </w:r>
      <w:r w:rsidR="008503EA" w:rsidRPr="003B50F6">
        <w:rPr>
          <w:rFonts w:ascii="Arial" w:hAnsi="Arial" w:cs="Arial"/>
          <w:color w:val="000000"/>
        </w:rPr>
        <w:t>12 years or older</w:t>
      </w:r>
      <w:r w:rsidR="005F3842" w:rsidRPr="003B50F6">
        <w:rPr>
          <w:rFonts w:ascii="Arial" w:hAnsi="Arial" w:cs="Arial"/>
          <w:color w:val="000000"/>
        </w:rPr>
        <w:t xml:space="preserve"> </w:t>
      </w:r>
      <w:r w:rsidR="00190881" w:rsidRPr="003B50F6">
        <w:rPr>
          <w:rFonts w:ascii="Arial" w:hAnsi="Arial" w:cs="Arial"/>
          <w:color w:val="000000"/>
        </w:rPr>
        <w:t>reporting past-month</w:t>
      </w:r>
      <w:r w:rsidR="00CE1CE3">
        <w:rPr>
          <w:rFonts w:ascii="Arial" w:hAnsi="Arial" w:cs="Arial"/>
          <w:color w:val="000000"/>
        </w:rPr>
        <w:t xml:space="preserve"> (“current”)</w:t>
      </w:r>
      <w:r w:rsidR="00190881" w:rsidRPr="003B50F6">
        <w:rPr>
          <w:rFonts w:ascii="Arial" w:hAnsi="Arial" w:cs="Arial"/>
          <w:color w:val="000000"/>
        </w:rPr>
        <w:t xml:space="preserve"> marijuana use rose from 6.2% in 2002 to </w:t>
      </w:r>
      <w:r w:rsidR="00DD2BAB" w:rsidRPr="003B50F6">
        <w:rPr>
          <w:rFonts w:ascii="Arial" w:hAnsi="Arial" w:cs="Arial"/>
          <w:color w:val="000000"/>
        </w:rPr>
        <w:t>8</w:t>
      </w:r>
      <w:r w:rsidR="002B5F45" w:rsidRPr="003B50F6">
        <w:rPr>
          <w:rFonts w:ascii="Arial" w:hAnsi="Arial" w:cs="Arial"/>
          <w:color w:val="000000"/>
        </w:rPr>
        <w:t>.</w:t>
      </w:r>
      <w:r w:rsidR="00DD2BAB" w:rsidRPr="003B50F6">
        <w:rPr>
          <w:rFonts w:ascii="Arial" w:hAnsi="Arial" w:cs="Arial"/>
          <w:color w:val="000000"/>
        </w:rPr>
        <w:t>9</w:t>
      </w:r>
      <w:r w:rsidR="00190881" w:rsidRPr="003B50F6">
        <w:rPr>
          <w:rFonts w:ascii="Arial" w:hAnsi="Arial" w:cs="Arial"/>
          <w:color w:val="000000"/>
        </w:rPr>
        <w:t xml:space="preserve">% in </w:t>
      </w:r>
      <w:r w:rsidR="002B5F45" w:rsidRPr="003B50F6">
        <w:rPr>
          <w:rFonts w:ascii="Arial" w:hAnsi="Arial" w:cs="Arial"/>
          <w:color w:val="000000"/>
        </w:rPr>
        <w:t>2016</w:t>
      </w:r>
      <w:r w:rsidR="00DA5328">
        <w:rPr>
          <w:rFonts w:ascii="Arial" w:hAnsi="Arial" w:cs="Arial"/>
          <w:color w:val="000000"/>
        </w:rPr>
        <w:t xml:space="preserve"> </w:t>
      </w:r>
      <w:r w:rsidR="00DA5328">
        <w:rPr>
          <w:rFonts w:ascii="Arial" w:hAnsi="Arial" w:cs="Arial"/>
          <w:color w:val="000000"/>
        </w:rPr>
        <w:fldChar w:fldCharType="begin" w:fldLock="1"/>
      </w:r>
      <w:r w:rsidR="002A6085">
        <w:rPr>
          <w:rFonts w:ascii="Arial" w:hAnsi="Arial" w:cs="Arial"/>
          <w:color w:val="000000"/>
        </w:rPr>
        <w:instrText>ADDIN CSL_CITATION { "citationItems" : [ { "id" : "ITEM-1", "itemData" : { "author" : [ { "dropping-particle" : "", "family" : "Center for Behavioral Health Statistics and Quality", "given" : "", "non-dropping-particle" : "", "parse-names" : false, "suffix" : "" } ], "id" : "ITEM-1", "issued" : { "date-parts" : [ [ "2017" ] ] }, "title" : "2016 National Survey on Drug Use and Health: Detailed Tables", "type" : "report" }, "uris" : [ "http://www.mendeley.com/documents/?uuid=1980f07a-ac5b-4caf-8dad-9f6a6fb84f72" ] } ], "mendeley" : { "formattedCitation" : "(Center for Behavioral Health Statistics and Quality, 2017a)", "plainTextFormattedCitation" : "(Center for Behavioral Health Statistics and Quality, 2017a)", "previouslyFormattedCitation" : "(Center for Behavioral Health Statistics and Quality, 2017a)" }, "properties" : {  }, "schema" : "https://github.com/citation-style-language/schema/raw/master/csl-citation.json" }</w:instrText>
      </w:r>
      <w:r w:rsidR="00DA5328">
        <w:rPr>
          <w:rFonts w:ascii="Arial" w:hAnsi="Arial" w:cs="Arial"/>
          <w:color w:val="000000"/>
        </w:rPr>
        <w:fldChar w:fldCharType="separate"/>
      </w:r>
      <w:r w:rsidR="002A6085" w:rsidRPr="002A6085">
        <w:rPr>
          <w:rFonts w:ascii="Arial" w:hAnsi="Arial" w:cs="Arial"/>
          <w:noProof/>
          <w:color w:val="000000"/>
        </w:rPr>
        <w:t>(Center for Behavioral Health Statistics and Quality, 2017a)</w:t>
      </w:r>
      <w:r w:rsidR="00DA5328">
        <w:rPr>
          <w:rFonts w:ascii="Arial" w:hAnsi="Arial" w:cs="Arial"/>
          <w:color w:val="000000"/>
        </w:rPr>
        <w:fldChar w:fldCharType="end"/>
      </w:r>
      <w:r w:rsidR="00190881" w:rsidRPr="003B50F6">
        <w:rPr>
          <w:rFonts w:ascii="Arial" w:hAnsi="Arial" w:cs="Arial"/>
          <w:b/>
          <w:color w:val="000000"/>
        </w:rPr>
        <w:t>.</w:t>
      </w:r>
      <w:r w:rsidR="00190881" w:rsidRPr="003B50F6">
        <w:rPr>
          <w:rFonts w:ascii="Arial" w:hAnsi="Arial" w:cs="Arial"/>
          <w:color w:val="000000"/>
        </w:rPr>
        <w:t xml:space="preserve"> </w:t>
      </w:r>
      <w:r w:rsidR="006A73BF" w:rsidRPr="003B50F6">
        <w:rPr>
          <w:rFonts w:ascii="Arial" w:hAnsi="Arial" w:cs="Arial"/>
          <w:color w:val="000000"/>
        </w:rPr>
        <w:t>Even among current marijuana users, use habits have intensified, for instance as measured by the portion of past-month users reporting daily or near-daily (“DND”) use, i.e., use on more than 20 of the past 30 days, which tripled from one-in-nine in 1994 to one-in-three in 2014.</w:t>
      </w:r>
      <w:r w:rsidR="007A4216" w:rsidRPr="003B50F6">
        <w:rPr>
          <w:rFonts w:ascii="Arial" w:hAnsi="Arial" w:cs="Arial"/>
          <w:color w:val="000000"/>
        </w:rPr>
        <w:t xml:space="preserve"> DND </w:t>
      </w:r>
      <w:r w:rsidR="00CE1CE3">
        <w:rPr>
          <w:rFonts w:ascii="Arial" w:hAnsi="Arial" w:cs="Arial"/>
          <w:color w:val="000000"/>
        </w:rPr>
        <w:t xml:space="preserve">users </w:t>
      </w:r>
      <w:r w:rsidR="007A4216" w:rsidRPr="003B50F6">
        <w:rPr>
          <w:rFonts w:ascii="Arial" w:hAnsi="Arial" w:cs="Arial"/>
          <w:color w:val="000000"/>
        </w:rPr>
        <w:t>dominate</w:t>
      </w:r>
      <w:r w:rsidR="00CE1CE3">
        <w:rPr>
          <w:rFonts w:ascii="Arial" w:hAnsi="Arial" w:cs="Arial"/>
          <w:color w:val="000000"/>
        </w:rPr>
        <w:t xml:space="preserve"> the</w:t>
      </w:r>
      <w:r w:rsidR="007A4216" w:rsidRPr="003B50F6">
        <w:rPr>
          <w:rFonts w:ascii="Arial" w:hAnsi="Arial" w:cs="Arial"/>
          <w:color w:val="000000"/>
        </w:rPr>
        <w:t xml:space="preserve"> marijuana market, accounting for</w:t>
      </w:r>
      <w:r w:rsidR="006A73BF" w:rsidRPr="003B50F6">
        <w:rPr>
          <w:rFonts w:ascii="Arial" w:hAnsi="Arial" w:cs="Arial"/>
          <w:color w:val="000000"/>
        </w:rPr>
        <w:t xml:space="preserve"> </w:t>
      </w:r>
      <w:r w:rsidR="00CB0F18" w:rsidRPr="003B50F6">
        <w:rPr>
          <w:rFonts w:ascii="Arial" w:hAnsi="Arial" w:cs="Arial"/>
          <w:color w:val="000000"/>
        </w:rPr>
        <w:t>68</w:t>
      </w:r>
      <w:r w:rsidR="00893C2A" w:rsidRPr="003B50F6">
        <w:rPr>
          <w:rFonts w:ascii="Arial" w:hAnsi="Arial" w:cs="Arial"/>
          <w:color w:val="000000"/>
        </w:rPr>
        <w:t xml:space="preserve">% of use days and </w:t>
      </w:r>
      <w:r w:rsidR="00CB0F18" w:rsidRPr="003B50F6">
        <w:rPr>
          <w:rFonts w:ascii="Arial" w:hAnsi="Arial" w:cs="Arial"/>
          <w:color w:val="000000"/>
        </w:rPr>
        <w:t>60</w:t>
      </w:r>
      <w:r w:rsidR="00893C2A" w:rsidRPr="003B50F6">
        <w:rPr>
          <w:rFonts w:ascii="Arial" w:hAnsi="Arial" w:cs="Arial"/>
          <w:color w:val="000000"/>
        </w:rPr>
        <w:t>% of expenditures</w:t>
      </w:r>
      <w:r w:rsidR="007A4216" w:rsidRPr="003B50F6">
        <w:rPr>
          <w:rFonts w:ascii="Arial" w:hAnsi="Arial" w:cs="Arial"/>
          <w:color w:val="000000"/>
        </w:rPr>
        <w:t xml:space="preserve"> in 2012-2013</w:t>
      </w:r>
      <w:r w:rsidR="00893C2A" w:rsidRPr="003B50F6">
        <w:rPr>
          <w:rFonts w:ascii="Arial" w:hAnsi="Arial" w:cs="Arial"/>
          <w:color w:val="000000"/>
        </w:rPr>
        <w:t xml:space="preserve">. </w:t>
      </w:r>
      <w:r w:rsidR="00294A48" w:rsidRPr="003B50F6">
        <w:rPr>
          <w:rFonts w:ascii="Arial" w:hAnsi="Arial" w:cs="Arial"/>
          <w:color w:val="000000"/>
        </w:rPr>
        <w:t>In total, t</w:t>
      </w:r>
      <w:r w:rsidR="00190881" w:rsidRPr="003B50F6">
        <w:rPr>
          <w:rFonts w:ascii="Arial" w:hAnsi="Arial" w:cs="Arial"/>
          <w:color w:val="000000"/>
        </w:rPr>
        <w:t>he number of days of marijuana use reported to NSDUH increased by more than half from 2002-2003 to 20</w:t>
      </w:r>
      <w:r w:rsidR="007A4216" w:rsidRPr="003B50F6">
        <w:rPr>
          <w:rFonts w:ascii="Arial" w:hAnsi="Arial" w:cs="Arial"/>
          <w:color w:val="000000"/>
        </w:rPr>
        <w:t>12</w:t>
      </w:r>
      <w:r w:rsidR="00190881" w:rsidRPr="003B50F6">
        <w:rPr>
          <w:rFonts w:ascii="Arial" w:hAnsi="Arial" w:cs="Arial"/>
          <w:color w:val="000000"/>
        </w:rPr>
        <w:t>-201</w:t>
      </w:r>
      <w:r w:rsidR="007A4216" w:rsidRPr="003B50F6">
        <w:rPr>
          <w:rFonts w:ascii="Arial" w:hAnsi="Arial" w:cs="Arial"/>
          <w:color w:val="000000"/>
        </w:rPr>
        <w:t>3</w:t>
      </w:r>
      <w:r w:rsidR="00535DDB">
        <w:rPr>
          <w:rFonts w:ascii="Arial" w:hAnsi="Arial" w:cs="Arial"/>
          <w:color w:val="000000"/>
        </w:rPr>
        <w:t xml:space="preserve"> </w:t>
      </w:r>
      <w:r w:rsidR="00535DDB">
        <w:rPr>
          <w:rFonts w:ascii="Arial" w:hAnsi="Arial" w:cs="Arial"/>
          <w:color w:val="000000"/>
        </w:rPr>
        <w:fldChar w:fldCharType="begin" w:fldLock="1"/>
      </w:r>
      <w:r w:rsidR="00535DDB">
        <w:rPr>
          <w:rFonts w:ascii="Arial" w:hAnsi="Arial" w:cs="Arial"/>
          <w:color w:val="000000"/>
        </w:rPr>
        <w:instrText>ADDIN CSL_CITATION { "citationItems" : [ { "id" : "ITEM-1", "itemData" : { "DOI" : "10.1177/0022042616659759", "ISSN" : "00220426", "abstract" : "The past decade has seen a remarkable liberalization of marijuana policies in many parts of the United States. We analyze data from the National Survey on Drug Use and Health (NSDUH) for coinciding changes in the marijuana market from 2002 to 2013, including market size, number and demographics of customers, and varying means of acquiring the drug. Results suggests that (a) the national market has grown, especially in terms of the number of daily users; (b) marijuana users remained economically \" downscale \" over this period, and in many ways resemble cigarette users; (c) distribution networks appear to be professionalizing in a sense, as fewer users obtain marijuana socially; (d) the typical purchase has gotten smaller by weight but not price paid, suggestive of a trend toward higher potencies; (e) marijuana expenditures vary by user group; and (f) respondents with medical marijuana recommendations differ from other users in systematic ways.", "author" : [ { "dropping-particle" : "", "family" : "Davenport", "given" : "Steven S.", "non-dropping-particle" : "", "parse-names" : false, "suffix" : "" }, { "dropping-particle" : "", "family" : "Caulkins", "given" : "Jonathan P.", "non-dropping-particle" : "", "parse-names" : false, "suffix" : "" } ], "container-title" : "Journal of Drug Issues", "id" : "ITEM-1", "issue" : "4", "issued" : { "date-parts" : [ [ "2016" ] ] }, "page" : "411-427", "title" : "Evolution of the United States marijuana market in the decade of liberalization before full legalization", "type" : "article-journal", "volume" : "46" }, "uris" : [ "http://www.mendeley.com/documents/?uuid=af78958c-be13-43ba-9abd-339e05c3e32e" ] } ], "mendeley" : { "formattedCitation" : "(Davenport and Caulkins, 2016)", "plainTextFormattedCitation" : "(Davenport and Caulkins, 2016)", "previouslyFormattedCitation" : "(Davenport and Caulkins, 2016)" }, "properties" : {  }, "schema" : "https://github.com/citation-style-language/schema/raw/master/csl-citation.json" }</w:instrText>
      </w:r>
      <w:r w:rsidR="00535DDB">
        <w:rPr>
          <w:rFonts w:ascii="Arial" w:hAnsi="Arial" w:cs="Arial"/>
          <w:color w:val="000000"/>
        </w:rPr>
        <w:fldChar w:fldCharType="separate"/>
      </w:r>
      <w:r w:rsidR="00535DDB" w:rsidRPr="00535DDB">
        <w:rPr>
          <w:rFonts w:ascii="Arial" w:hAnsi="Arial" w:cs="Arial"/>
          <w:noProof/>
          <w:color w:val="000000"/>
        </w:rPr>
        <w:t>(Davenport and Caulkins, 2016)</w:t>
      </w:r>
      <w:r w:rsidR="00535DDB">
        <w:rPr>
          <w:rFonts w:ascii="Arial" w:hAnsi="Arial" w:cs="Arial"/>
          <w:color w:val="000000"/>
        </w:rPr>
        <w:fldChar w:fldCharType="end"/>
      </w:r>
      <w:r w:rsidR="00190881" w:rsidRPr="003B50F6">
        <w:rPr>
          <w:rFonts w:ascii="Arial" w:hAnsi="Arial" w:cs="Arial"/>
          <w:color w:val="000000"/>
        </w:rPr>
        <w:t>.</w:t>
      </w:r>
    </w:p>
    <w:p w14:paraId="1ED2EF48" w14:textId="00698F9D" w:rsidR="00C81455" w:rsidRDefault="00DA4949" w:rsidP="00C81455">
      <w:pPr>
        <w:spacing w:after="160"/>
        <w:jc w:val="both"/>
        <w:rPr>
          <w:rFonts w:ascii="Arial" w:hAnsi="Arial" w:cs="Arial"/>
          <w:color w:val="000000"/>
        </w:rPr>
      </w:pPr>
      <w:r>
        <w:rPr>
          <w:rFonts w:ascii="Arial" w:hAnsi="Arial" w:cs="Arial"/>
          <w:color w:val="000000"/>
        </w:rPr>
        <w:t>Use disorders are a</w:t>
      </w:r>
      <w:r w:rsidR="00CC4B0F">
        <w:rPr>
          <w:rFonts w:ascii="Arial" w:hAnsi="Arial" w:cs="Arial"/>
          <w:color w:val="000000"/>
        </w:rPr>
        <w:t xml:space="preserve">n important risk of marijuana use. </w:t>
      </w:r>
      <w:r w:rsidR="00D635E6" w:rsidRPr="003B50F6">
        <w:rPr>
          <w:rFonts w:ascii="Arial" w:hAnsi="Arial" w:cs="Arial"/>
          <w:color w:val="000000"/>
        </w:rPr>
        <w:t>T</w:t>
      </w:r>
      <w:r w:rsidR="00190881" w:rsidRPr="003B50F6">
        <w:rPr>
          <w:rFonts w:ascii="Arial" w:hAnsi="Arial" w:cs="Arial"/>
          <w:color w:val="000000"/>
        </w:rPr>
        <w:t xml:space="preserve">he </w:t>
      </w:r>
      <w:r w:rsidR="00E446AE" w:rsidRPr="003B50F6">
        <w:rPr>
          <w:rFonts w:ascii="Arial" w:hAnsi="Arial" w:cs="Arial"/>
          <w:color w:val="000000"/>
        </w:rPr>
        <w:t xml:space="preserve">Diagnostic and Statistical Manual of Mental Disorders, Fourth Edition </w:t>
      </w:r>
      <w:r w:rsidR="00E446AE">
        <w:rPr>
          <w:rFonts w:ascii="Arial" w:hAnsi="Arial" w:cs="Arial"/>
          <w:color w:val="000000"/>
        </w:rPr>
        <w:t>(</w:t>
      </w:r>
      <w:r w:rsidR="00190881" w:rsidRPr="003B50F6">
        <w:rPr>
          <w:rFonts w:ascii="Arial" w:hAnsi="Arial" w:cs="Arial"/>
          <w:color w:val="000000"/>
        </w:rPr>
        <w:t>DSM-IV</w:t>
      </w:r>
      <w:r w:rsidR="00E446AE">
        <w:rPr>
          <w:rFonts w:ascii="Arial" w:hAnsi="Arial" w:cs="Arial"/>
          <w:color w:val="000000"/>
        </w:rPr>
        <w:t>)</w:t>
      </w:r>
      <w:r w:rsidR="00190881" w:rsidRPr="003B50F6">
        <w:rPr>
          <w:rFonts w:ascii="Arial" w:hAnsi="Arial" w:cs="Arial"/>
          <w:color w:val="000000"/>
        </w:rPr>
        <w:t xml:space="preserve"> provides</w:t>
      </w:r>
      <w:r w:rsidR="006C4ADC" w:rsidRPr="003B50F6">
        <w:rPr>
          <w:rFonts w:ascii="Arial" w:hAnsi="Arial" w:cs="Arial"/>
          <w:color w:val="000000"/>
        </w:rPr>
        <w:t xml:space="preserve"> </w:t>
      </w:r>
      <w:r w:rsidR="00190881" w:rsidRPr="003B50F6">
        <w:rPr>
          <w:rFonts w:ascii="Arial" w:hAnsi="Arial" w:cs="Arial"/>
          <w:color w:val="000000"/>
        </w:rPr>
        <w:t>definition</w:t>
      </w:r>
      <w:r w:rsidR="006C4ADC" w:rsidRPr="003B50F6">
        <w:rPr>
          <w:rFonts w:ascii="Arial" w:hAnsi="Arial" w:cs="Arial"/>
          <w:color w:val="000000"/>
        </w:rPr>
        <w:t>s</w:t>
      </w:r>
      <w:r w:rsidR="00190881" w:rsidRPr="003B50F6">
        <w:rPr>
          <w:rFonts w:ascii="Arial" w:hAnsi="Arial" w:cs="Arial"/>
          <w:color w:val="000000"/>
        </w:rPr>
        <w:t xml:space="preserve"> of marijuana </w:t>
      </w:r>
      <w:r w:rsidR="006C4ADC" w:rsidRPr="003B50F6">
        <w:rPr>
          <w:rFonts w:ascii="Arial" w:hAnsi="Arial" w:cs="Arial"/>
          <w:color w:val="000000"/>
        </w:rPr>
        <w:t xml:space="preserve">abuse and </w:t>
      </w:r>
      <w:r w:rsidR="00190881" w:rsidRPr="003B50F6">
        <w:rPr>
          <w:rFonts w:ascii="Arial" w:hAnsi="Arial" w:cs="Arial"/>
          <w:color w:val="000000"/>
        </w:rPr>
        <w:t>dependence</w:t>
      </w:r>
      <w:r w:rsidR="006C4ADC" w:rsidRPr="003B50F6">
        <w:rPr>
          <w:rFonts w:ascii="Arial" w:hAnsi="Arial" w:cs="Arial"/>
          <w:color w:val="000000"/>
        </w:rPr>
        <w:t>, with diagnostic criteria including spending a great time using or getting marijuana, increasing tolerance, continued use despite physical or mental problems, and reduced time spent on important activitie</w:t>
      </w:r>
      <w:r w:rsidR="00F0348C" w:rsidRPr="003B50F6">
        <w:rPr>
          <w:rFonts w:ascii="Arial" w:hAnsi="Arial" w:cs="Arial"/>
          <w:color w:val="000000"/>
        </w:rPr>
        <w:t>s</w:t>
      </w:r>
      <w:r w:rsidR="005A7C1E">
        <w:rPr>
          <w:rFonts w:ascii="Arial" w:hAnsi="Arial" w:cs="Arial"/>
          <w:color w:val="000000"/>
        </w:rPr>
        <w:t>; with the notable exclusion of withdrawal symptoms, due to a lack of evidence at the time of publication</w:t>
      </w:r>
      <w:r w:rsidR="004673FE">
        <w:rPr>
          <w:rFonts w:ascii="Arial" w:hAnsi="Arial" w:cs="Arial"/>
          <w:color w:val="000000"/>
        </w:rPr>
        <w:t xml:space="preserve"> </w:t>
      </w:r>
      <w:r w:rsidR="004673FE">
        <w:rPr>
          <w:rFonts w:ascii="Arial" w:hAnsi="Arial" w:cs="Arial"/>
          <w:color w:val="000000"/>
        </w:rPr>
        <w:fldChar w:fldCharType="begin" w:fldLock="1"/>
      </w:r>
      <w:r w:rsidR="00535DDB">
        <w:rPr>
          <w:rFonts w:ascii="Arial" w:hAnsi="Arial" w:cs="Arial"/>
          <w:color w:val="000000"/>
        </w:rPr>
        <w:instrText>ADDIN CSL_CITATION { "citationItems" : [ { "id" : "ITEM-1", "itemData" : { "DOI" : "10.1176/appi.ajp.2013.12060782", "ISBN" : "1535-7228 (Electronic)\\r0002-953X (Linking)", "ISSN" : "15357228", "PMID" : "23903334", "abstract" : "Since DSM-IV was published in 1994, its approach to substance use disorders has come under scrutiny. Strengths were identified (notably, reliability and validity of dependence), but concerns have also arisen. The DSM-5 Substance-Related Disorders Work Group considered these issues and recommended revisions for DSM-5. General concerns included whether to retain the division into two main disorders (dependence and abuse), whether substance use disorder criteria should be added or removed, and whether an appropriate substance use disorder severity indicator could be identified. Specific issues included possible addition of withdrawal syndromes for several substances, alignment of nicotine criteria with those for other substances, addition of biomarkers, and inclusion of nonsubstance, behavioral addictions.This article presents the major issues and evidence considered by the work group, which included literature reviews and extensive new data analyses. The work group recommendations for DSM-5 revisions includ...", "author" : [ { "dropping-particle" : "", "family" : "Hasin", "given" : "Deborah S.", "non-dropping-particle" : "", "parse-names" : false, "suffix" : "" }, { "dropping-particle" : "", "family" : "O'Brien", "given" : "Charles P.", "non-dropping-particle" : "", "parse-names" : false, "suffix" : "" }, { "dropping-particle" : "", "family" : "Auriacombe", "given" : "Marc", "non-dropping-particle" : "", "parse-names" : false, "suffix" : "" }, { "dropping-particle" : "", "family" : "Borges", "given" : "Guilherme", "non-dropping-particle" : "", "parse-names" : false, "suffix" : "" }, { "dropping-particle" : "", "family" : "Bucholz", "given" : "Kathleen", "non-dropping-particle" : "", "parse-names" : false, "suffix" : "" }, { "dropping-particle" : "", "family" : "Budney", "given" : "Alan", "non-dropping-particle" : "", "parse-names" : false, "suffix" : "" }, { "dropping-particle" : "", "family" : "Compton", "given" : "Wilson M.", "non-dropping-particle" : "", "parse-names" : false, "suffix" : "" }, { "dropping-particle" : "", "family" : "Crowley", "given" : "Thomas", "non-dropping-particle" : "", "parse-names" : false, "suffix" : "" }, { "dropping-particle" : "", "family" : "Ling", "given" : "Walter", "non-dropping-particle" : "", "parse-names" : false, "suffix" : "" }, { "dropping-particle" : "", "family" : "Petry", "given" : "Nancy M.", "non-dropping-particle" : "", "parse-names" : false, "suffix" : "" }, { "dropping-particle" : "", "family" : "Schuckit", "given" : "Marc", "non-dropping-particle" : "", "parse-names" : false, "suffix" : "" }, { "dropping-particle" : "", "family" : "Grant", "given" : "Bridget F.", "non-dropping-particle" : "", "parse-names" : false, "suffix" : "" } ], "container-title" : "American Journal of Psychiatry", "id" : "ITEM-1", "issue" : "8", "issued" : { "date-parts" : [ [ "2013" ] ] }, "page" : "834-851", "title" : "DSM-5 criteria for substance use disorders: Recommendations and rationale", "type" : "article-journal", "volume" : "170" }, "uris" : [ "http://www.mendeley.com/documents/?uuid=0ecd0b42-b7be-45cb-a79f-725e0d65e52c" ] }, { "id" : "ITEM-2", "itemData" : { "DOI" : "10.1073/pnas.0703993104", "ISBN" : "9781604138795", "ISSN" : "0098-7484", "PMID" : "24413388", "author" : [ { "dropping-particle" : "", "family" : "American Psychiatric Association", "given" : "", "non-dropping-particle" : "", "parse-names" : false, "suffix" : "" } ], "edition" : "4th", "id" : "ITEM-2", "issued" : { "date-parts" : [ [ "2000" ] ] }, "publisher" : "Washington, DC: Author", "title" : "Diagnostic and statistical manual of mental disorders", "type" : "book" }, "uris" : [ "http://www.mendeley.com/documents/?uuid=4c055881-73d4-4cc7-8631-975aa705af24" ] } ], "mendeley" : { "formattedCitation" : "(American Psychiatric Association, 2000; Hasin et al., 2013)", "plainTextFormattedCitation" : "(American Psychiatric Association, 2000; Hasin et al., 2013)", "previouslyFormattedCitation" : "(American Psychiatric Association, 2000; Hasin et al., 2013)" }, "properties" : {  }, "schema" : "https://github.com/citation-style-language/schema/raw/master/csl-citation.json" }</w:instrText>
      </w:r>
      <w:r w:rsidR="004673FE">
        <w:rPr>
          <w:rFonts w:ascii="Arial" w:hAnsi="Arial" w:cs="Arial"/>
          <w:color w:val="000000"/>
        </w:rPr>
        <w:fldChar w:fldCharType="separate"/>
      </w:r>
      <w:r w:rsidR="00535DDB" w:rsidRPr="00535DDB">
        <w:rPr>
          <w:rFonts w:ascii="Arial" w:hAnsi="Arial" w:cs="Arial"/>
          <w:noProof/>
          <w:color w:val="000000"/>
        </w:rPr>
        <w:t>(American Psychiatric Association, 2000; Hasin et al., 2013)</w:t>
      </w:r>
      <w:r w:rsidR="004673FE">
        <w:rPr>
          <w:rFonts w:ascii="Arial" w:hAnsi="Arial" w:cs="Arial"/>
          <w:color w:val="000000"/>
        </w:rPr>
        <w:fldChar w:fldCharType="end"/>
      </w:r>
      <w:r w:rsidR="005A7C1E">
        <w:rPr>
          <w:rFonts w:ascii="Arial" w:hAnsi="Arial" w:cs="Arial"/>
          <w:color w:val="000000"/>
        </w:rPr>
        <w:t xml:space="preserve">. </w:t>
      </w:r>
      <w:r w:rsidR="00C81455">
        <w:rPr>
          <w:rFonts w:ascii="Arial" w:hAnsi="Arial" w:cs="Arial"/>
          <w:color w:val="000000"/>
        </w:rPr>
        <w:t>Questions corresponding to these criteria have been asked by the National Survey on Drug Use and Health (NSDUH) for decades, allowing for the calculation of prevalence of cannabis abuse and/or dependence based on self-reported symptoms.</w:t>
      </w:r>
      <w:r w:rsidR="005A7C1E">
        <w:rPr>
          <w:rFonts w:ascii="Arial" w:hAnsi="Arial" w:cs="Arial"/>
          <w:color w:val="000000"/>
        </w:rPr>
        <w:t xml:space="preserve"> </w:t>
      </w:r>
    </w:p>
    <w:p w14:paraId="5512E468" w14:textId="7ADAAEB7" w:rsidR="00C81455" w:rsidRDefault="00C81455" w:rsidP="00C81455">
      <w:pPr>
        <w:spacing w:after="160"/>
        <w:jc w:val="both"/>
        <w:rPr>
          <w:rFonts w:ascii="Arial" w:hAnsi="Arial" w:cs="Arial"/>
          <w:color w:val="000000"/>
        </w:rPr>
      </w:pPr>
      <w:r>
        <w:rPr>
          <w:rFonts w:ascii="Arial" w:hAnsi="Arial" w:cs="Arial"/>
          <w:color w:val="000000"/>
        </w:rPr>
        <w:t>Though the NSDUH questionnaire remains unchanged, t</w:t>
      </w:r>
      <w:r w:rsidR="005A7C1E">
        <w:rPr>
          <w:rFonts w:ascii="Arial" w:hAnsi="Arial" w:cs="Arial"/>
          <w:color w:val="000000"/>
        </w:rPr>
        <w:t xml:space="preserve">he DSM-V </w:t>
      </w:r>
      <w:r>
        <w:rPr>
          <w:rFonts w:ascii="Arial" w:hAnsi="Arial" w:cs="Arial"/>
          <w:color w:val="000000"/>
        </w:rPr>
        <w:t xml:space="preserve">has since </w:t>
      </w:r>
      <w:r w:rsidR="005A7C1E">
        <w:rPr>
          <w:rFonts w:ascii="Arial" w:hAnsi="Arial" w:cs="Arial"/>
          <w:color w:val="000000"/>
        </w:rPr>
        <w:t>introduced changes relating to cannabis use disorders</w:t>
      </w:r>
      <w:r w:rsidR="00DB2D83">
        <w:rPr>
          <w:rFonts w:ascii="Arial" w:hAnsi="Arial" w:cs="Arial"/>
          <w:color w:val="000000"/>
        </w:rPr>
        <w:t xml:space="preserve"> </w:t>
      </w:r>
      <w:r w:rsidR="00DB2D83">
        <w:rPr>
          <w:rFonts w:ascii="Arial" w:hAnsi="Arial" w:cs="Arial"/>
          <w:color w:val="000000"/>
        </w:rPr>
        <w:fldChar w:fldCharType="begin" w:fldLock="1"/>
      </w:r>
      <w:r w:rsidR="00DB2D83">
        <w:rPr>
          <w:rFonts w:ascii="Arial" w:hAnsi="Arial" w:cs="Arial"/>
          <w:color w:val="000000"/>
        </w:rPr>
        <w:instrText>ADDIN CSL_CITATION { "citationItems" : [ { "id" : "ITEM-1", "itemData" : { "author" : [ { "dropping-particle" : "", "family" : "American Psychiatric Association", "given" : "", "non-dropping-particle" : "", "parse-names" : false, "suffix" : "" } ], "edition" : "5th", "id" : "ITEM-1", "issued" : { "date-parts" : [ [ "2013" ] ] }, "publisher" : "Washington, DC: Author", "title" : "Diagnostic and statistical manual of mental disorders", "type" : "book" }, "uris" : [ "http://www.mendeley.com/documents/?uuid=f40b55e5-a66f-469f-8df1-403ce362e1dc" ] }, { "id" : "ITEM-2", "itemData" : { "author" : [ { "dropping-particle" : "", "family" : "Center for Behavioral Health Statistics and Quality", "given" : "", "non-dropping-particle" : "", "parse-names" : false, "suffix" : "" } ], "id" : "ITEM-2", "issued" : { "date-parts" : [ [ "2016" ] ] }, "publisher" : "Rockville, MD: Substance Abuse and Mental Health Services Administration", "title" : "Impact of the DSM-IV to DSM-5 Changes on the National Survey on Drug Use and Health", "type" : "report" }, "uris" : [ "http://www.mendeley.com/documents/?uuid=1b18dc0a-f699-46e1-983c-69798afde4e8" ] } ], "mendeley" : { "formattedCitation" : "(American Psychiatric Association, 2013; Center for Behavioral Health Statistics and Quality, 2016)", "plainTextFormattedCitation" : "(American Psychiatric Association, 2013; Center for Behavioral Health Statistics and Quality, 2016)", "previouslyFormattedCitation" : "(American Psychiatric Association, 2013; Center for Behavioral Health Statistics and Quality, 2016)" }, "properties" : {  }, "schema" : "https://github.com/citation-style-language/schema/raw/master/csl-citation.json" }</w:instrText>
      </w:r>
      <w:r w:rsidR="00DB2D83">
        <w:rPr>
          <w:rFonts w:ascii="Arial" w:hAnsi="Arial" w:cs="Arial"/>
          <w:color w:val="000000"/>
        </w:rPr>
        <w:fldChar w:fldCharType="separate"/>
      </w:r>
      <w:r w:rsidR="00DB2D83" w:rsidRPr="00DB2D83">
        <w:rPr>
          <w:rFonts w:ascii="Arial" w:hAnsi="Arial" w:cs="Arial"/>
          <w:noProof/>
          <w:color w:val="000000"/>
        </w:rPr>
        <w:t>(American Psychiatric Association, 2013; Center for Behavioral Health Statistics and Quality, 2016)</w:t>
      </w:r>
      <w:r w:rsidR="00DB2D83">
        <w:rPr>
          <w:rFonts w:ascii="Arial" w:hAnsi="Arial" w:cs="Arial"/>
          <w:color w:val="000000"/>
        </w:rPr>
        <w:fldChar w:fldCharType="end"/>
      </w:r>
      <w:r w:rsidR="00734D34">
        <w:rPr>
          <w:rFonts w:ascii="Arial" w:hAnsi="Arial" w:cs="Arial"/>
          <w:color w:val="000000"/>
        </w:rPr>
        <w:t>.</w:t>
      </w:r>
      <w:r w:rsidR="005A7C1E">
        <w:rPr>
          <w:rFonts w:ascii="Arial" w:hAnsi="Arial" w:cs="Arial"/>
          <w:color w:val="000000"/>
        </w:rPr>
        <w:t xml:space="preserve"> </w:t>
      </w:r>
      <w:r w:rsidR="00AC220B">
        <w:rPr>
          <w:rFonts w:ascii="Arial" w:hAnsi="Arial" w:cs="Arial"/>
          <w:color w:val="000000"/>
        </w:rPr>
        <w:t xml:space="preserve">First, the DSM-V changed the diagnostic threshold for cannabis use disorder, </w:t>
      </w:r>
      <w:r w:rsidR="00BB4C0D">
        <w:rPr>
          <w:rFonts w:ascii="Arial" w:hAnsi="Arial" w:cs="Arial"/>
          <w:color w:val="000000"/>
        </w:rPr>
        <w:t>merging</w:t>
      </w:r>
      <w:r w:rsidR="00AC220B">
        <w:rPr>
          <w:rFonts w:ascii="Arial" w:hAnsi="Arial" w:cs="Arial"/>
          <w:color w:val="000000"/>
        </w:rPr>
        <w:t xml:space="preserve"> cannabis abuse and dependence</w:t>
      </w:r>
      <w:r w:rsidR="00BB4C0D">
        <w:rPr>
          <w:rFonts w:ascii="Arial" w:hAnsi="Arial" w:cs="Arial"/>
          <w:color w:val="000000"/>
        </w:rPr>
        <w:t xml:space="preserve"> and changing some criteria: namely, dropping the criterion relating to legality, citing limited information gained for diagnosis and amid doubts about its use as a clinical indicator, and adding a criterion relating to cravings</w:t>
      </w:r>
      <w:r w:rsidR="008A6362">
        <w:rPr>
          <w:rFonts w:ascii="Arial" w:hAnsi="Arial" w:cs="Arial"/>
          <w:color w:val="000000"/>
        </w:rPr>
        <w:t xml:space="preserve"> </w:t>
      </w:r>
      <w:r w:rsidR="00901E8B">
        <w:rPr>
          <w:rFonts w:ascii="Arial" w:hAnsi="Arial" w:cs="Arial"/>
          <w:color w:val="000000"/>
        </w:rPr>
        <w:fldChar w:fldCharType="begin" w:fldLock="1"/>
      </w:r>
      <w:r w:rsidR="00901E8B">
        <w:rPr>
          <w:rFonts w:ascii="Arial" w:hAnsi="Arial" w:cs="Arial"/>
          <w:color w:val="000000"/>
        </w:rPr>
        <w:instrText>ADDIN CSL_CITATION { "citationItems" : [ { "id" : "ITEM-1", "itemData" : { "DOI" : "10.1016/j.drugalcdep.2012.07.009", "ISBN" : "1879-0046 (Electronic)\\r0376-8716 (Linking)", "ISSN" : "03768716", "PMID" : "22884164", "abstract" : "Background: The fifth edition of the Diagnostic and Statistical Manual of Mental Disorders (DSM-5) will soon replace the DSM-IV, which has existed for nearly two decades. The changes in diagnostic criteria have important implications for research and for the clinical care of individuals with Substance Use Disorders (SUDs). Methods: We used the Semi-Structured Assessment for Drug Dependence and Alcoholism to evaluate the lifetime presence of DSM-IV abuse and dependence diagnoses and DSM-5 mild, moderate, or severe SUDs for alcohol, cocaine, opioids, and cannabis in a sample of 7,543 individuals recruited to participate in genetic studies of substance dependence. Results: Switches between diagnostic systems consistently resulted in a modestly greater prevalence for DSM-5 SUDs, based largely on the assignment of DSM-5 diagnoses to DSM-IV \"diagnostic orphans\" (i.e., individuals meeting one or two criteria for dependence and none for abuse, and thus not receiving a DSM-IV SUD diagnosis). The vast majority of these diagnostic switches were attributable to the requirement that only two of 11 criteria be met for a DSM-5 SUD diagnosis. We found evidence to support the omission from DSM-5 of the legal criterion due to its limited diagnostic utility. The addition of craving as a criterion in DSM-5 did not substantially affect the likelihood of an SUD diagnosis. Conclusion: The greatest advantage of DSM-5 for the diagnosis of SUDs appears to be its ability to capture diagnostic orphans. In this sample, changes reflected in DSM-5 had a minimal impact on the prevalence of SUD diagnoses. \u00a9 2012 Elsevier Ireland Ltd.", "author" : [ { "dropping-particle" : "", "family" : "Peer", "given" : "Kyle", "non-dropping-particle" : "", "parse-names" : false, "suffix" : "" }, { "dropping-particle" : "", "family" : "Rennert", "given" : "Lior", "non-dropping-particle" : "", "parse-names" : false, "suffix" : "" }, { "dropping-particle" : "", "family" : "Lynch", "given" : "Kevin G.", "non-dropping-particle" : "", "parse-names" : false, "suffix" : "" }, { "dropping-particle" : "", "family" : "Farrer", "given" : "Lindsay", "non-dropping-particle" : "", "parse-names" : false, "suffix" : "" }, { "dropping-particle" : "", "family" : "Gelernter", "given" : "Joel", "non-dropping-particle" : "", "parse-names" : false, "suffix" : "" }, { "dropping-particle" : "", "family" : "Kranzler", "given" : "Henry R.", "non-dropping-particle" : "", "parse-names" : false, "suffix" : "" } ], "container-title" : "Drug and Alcohol Dependence", "id" : "ITEM-1", "issue" : "1-3", "issued" : { "date-parts" : [ [ "2013" ] ] }, "page" : "215-219", "publisher" : "Elsevier Ireland Ltd", "title" : "Prevalence of DSM-IV and DSM-5 alcohol, cocaine, opioid, and cannabis use disorders in a largely substance dependent sample", "type" : "article-journal", "volume" : "127" }, "uris" : [ "http://www.mendeley.com/documents/?uuid=5dd71714-85c3-4f9f-9bd3-7b68551dc1a8" ] } ], "mendeley" : { "formattedCitation" : "(Peer et al., 2013)", "plainTextFormattedCitation" : "(Peer et al., 2013)", "previouslyFormattedCitation" : "(Peer et al., 2013)" }, "properties" : {  }, "schema" : "https://github.com/citation-style-language/schema/raw/master/csl-citation.json" }</w:instrText>
      </w:r>
      <w:r w:rsidR="00901E8B">
        <w:rPr>
          <w:rFonts w:ascii="Arial" w:hAnsi="Arial" w:cs="Arial"/>
          <w:color w:val="000000"/>
        </w:rPr>
        <w:fldChar w:fldCharType="separate"/>
      </w:r>
      <w:r w:rsidR="00901E8B" w:rsidRPr="00901E8B">
        <w:rPr>
          <w:rFonts w:ascii="Arial" w:hAnsi="Arial" w:cs="Arial"/>
          <w:noProof/>
          <w:color w:val="000000"/>
        </w:rPr>
        <w:t>(Peer et al., 2013)</w:t>
      </w:r>
      <w:r w:rsidR="00901E8B">
        <w:rPr>
          <w:rFonts w:ascii="Arial" w:hAnsi="Arial" w:cs="Arial"/>
          <w:color w:val="000000"/>
        </w:rPr>
        <w:fldChar w:fldCharType="end"/>
      </w:r>
      <w:r w:rsidR="00734D34">
        <w:rPr>
          <w:rFonts w:ascii="Arial" w:hAnsi="Arial" w:cs="Arial"/>
          <w:color w:val="000000"/>
        </w:rPr>
        <w:t>.</w:t>
      </w:r>
      <w:r w:rsidR="00BB4C0D">
        <w:rPr>
          <w:rFonts w:ascii="Arial" w:hAnsi="Arial" w:cs="Arial"/>
          <w:color w:val="000000"/>
        </w:rPr>
        <w:t xml:space="preserve"> </w:t>
      </w:r>
      <w:r w:rsidR="00AC220B">
        <w:rPr>
          <w:rFonts w:ascii="Arial" w:hAnsi="Arial" w:cs="Arial"/>
          <w:color w:val="000000"/>
        </w:rPr>
        <w:t>Second</w:t>
      </w:r>
      <w:r w:rsidR="005A7C1E">
        <w:rPr>
          <w:rFonts w:ascii="Arial" w:hAnsi="Arial" w:cs="Arial"/>
          <w:color w:val="000000"/>
        </w:rPr>
        <w:t xml:space="preserve">, </w:t>
      </w:r>
      <w:r>
        <w:rPr>
          <w:rFonts w:ascii="Arial" w:hAnsi="Arial" w:cs="Arial"/>
          <w:color w:val="000000"/>
        </w:rPr>
        <w:t>reflecting new research, the DSM-V</w:t>
      </w:r>
      <w:r w:rsidR="005A7C1E">
        <w:rPr>
          <w:rFonts w:ascii="Arial" w:hAnsi="Arial" w:cs="Arial"/>
          <w:color w:val="000000"/>
        </w:rPr>
        <w:t xml:space="preserve"> r</w:t>
      </w:r>
      <w:r w:rsidR="00CC4B0F">
        <w:rPr>
          <w:rFonts w:ascii="Arial" w:hAnsi="Arial" w:cs="Arial"/>
          <w:color w:val="000000"/>
        </w:rPr>
        <w:t xml:space="preserve">ecognized symptoms for cannabis withdrawal, based on feelings of irritability, anger, anxiety, disturbed sleep, decreased appetite, mood, </w:t>
      </w:r>
      <w:r w:rsidR="00DB65F2">
        <w:rPr>
          <w:rFonts w:ascii="Arial" w:hAnsi="Arial" w:cs="Arial"/>
          <w:color w:val="000000"/>
        </w:rPr>
        <w:t xml:space="preserve">and/or </w:t>
      </w:r>
      <w:r w:rsidR="00CC4B0F">
        <w:rPr>
          <w:rFonts w:ascii="Arial" w:hAnsi="Arial" w:cs="Arial"/>
          <w:color w:val="000000"/>
        </w:rPr>
        <w:t>energy, and at least one physical symptom causing significant discomfort, e.g., abdominal pain, tremors, fever, or headache</w:t>
      </w:r>
      <w:r w:rsidR="00901E8B">
        <w:rPr>
          <w:rFonts w:ascii="Arial" w:hAnsi="Arial" w:cs="Arial"/>
          <w:color w:val="000000"/>
        </w:rPr>
        <w:t xml:space="preserve"> </w:t>
      </w:r>
      <w:r w:rsidR="00901E8B">
        <w:rPr>
          <w:rFonts w:ascii="Arial" w:hAnsi="Arial" w:cs="Arial"/>
          <w:color w:val="000000"/>
        </w:rPr>
        <w:fldChar w:fldCharType="begin" w:fldLock="1"/>
      </w:r>
      <w:r w:rsidR="00901E8B">
        <w:rPr>
          <w:rFonts w:ascii="Arial" w:hAnsi="Arial" w:cs="Arial"/>
          <w:color w:val="000000"/>
        </w:rPr>
        <w:instrText>ADDIN CSL_CITATION { "citationItems" : [ { "id" : "ITEM-1", "itemData" : { "DOI" : "10.4088/JCP.v69n0902", "ISBN" : "0160-6689", "ISSN" : "1555-2101", "PMID" : "19012815", "abstract" : "Objective\u2014Although cannabis is the most widely abused illicit drug, little is known about the prevalence of cannabis withdrawal, its factor structure, clinical validity and psychiatric correlates in the general population. Methods\u2014National Epidemiologic Survey on Alcohol and Related Conditions participants were assessed with structured in-person interviews covering substance history, DSM-IV Axis I and II disorders, and withdrawal symptoms after cessation of use. Of these, 2,613 had been frequent cannabis users (\u22653 times/week), and a cannabis-only subset (N=1,119) never binge-drank or used other drugs \u22653 times/week. Results\u2014In the full sample and subset, 44.3% (se 1.19) and 44.2% (se 1.75), respectively, experienced \u22652 cannabis withdrawal symptoms, while 34.4% (se 1.21) and 34.1% (se 1.76), respectively, experienced \u22653 symptoms. The symptoms formed two factors, one characterized by weakness, hypersomnia, and psychomotor retardation, and the second by anxiety, restlessness, depression, insomnia. Both symptom types were associated with significant distress/impairment (p&lt;. 01), substance use to relieve/avoid cannabis withdrawal symptoms (p&lt;.01), and quantity of cannabis use (among the cannabis-only users p&lt;.05). Panic (p&lt;.01) and personality disorders (p&lt;.01) associated with anxiety symptoms in both samples, family history of drug problems with weakness symptoms in the subset (p=.01), and depression with both sets of symptoms in the subset (p&lt;.05). Conclusion\u2014Cannabis withdrawal was prevalent and clinically significant among a representative sample of frequent cannabis users. Similar results in the subset without polysubstance abuse confirmed the specificity of symptoms to cannabis. Cannabis withdrawal should be added to DSM-V and the etiology and treatment implications of cannabis withdrawal symptoms investigated.", "author" : [ { "dropping-particle" : "", "family" : "Hasin", "given" : "Deborah S", "non-dropping-particle" : "", "parse-names" : false, "suffix" : "" }, { "dropping-particle" : "", "family" : "Keyes", "given" : "Katherine M", "non-dropping-particle" : "", "parse-names" : false, "suffix" : "" }, { "dropping-particle" : "", "family" : "Alderson", "given" : "Donald", "non-dropping-particle" : "", "parse-names" : false, "suffix" : "" }, { "dropping-particle" : "", "family" : "Wang", "given" : "Shuang", "non-dropping-particle" : "", "parse-names" : false, "suffix" : "" }, { "dropping-particle" : "", "family" : "Aharonovich", "given" : "Efrat", "non-dropping-particle" : "", "parse-names" : false, "suffix" : "" }, { "dropping-particle" : "", "family" : "Grant", "given" : "Bridget F", "non-dropping-particle" : "", "parse-names" : false, "suffix" : "" }, { "dropping-particle" : "", "family" : "Author", "given" : "Corresponding", "non-dropping-particle" : "", "parse-names" : false, "suffix" : "" } ], "container-title" : "J Clin Psychiatry", "id" : "ITEM-1", "issue" : "9", "issued" : { "date-parts" : [ [ "2008" ] ] }, "page" : "1354-1363", "title" : "Cannabis withdrawal in the United States: a general population study", "type" : "article-journal", "volume" : "69" }, "uris" : [ "http://www.mendeley.com/documents/?uuid=d51c0ddc-7c89-451a-94de-3bb687270192" ] } ], "mendeley" : { "formattedCitation" : "(Hasin et al., 2008)", "plainTextFormattedCitation" : "(Hasin et al., 2008)", "previouslyFormattedCitation" : "(Hasin et al., 2008)" }, "properties" : {  }, "schema" : "https://github.com/citation-style-language/schema/raw/master/csl-citation.json" }</w:instrText>
      </w:r>
      <w:r w:rsidR="00901E8B">
        <w:rPr>
          <w:rFonts w:ascii="Arial" w:hAnsi="Arial" w:cs="Arial"/>
          <w:color w:val="000000"/>
        </w:rPr>
        <w:fldChar w:fldCharType="separate"/>
      </w:r>
      <w:r w:rsidR="00901E8B" w:rsidRPr="00901E8B">
        <w:rPr>
          <w:rFonts w:ascii="Arial" w:hAnsi="Arial" w:cs="Arial"/>
          <w:noProof/>
          <w:color w:val="000000"/>
        </w:rPr>
        <w:t>(Hasin et al., 2008)</w:t>
      </w:r>
      <w:r w:rsidR="00901E8B">
        <w:rPr>
          <w:rFonts w:ascii="Arial" w:hAnsi="Arial" w:cs="Arial"/>
          <w:color w:val="000000"/>
        </w:rPr>
        <w:fldChar w:fldCharType="end"/>
      </w:r>
      <w:r w:rsidR="00CC4B0F">
        <w:rPr>
          <w:rFonts w:ascii="Arial" w:hAnsi="Arial" w:cs="Arial"/>
          <w:color w:val="000000"/>
        </w:rPr>
        <w:t xml:space="preserve">. </w:t>
      </w:r>
      <w:r w:rsidR="005A7C1E">
        <w:rPr>
          <w:rFonts w:ascii="Arial" w:hAnsi="Arial" w:cs="Arial"/>
          <w:color w:val="000000"/>
        </w:rPr>
        <w:t xml:space="preserve">Comparisons suggest these </w:t>
      </w:r>
      <w:r w:rsidR="005A7C1E">
        <w:rPr>
          <w:rFonts w:ascii="Arial" w:hAnsi="Arial" w:cs="Arial"/>
          <w:color w:val="000000"/>
        </w:rPr>
        <w:lastRenderedPageBreak/>
        <w:t>changes have had little effect on the measured prevalence of cannabis use disorders</w:t>
      </w:r>
      <w:r w:rsidR="004673FE">
        <w:rPr>
          <w:rFonts w:ascii="Arial" w:hAnsi="Arial" w:cs="Arial"/>
          <w:color w:val="000000"/>
        </w:rPr>
        <w:t xml:space="preserve"> </w:t>
      </w:r>
      <w:r w:rsidR="004673FE">
        <w:rPr>
          <w:rFonts w:ascii="Arial" w:hAnsi="Arial" w:cs="Arial"/>
          <w:color w:val="000000"/>
        </w:rPr>
        <w:fldChar w:fldCharType="begin" w:fldLock="1"/>
      </w:r>
      <w:r w:rsidR="00901E8B">
        <w:rPr>
          <w:rFonts w:ascii="Arial" w:hAnsi="Arial" w:cs="Arial"/>
          <w:color w:val="000000"/>
        </w:rPr>
        <w:instrText>ADDIN CSL_CITATION { "citationItems" : [ { "id" : "ITEM-1", "itemData" : { "DOI" : "10.15288/jsad.2013.74.614", "ISSN" : "1937-1888", "abstract" : "Objective: The aim of the current study was to evaluate the proposed cannabis use disorder criteria for the fi fth edition of the Diagnostic and Statistical Manual of Mental Disorders (DSM-5) using epidemiological data. Method: Data came from the 2007 Australian National Survey of Mental Health and Wellbeing. Lifetime DSM-IV and DSM-5 cannabis use disorder diagnoses were assessed using a modifi ed version of the World Mental Health Composite International Diagnostic Interview among those respondents who had used cannabis more than fi ve times (n = 1,639; 37% female). Results: The prevalence of cannabis use disorder decreased from DSM-IV (6.2%) to DSM-5 (5.4%). Two fi fths of those with DSM-IV cannabis abuse would fall below the threshold for DSM-5 cannabis use disorder. More than a third of those classifi ed as DSM-IV \" diagnostic orphans \" would meet criteria for a DSM-5 mild, moderate, or severe cannabis use disorder. In terms of demographic and clinical characteristics, those who converted from no disorder in DSM-IV to a disorder under DSM-5 were similar to those diagnosed with a disorder according to both systems. Those who converted to no disorder under DSM-5 tended to be young men with cross-substance involvement and high levels of cannabis consumption. Conclusions: Although a previous study of the Australian population found that alcohol use disorders increase considerably under DSM-5, the current study found a reduction in cannabis use disorders in the transi-tion from DSM-IV to DSM-5. This is likely the result of the high ratio of cannabis abuse to dependence when compared with other substances. Given the implications the proposed changes have on the epidemiol-ogy of substance use disorders, further research is needed to determine whether the proposed criteria are optimal. (J.", "author" : [ { "dropping-particle" : "", "family" : "Mewton", "given" : "Louise", "non-dropping-particle" : "", "parse-names" : false, "suffix" : "" }, { "dropping-particle" : "", "family" : "Slade", "given" : "Tim", "non-dropping-particle" : "", "parse-names" : false, "suffix" : "" }, { "dropping-particle" : "", "family" : "Teesson", "given" : "Maree", "non-dropping-particle" : "", "parse-names" : false, "suffix" : "" } ], "container-title" : "Stud. Alcohol Drugs", "id" : "ITEM-1", "issue" : "July", "issued" : { "date-parts" : [ [ "2013" ] ] }, "page" : "614-621", "title" : "An Evaluation of the Proposed DSM-5 Cannabis Use Disorder Criteria Using Australian National Survey Data", "type" : "article-journal", "volume" : "74" }, "uris" : [ "http://www.mendeley.com/documents/?uuid=90ee3378-e04f-4b72-8013-67dcc3b901e5" ] }, { "id" : "ITEM-2", "itemData" : { "DOI" : "10.1016/j.drugalcdep.2012.07.009", "ISBN" : "1879-0046 (Electronic)\\r0376-8716 (Linking)", "ISSN" : "03768716", "PMID" : "22884164", "abstract" : "Background: The fifth edition of the Diagnostic and Statistical Manual of Mental Disorders (DSM-5) will soon replace the DSM-IV, which has existed for nearly two decades. The changes in diagnostic criteria have important implications for research and for the clinical care of individuals with Substance Use Disorders (SUDs). Methods: We used the Semi-Structured Assessment for Drug Dependence and Alcoholism to evaluate the lifetime presence of DSM-IV abuse and dependence diagnoses and DSM-5 mild, moderate, or severe SUDs for alcohol, cocaine, opioids, and cannabis in a sample of 7,543 individuals recruited to participate in genetic studies of substance dependence. Results: Switches between diagnostic systems consistently resulted in a modestly greater prevalence for DSM-5 SUDs, based largely on the assignment of DSM-5 diagnoses to DSM-IV \"diagnostic orphans\" (i.e., individuals meeting one or two criteria for dependence and none for abuse, and thus not receiving a DSM-IV SUD diagnosis). The vast majority of these diagnostic switches were attributable to the requirement that only two of 11 criteria be met for a DSM-5 SUD diagnosis. We found evidence to support the omission from DSM-5 of the legal criterion due to its limited diagnostic utility. The addition of craving as a criterion in DSM-5 did not substantially affect the likelihood of an SUD diagnosis. Conclusion: The greatest advantage of DSM-5 for the diagnosis of SUDs appears to be its ability to capture diagnostic orphans. In this sample, changes reflected in DSM-5 had a minimal impact on the prevalence of SUD diagnoses. \u00a9 2012 Elsevier Ireland Ltd.", "author" : [ { "dropping-particle" : "", "family" : "Peer", "given" : "Kyle", "non-dropping-particle" : "", "parse-names" : false, "suffix" : "" }, { "dropping-particle" : "", "family" : "Rennert", "given" : "Lior", "non-dropping-particle" : "", "parse-names" : false, "suffix" : "" }, { "dropping-particle" : "", "family" : "Lynch", "given" : "Kevin G.", "non-dropping-particle" : "", "parse-names" : false, "suffix" : "" }, { "dropping-particle" : "", "family" : "Farrer", "given" : "Lindsay", "non-dropping-particle" : "", "parse-names" : false, "suffix" : "" }, { "dropping-particle" : "", "family" : "Gelernter", "given" : "Joel", "non-dropping-particle" : "", "parse-names" : false, "suffix" : "" }, { "dropping-particle" : "", "family" : "Kranzler", "given" : "Henry R.", "non-dropping-particle" : "", "parse-names" : false, "suffix" : "" } ], "container-title" : "Drug and Alcohol Dependence", "id" : "ITEM-2", "issue" : "1-3", "issued" : { "date-parts" : [ [ "2013" ] ] }, "page" : "215-219", "publisher" : "Elsevier Ireland Ltd", "title" : "Prevalence of DSM-IV and DSM-5 alcohol, cocaine, opioid, and cannabis use disorders in a largely substance dependent sample", "type" : "article-journal", "volume" : "127" }, "uris" : [ "http://www.mendeley.com/documents/?uuid=5dd71714-85c3-4f9f-9bd3-7b68551dc1a8" ] } ], "mendeley" : { "formattedCitation" : "(Mewton et al., 2013; Peer et al., 2013)", "plainTextFormattedCitation" : "(Mewton et al., 2013; Peer et al., 2013)", "previouslyFormattedCitation" : "(Mewton et al., 2013; Peer et al., 2013)" }, "properties" : {  }, "schema" : "https://github.com/citation-style-language/schema/raw/master/csl-citation.json" }</w:instrText>
      </w:r>
      <w:r w:rsidR="004673FE">
        <w:rPr>
          <w:rFonts w:ascii="Arial" w:hAnsi="Arial" w:cs="Arial"/>
          <w:color w:val="000000"/>
        </w:rPr>
        <w:fldChar w:fldCharType="separate"/>
      </w:r>
      <w:r w:rsidR="00901E8B" w:rsidRPr="00901E8B">
        <w:rPr>
          <w:rFonts w:ascii="Arial" w:hAnsi="Arial" w:cs="Arial"/>
          <w:noProof/>
          <w:color w:val="000000"/>
        </w:rPr>
        <w:t>(Mewton et al., 2013; Peer et al., 2013)</w:t>
      </w:r>
      <w:r w:rsidR="004673FE">
        <w:rPr>
          <w:rFonts w:ascii="Arial" w:hAnsi="Arial" w:cs="Arial"/>
          <w:color w:val="000000"/>
        </w:rPr>
        <w:fldChar w:fldCharType="end"/>
      </w:r>
      <w:r>
        <w:rPr>
          <w:rFonts w:ascii="Arial" w:hAnsi="Arial" w:cs="Arial"/>
          <w:color w:val="000000"/>
        </w:rPr>
        <w:t>.</w:t>
      </w:r>
    </w:p>
    <w:p w14:paraId="446B2D7C" w14:textId="43F35452" w:rsidR="00501A27" w:rsidRDefault="0011157A" w:rsidP="00190881">
      <w:pPr>
        <w:spacing w:after="160"/>
        <w:jc w:val="both"/>
        <w:rPr>
          <w:rFonts w:ascii="Arial" w:hAnsi="Arial" w:cs="Arial"/>
          <w:color w:val="000000"/>
        </w:rPr>
      </w:pPr>
      <w:r>
        <w:rPr>
          <w:rFonts w:ascii="Arial" w:hAnsi="Arial" w:cs="Arial"/>
          <w:color w:val="000000"/>
        </w:rPr>
        <w:t xml:space="preserve">NSDUH data suggest four million Americans suffer </w:t>
      </w:r>
      <w:r w:rsidR="00DB1453">
        <w:rPr>
          <w:rFonts w:ascii="Arial" w:hAnsi="Arial" w:cs="Arial"/>
          <w:color w:val="000000"/>
        </w:rPr>
        <w:t>from DSM-IV marijuana dependence</w:t>
      </w:r>
      <w:r>
        <w:rPr>
          <w:rFonts w:ascii="Arial" w:hAnsi="Arial" w:cs="Arial"/>
          <w:color w:val="000000"/>
        </w:rPr>
        <w:t xml:space="preserve"> </w:t>
      </w:r>
      <w:r w:rsidR="008B38D2">
        <w:rPr>
          <w:rFonts w:ascii="Arial" w:hAnsi="Arial" w:cs="Arial"/>
          <w:color w:val="000000"/>
        </w:rPr>
        <w:fldChar w:fldCharType="begin" w:fldLock="1"/>
      </w:r>
      <w:r w:rsidR="008B38D2">
        <w:rPr>
          <w:rFonts w:ascii="Arial" w:hAnsi="Arial" w:cs="Arial"/>
          <w:color w:val="000000"/>
        </w:rPr>
        <w:instrText>ADDIN CSL_CITATION { "citationItems" : [ { "id" : "ITEM-1", "itemData" : { "author" : [ { "dropping-particle" : "", "family" : "Center for Behavioral Health Statistics and Quality", "given" : "", "non-dropping-particle" : "", "parse-names" : false, "suffix" : "" } ], "id" : "ITEM-1", "issued" : { "date-parts" : [ [ "2017" ] ] }, "title" : "2016 National Survey on Drug Use and Health: Detailed Tables", "type" : "report" }, "uris" : [ "http://www.mendeley.com/documents/?uuid=1980f07a-ac5b-4caf-8dad-9f6a6fb84f72" ] } ], "mendeley" : { "formattedCitation" : "(Center for Behavioral Health Statistics and Quality, 2017a)", "plainTextFormattedCitation" : "(Center for Behavioral Health Statistics and Quality, 2017a)", "previouslyFormattedCitation" : "(Center for Behavioral Health Statistics and Quality, 2017a)" }, "properties" : {  }, "schema" : "https://github.com/citation-style-language/schema/raw/master/csl-citation.json" }</w:instrText>
      </w:r>
      <w:r w:rsidR="008B38D2">
        <w:rPr>
          <w:rFonts w:ascii="Arial" w:hAnsi="Arial" w:cs="Arial"/>
          <w:color w:val="000000"/>
        </w:rPr>
        <w:fldChar w:fldCharType="separate"/>
      </w:r>
      <w:r w:rsidR="008B38D2" w:rsidRPr="008B38D2">
        <w:rPr>
          <w:rFonts w:ascii="Arial" w:hAnsi="Arial" w:cs="Arial"/>
          <w:noProof/>
          <w:color w:val="000000"/>
        </w:rPr>
        <w:t>(Center for Behavioral Health Statistics and Quality, 2017a)</w:t>
      </w:r>
      <w:r w:rsidR="008B38D2">
        <w:rPr>
          <w:rFonts w:ascii="Arial" w:hAnsi="Arial" w:cs="Arial"/>
          <w:color w:val="000000"/>
        </w:rPr>
        <w:fldChar w:fldCharType="end"/>
      </w:r>
      <w:r>
        <w:rPr>
          <w:rFonts w:ascii="Arial" w:hAnsi="Arial" w:cs="Arial"/>
          <w:color w:val="000000"/>
        </w:rPr>
        <w:t>; and as a percent of the general population, marijuana abuse and dependence have remained relatively stable from 2002-2014 at 1.5%</w:t>
      </w:r>
      <w:r w:rsidR="002A6085" w:rsidRPr="00B94E2E">
        <w:rPr>
          <w:rFonts w:ascii="Arial" w:hAnsi="Arial" w:cs="Arial"/>
          <w:color w:val="000000"/>
        </w:rPr>
        <w:t xml:space="preserve"> </w:t>
      </w:r>
      <w:r w:rsidR="002A6085" w:rsidRPr="00B94E2E">
        <w:rPr>
          <w:rFonts w:ascii="Arial" w:hAnsi="Arial" w:cs="Arial"/>
          <w:color w:val="000000"/>
        </w:rPr>
        <w:fldChar w:fldCharType="begin" w:fldLock="1"/>
      </w:r>
      <w:r w:rsidR="002A6085" w:rsidRPr="00B94E2E">
        <w:rPr>
          <w:rFonts w:ascii="Arial" w:hAnsi="Arial" w:cs="Arial"/>
          <w:color w:val="000000"/>
        </w:rPr>
        <w:instrText>ADDIN CSL_CITATION { "citationItems" : [ { "id" : "ITEM-1", "itemData" : { "DOI" : "https://doi.org/10.1016/S2215-0366(16)30208-5", "ISSN" : "2215-0366", "author" : [ { "dropping-particle" : "", "family" : "Compton", "given" : "Wilson M", "non-dropping-particle" : "", "parse-names" : false, "suffix" : "" }, { "dropping-particle" : "", "family" : "Han", "given" : "Beth", "non-dropping-particle" : "", "parse-names" : false, "suffix" : "" }, { "dropping-particle" : "", "family" : "Jones", "given" : "Christopher M", "non-dropping-particle" : "", "parse-names" : false, "suffix" : "" }, { "dropping-particle" : "", "family" : "Blanco", "given" : "Carlos", "non-dropping-particle" : "", "parse-names" : false, "suffix" : "" }, { "dropping-particle" : "", "family" : "Hughes", "given" : "Arthur", "non-dropping-particle" : "", "parse-names" : false, "suffix" : "" } ], "container-title" : "The Lancet Psychiatry", "id" : "ITEM-1", "issue" : "10", "issued" : { "date-parts" : [ [ "2016" ] ] }, "page" : "954-964", "title" : "Marijuana use and use disorders in adults in the USA, 2002\u201314: analysis of annual cross-sectional surveys", "type" : "article-journal", "volume" : "3" }, "uris" : [ "http://www.mendeley.com/documents/?uuid=d66cea5a-7b40-490d-8494-ebd5c520fc79" ] } ], "mendeley" : { "formattedCitation" : "(Compton et al., 2016)", "plainTextFormattedCitation" : "(Compton et al., 2016)", "previouslyFormattedCitation" : "(Compton et al., 2016)" }, "properties" : {  }, "schema" : "https://github.com/citation-style-language/schema/raw/master/csl-citation.json" }</w:instrText>
      </w:r>
      <w:r w:rsidR="002A6085" w:rsidRPr="00B94E2E">
        <w:rPr>
          <w:rFonts w:ascii="Arial" w:hAnsi="Arial" w:cs="Arial"/>
          <w:color w:val="000000"/>
        </w:rPr>
        <w:fldChar w:fldCharType="separate"/>
      </w:r>
      <w:r w:rsidR="002A6085" w:rsidRPr="00B94E2E">
        <w:rPr>
          <w:rFonts w:ascii="Arial" w:hAnsi="Arial" w:cs="Arial"/>
          <w:noProof/>
          <w:color w:val="000000"/>
        </w:rPr>
        <w:t>(Compton et al., 2016)</w:t>
      </w:r>
      <w:r w:rsidR="002A6085" w:rsidRPr="00B94E2E">
        <w:rPr>
          <w:rFonts w:ascii="Arial" w:hAnsi="Arial" w:cs="Arial"/>
          <w:color w:val="000000"/>
        </w:rPr>
        <w:fldChar w:fldCharType="end"/>
      </w:r>
      <w:r w:rsidR="00190881" w:rsidRPr="00B94E2E">
        <w:rPr>
          <w:rFonts w:ascii="Arial" w:hAnsi="Arial" w:cs="Arial"/>
          <w:color w:val="000000"/>
        </w:rPr>
        <w:t xml:space="preserve">. </w:t>
      </w:r>
      <w:r w:rsidR="00D548E3">
        <w:rPr>
          <w:rFonts w:ascii="Arial" w:hAnsi="Arial" w:cs="Arial"/>
          <w:color w:val="000000"/>
        </w:rPr>
        <w:t>(However, e</w:t>
      </w:r>
      <w:r>
        <w:rPr>
          <w:rFonts w:ascii="Arial" w:hAnsi="Arial" w:cs="Arial"/>
          <w:color w:val="000000"/>
        </w:rPr>
        <w:t xml:space="preserve">stimates from the </w:t>
      </w:r>
      <w:r w:rsidRPr="00B94E2E">
        <w:rPr>
          <w:rFonts w:ascii="Arial" w:hAnsi="Arial" w:cs="Arial"/>
          <w:color w:val="000000"/>
        </w:rPr>
        <w:t>National Epidemiologic Survey on Alcohol and Related Conditions</w:t>
      </w:r>
      <w:r>
        <w:rPr>
          <w:rFonts w:ascii="Arial" w:hAnsi="Arial" w:cs="Arial"/>
          <w:color w:val="000000"/>
        </w:rPr>
        <w:t xml:space="preserve"> disagree, suggesting a near-doubling from 1.5% to 2.9%</w:t>
      </w:r>
      <w:r w:rsidR="008A6362">
        <w:rPr>
          <w:rFonts w:ascii="Arial" w:hAnsi="Arial" w:cs="Arial"/>
          <w:color w:val="000000"/>
        </w:rPr>
        <w:t xml:space="preserve"> </w:t>
      </w:r>
      <w:r w:rsidR="008A6362">
        <w:rPr>
          <w:rFonts w:ascii="Arial" w:hAnsi="Arial" w:cs="Arial"/>
          <w:color w:val="000000"/>
        </w:rPr>
        <w:fldChar w:fldCharType="begin" w:fldLock="1"/>
      </w:r>
      <w:r w:rsidR="008A6362">
        <w:rPr>
          <w:rFonts w:ascii="Arial" w:hAnsi="Arial" w:cs="Arial"/>
          <w:color w:val="000000"/>
        </w:rPr>
        <w:instrText>ADDIN CSL_CITATION { "citationItems" : [ { "id" : "ITEM-1", "itemData" : { "DOI" : "10.1001/jamapsychiatry.2015.1858", "ISBN" : "2168-622X", "ISSN" : "2168622X", "PMID" : "26502112", "abstract" : "IMPORTANCE Laws and attitudes toward marijuana in the United States are\\nbecoming more permissive but little is known about whether the\\nprevalence rates of marijuana use and marijuana use disorders have\\nchanged in the 21st century.\\nOBJECTIVE To present nationally representative information on the\\npast-year prevalence rates of marijuana use, marijuana use disorder, and\\nmarijuana use disorder among marijuana users in the US adult general\\npopulation and whether this has changed between 2001-2002 and 2012-2013.\\nDESIGN, SETTING, AND PARTICIPANTS Face-to-face interviews conducted in\\nsurveys of 2 nationally representative samples of US adults: the\\nNational Epidemiologic Survey on Alcohol and Related Conditions (data\\ncollected April 2001-April 2002; N = 43 093) and the National\\nEpidemiologic Survey on Alcohol and Related Conditions-III (data\\ncollected April 2012-June 2013; N = 36 309). Data were analyzed March\\nthrough May 2015.\\nMAIN OUTCOMES AND MEASURES Past-year marijuana use and DSM-IV marijuana\\nuse disorder (abuse or dependence).\\nRESULTS The past-year prevalence of marijuana use was 4.1% (SE, 0.15)\\nin 2001-2002 and 9.5% (SE, 0.27) in 2012-2013, a significant increase\\n(P &lt; .05). Significant increases were also found across demographic\\nsubgroups (sex, age, race/ethnicity, education, marital status, income,\\nurban/rural, and region). The past-year prevalence of DSM-IV marijuana\\nuse disorder was 1.5% (0.08) in 2001-2002 and 2.9% (SE, 0.13) in\\n2012-2013 (P &lt; .05). With few exceptions, increases in the prevalence of\\nmarijuana use disorder between 2001-2002 and 2012-2013 were also\\nstatistically significant (P &lt; .05) across demographic subgroups.\\nHowever, the prevalence of marijuana use disorder among marijuana users\\ndecreased significantly from 2001-2002 (35.6%; SE, 1.37) to 2012-2013\\n(30.6%; SE, 1.04).\\nCONCLUSIONS AND RELEVANCE The prevalence of marijuana use more than\\ndoubled between 2001-2002 and 2012-2013, and there was a large increase\\nin marijuana use disorders during that time. While not all marijuana\\nusers experience problems, nearly 3 of 10 marijuana users manifested a\\nmarijuana use disorder in 2012-2013. Because the risk for marijuana use\\ndisorder did not increase among users, the increase in prevalence of\\nmarijuana use disorder is owing to an increase in prevalence of users in\\nthe US adult population. Given changing laws and attitudes toward\\nmarijuana, a balanced presentation of the likelihood of adverse\\nconsequences \u2026", "author" : [ { "dropping-particle" : "", "family" : "Hasin", "given" : "Deborah S.", "non-dropping-particle" : "", "parse-names" : false, "suffix" : "" }, { "dropping-particle" : "", "family" : "Saha", "given" : "Tulshi D.", "non-dropping-particle" : "", "parse-names" : false, "suffix" : "" }, { "dropping-particle" : "", "family" : "Kerridge", "given" : "Bradley T.", "non-dropping-particle" : "", "parse-names" : false, "suffix" : "" }, { "dropping-particle" : "", "family" : "Goldstein", "given" : "Rise B.", "non-dropping-particle" : "", "parse-names" : false, "suffix" : "" }, { "dropping-particle" : "", "family" : "Chou", "given" : "S. Patricia", "non-dropping-particle" : "", "parse-names" : false, "suffix" : "" }, { "dropping-particle" : "", "family" : "Zhang", "given" : "Haitao", "non-dropping-particle" : "", "parse-names" : false, "suffix" : "" }, { "dropping-particle" : "", "family" : "Jung", "given" : "Jeesun", "non-dropping-particle" : "", "parse-names" : false, "suffix" : "" }, { "dropping-particle" : "", "family" : "Pickering", "given" : "Roger P.", "non-dropping-particle" : "", "parse-names" : false, "suffix" : "" }, { "dropping-particle" : "", "family" : "Ruan", "given" : "June", "non-dropping-particle" : "", "parse-names" : false, "suffix" : "" }, { "dropping-particle" : "", "family" : "Smith", "given" : "Sharon M.", "non-dropping-particle" : "", "parse-names" : false, "suffix" : "" }, { "dropping-particle" : "", "family" : "Huang", "given" : "Boji", "non-dropping-particle" : "", "parse-names" : false, "suffix" : "" }, { "dropping-particle" : "", "family" : "Grant", "given" : "Bridget F.", "non-dropping-particle" : "", "parse-names" : false, "suffix" : "" } ], "container-title" : "JAMA Psychiatry", "id" : "ITEM-1", "issue" : "12", "issued" : { "date-parts" : [ [ "2015" ] ] }, "page" : "1235-1242", "title" : "Prevalence of marijuana use disorders in the United States between 2001-2002 and 2012-2013", "type" : "article-journal", "volume" : "72" }, "uris" : [ "http://www.mendeley.com/documents/?uuid=744936c1-372b-4e11-8c31-579254d687a3" ] } ], "mendeley" : { "formattedCitation" : "(Hasin et al., 2015)", "plainTextFormattedCitation" : "(Hasin et al., 2015)", "previouslyFormattedCitation" : "(Hasin et al., 2015)" }, "properties" : {  }, "schema" : "https://github.com/citation-style-language/schema/raw/master/csl-citation.json" }</w:instrText>
      </w:r>
      <w:r w:rsidR="008A6362">
        <w:rPr>
          <w:rFonts w:ascii="Arial" w:hAnsi="Arial" w:cs="Arial"/>
          <w:color w:val="000000"/>
        </w:rPr>
        <w:fldChar w:fldCharType="separate"/>
      </w:r>
      <w:r w:rsidR="008A6362" w:rsidRPr="008A6362">
        <w:rPr>
          <w:rFonts w:ascii="Arial" w:hAnsi="Arial" w:cs="Arial"/>
          <w:noProof/>
          <w:color w:val="000000"/>
        </w:rPr>
        <w:t>(Hasin et al., 2015)</w:t>
      </w:r>
      <w:r w:rsidR="008A6362">
        <w:rPr>
          <w:rFonts w:ascii="Arial" w:hAnsi="Arial" w:cs="Arial"/>
          <w:color w:val="000000"/>
        </w:rPr>
        <w:fldChar w:fldCharType="end"/>
      </w:r>
      <w:r w:rsidR="00D548E3">
        <w:rPr>
          <w:rFonts w:ascii="Arial" w:hAnsi="Arial" w:cs="Arial"/>
          <w:color w:val="000000"/>
        </w:rPr>
        <w:t xml:space="preserve"> .)</w:t>
      </w:r>
    </w:p>
    <w:p w14:paraId="16D61B4C" w14:textId="55D4A4FC" w:rsidR="00D548E3" w:rsidRDefault="00730C4B" w:rsidP="004A4380">
      <w:pPr>
        <w:spacing w:after="160"/>
        <w:jc w:val="both"/>
        <w:rPr>
          <w:rFonts w:ascii="Arial" w:hAnsi="Arial" w:cs="Arial"/>
          <w:color w:val="000000"/>
        </w:rPr>
      </w:pPr>
      <w:r>
        <w:rPr>
          <w:rFonts w:ascii="Arial" w:hAnsi="Arial" w:cs="Arial"/>
          <w:color w:val="000000"/>
        </w:rPr>
        <w:t>One might have expected the population prevalence of marijuana dependence to have increased proportionally to the substantial increase in prevalence of marijuana use. That this did not occur presents a puzzle</w:t>
      </w:r>
      <w:r w:rsidR="00D548E3">
        <w:rPr>
          <w:rFonts w:ascii="Arial" w:hAnsi="Arial" w:cs="Arial"/>
          <w:color w:val="000000"/>
        </w:rPr>
        <w:t xml:space="preserve">, which this paper seeks to elaborate. Using </w:t>
      </w:r>
      <w:r w:rsidR="00D548E3" w:rsidRPr="003B50F6">
        <w:rPr>
          <w:rFonts w:ascii="Arial" w:hAnsi="Arial" w:cs="Arial"/>
          <w:color w:val="000000"/>
        </w:rPr>
        <w:t xml:space="preserve">National Survey of Drug Use and Health (NSDUH) </w:t>
      </w:r>
      <w:r w:rsidR="00D548E3">
        <w:rPr>
          <w:rFonts w:ascii="Arial" w:hAnsi="Arial" w:cs="Arial"/>
          <w:color w:val="000000"/>
        </w:rPr>
        <w:t>data, we seek to measure levels and changes in marijuana dependence and its symptomatic criteria among the heaviest users, and consider potential causes at hand.</w:t>
      </w:r>
    </w:p>
    <w:p w14:paraId="17629C1B" w14:textId="20C4CEB7" w:rsidR="00190881" w:rsidRPr="009F3CB9" w:rsidRDefault="00190881" w:rsidP="009F3CB9">
      <w:pPr>
        <w:pStyle w:val="ListParagraph"/>
        <w:numPr>
          <w:ilvl w:val="0"/>
          <w:numId w:val="7"/>
        </w:numPr>
        <w:spacing w:after="160"/>
        <w:jc w:val="both"/>
        <w:outlineLvl w:val="0"/>
        <w:rPr>
          <w:rFonts w:ascii="Arial" w:hAnsi="Arial" w:cs="Arial"/>
          <w:sz w:val="28"/>
          <w:szCs w:val="28"/>
        </w:rPr>
      </w:pPr>
      <w:r w:rsidRPr="009F3CB9">
        <w:rPr>
          <w:rFonts w:ascii="Arial" w:hAnsi="Arial" w:cs="Arial"/>
          <w:b/>
          <w:bCs/>
          <w:color w:val="000000"/>
          <w:sz w:val="28"/>
          <w:szCs w:val="28"/>
        </w:rPr>
        <w:t>Methods</w:t>
      </w:r>
    </w:p>
    <w:p w14:paraId="3D0B6E0F" w14:textId="5CC71552" w:rsidR="00067EFE" w:rsidRPr="009F3CB9" w:rsidRDefault="009F3CB9" w:rsidP="009F3CB9">
      <w:pPr>
        <w:pStyle w:val="ListParagraph"/>
        <w:numPr>
          <w:ilvl w:val="1"/>
          <w:numId w:val="7"/>
        </w:numPr>
        <w:spacing w:after="160"/>
        <w:jc w:val="both"/>
        <w:outlineLvl w:val="0"/>
        <w:rPr>
          <w:rFonts w:ascii="Arial" w:hAnsi="Arial" w:cs="Arial"/>
          <w:color w:val="000000"/>
        </w:rPr>
      </w:pPr>
      <w:r w:rsidRPr="009F3CB9">
        <w:rPr>
          <w:rFonts w:ascii="Arial" w:hAnsi="Arial" w:cs="Arial"/>
          <w:b/>
          <w:bCs/>
          <w:color w:val="000000"/>
        </w:rPr>
        <w:t xml:space="preserve"> </w:t>
      </w:r>
      <w:r w:rsidR="00190881" w:rsidRPr="009F3CB9">
        <w:rPr>
          <w:rFonts w:ascii="Arial" w:hAnsi="Arial" w:cs="Arial"/>
          <w:b/>
          <w:bCs/>
          <w:color w:val="000000"/>
        </w:rPr>
        <w:t>Data</w:t>
      </w:r>
      <w:r w:rsidR="00190881" w:rsidRPr="009F3CB9">
        <w:rPr>
          <w:rFonts w:ascii="Arial" w:hAnsi="Arial" w:cs="Arial"/>
          <w:color w:val="000000"/>
        </w:rPr>
        <w:t xml:space="preserve"> </w:t>
      </w:r>
    </w:p>
    <w:p w14:paraId="7A89FC67" w14:textId="380ED4E9" w:rsidR="003B50F6" w:rsidRDefault="00067EFE" w:rsidP="00254E04">
      <w:pPr>
        <w:spacing w:after="160"/>
        <w:jc w:val="both"/>
        <w:outlineLvl w:val="0"/>
        <w:rPr>
          <w:rFonts w:ascii="Arial" w:hAnsi="Arial" w:cs="Arial"/>
          <w:color w:val="000000"/>
        </w:rPr>
      </w:pPr>
      <w:r w:rsidRPr="003B50F6">
        <w:rPr>
          <w:rFonts w:ascii="Arial" w:hAnsi="Arial" w:cs="Arial"/>
          <w:color w:val="000000"/>
        </w:rPr>
        <w:t xml:space="preserve">Questions corresponding to the DSM-IV diagnostic criteria have been asked by </w:t>
      </w:r>
      <w:r w:rsidR="00D548E3">
        <w:rPr>
          <w:rFonts w:ascii="Arial" w:hAnsi="Arial" w:cs="Arial"/>
          <w:color w:val="000000"/>
        </w:rPr>
        <w:t>NSDUH</w:t>
      </w:r>
      <w:r w:rsidRPr="003B50F6">
        <w:rPr>
          <w:rFonts w:ascii="Arial" w:hAnsi="Arial" w:cs="Arial"/>
          <w:color w:val="000000"/>
        </w:rPr>
        <w:t xml:space="preserve"> since 2002, providing a</w:t>
      </w:r>
      <w:r w:rsidR="009B545E">
        <w:rPr>
          <w:rFonts w:ascii="Arial" w:hAnsi="Arial" w:cs="Arial"/>
          <w:color w:val="000000"/>
        </w:rPr>
        <w:t xml:space="preserve"> </w:t>
      </w:r>
      <w:r w:rsidRPr="003B50F6">
        <w:rPr>
          <w:rFonts w:ascii="Arial" w:hAnsi="Arial" w:cs="Arial"/>
          <w:color w:val="000000"/>
        </w:rPr>
        <w:t xml:space="preserve">consistent data source for tracking trends in the reporting of marijuana dependence diagnoses and their constituent symptomatic criteria. NSDUH is a household survey, representative of the U.S. household population aged 12 and older, with over 60,000 respondents per year. Its first year occurred in 2002, when it replaced the National Household Survey on Drug Abuse, </w:t>
      </w:r>
      <w:r w:rsidR="0035597A">
        <w:rPr>
          <w:rFonts w:ascii="Arial" w:hAnsi="Arial" w:cs="Arial"/>
          <w:color w:val="000000"/>
        </w:rPr>
        <w:t>marking</w:t>
      </w:r>
      <w:r w:rsidR="0035597A" w:rsidRPr="003B50F6">
        <w:rPr>
          <w:rFonts w:ascii="Arial" w:hAnsi="Arial" w:cs="Arial"/>
          <w:color w:val="000000"/>
        </w:rPr>
        <w:t xml:space="preserve"> </w:t>
      </w:r>
      <w:r w:rsidRPr="003B50F6">
        <w:rPr>
          <w:rFonts w:ascii="Arial" w:hAnsi="Arial" w:cs="Arial"/>
          <w:color w:val="000000"/>
        </w:rPr>
        <w:t xml:space="preserve">a new sampling </w:t>
      </w:r>
      <w:r w:rsidR="005F4F89" w:rsidRPr="003B50F6">
        <w:rPr>
          <w:rFonts w:ascii="Arial" w:hAnsi="Arial" w:cs="Arial"/>
          <w:color w:val="000000"/>
        </w:rPr>
        <w:t>procedure but</w:t>
      </w:r>
      <w:r w:rsidRPr="003B50F6">
        <w:rPr>
          <w:rFonts w:ascii="Arial" w:hAnsi="Arial" w:cs="Arial"/>
          <w:color w:val="000000"/>
        </w:rPr>
        <w:t xml:space="preserve"> keeping largely the same questionnaire. NSDUH asks respondents a range of health-related questions, including recent use of different drugs; for marijuana, respondents reporting use within the past-year are asked a series of follow-up items about the recency of use, including a battery of questions correspond</w:t>
      </w:r>
      <w:r w:rsidR="00986B17" w:rsidRPr="003B50F6">
        <w:rPr>
          <w:rFonts w:ascii="Arial" w:hAnsi="Arial" w:cs="Arial"/>
          <w:color w:val="000000"/>
        </w:rPr>
        <w:t>ing</w:t>
      </w:r>
      <w:r w:rsidRPr="003B50F6">
        <w:rPr>
          <w:rFonts w:ascii="Arial" w:hAnsi="Arial" w:cs="Arial"/>
          <w:color w:val="000000"/>
        </w:rPr>
        <w:t xml:space="preserve"> to individual diagnostic criteria provided by the DSM-IV for marijuana abuse and dependence. (NSDUH has not announced changes to its question battery or re-coded variables to incorporate DSM-V criteria.) We </w:t>
      </w:r>
      <w:r w:rsidR="00C12E02">
        <w:rPr>
          <w:rFonts w:ascii="Arial" w:hAnsi="Arial" w:cs="Arial"/>
          <w:color w:val="000000"/>
        </w:rPr>
        <w:t>assemble</w:t>
      </w:r>
      <w:r w:rsidR="009B545E">
        <w:rPr>
          <w:rFonts w:ascii="Arial" w:hAnsi="Arial" w:cs="Arial"/>
          <w:color w:val="000000"/>
        </w:rPr>
        <w:t xml:space="preserve"> </w:t>
      </w:r>
      <w:r w:rsidR="00F5422F">
        <w:rPr>
          <w:rFonts w:ascii="Arial" w:hAnsi="Arial" w:cs="Arial"/>
          <w:color w:val="000000"/>
        </w:rPr>
        <w:t>these</w:t>
      </w:r>
      <w:r w:rsidR="009B545E">
        <w:rPr>
          <w:rFonts w:ascii="Arial" w:hAnsi="Arial" w:cs="Arial"/>
          <w:color w:val="000000"/>
        </w:rPr>
        <w:t xml:space="preserve"> data from 2002 to 2016</w:t>
      </w:r>
      <w:r w:rsidR="00C12E02">
        <w:rPr>
          <w:rFonts w:ascii="Arial" w:hAnsi="Arial" w:cs="Arial"/>
          <w:color w:val="000000"/>
        </w:rPr>
        <w:t>.</w:t>
      </w:r>
    </w:p>
    <w:p w14:paraId="1AA4FC26" w14:textId="393AF5E2" w:rsidR="00067EFE" w:rsidRPr="009F3CB9" w:rsidRDefault="009F3CB9" w:rsidP="009F3CB9">
      <w:pPr>
        <w:pStyle w:val="ListParagraph"/>
        <w:numPr>
          <w:ilvl w:val="1"/>
          <w:numId w:val="7"/>
        </w:numPr>
        <w:spacing w:after="160"/>
        <w:outlineLvl w:val="0"/>
        <w:rPr>
          <w:rFonts w:ascii="Arial" w:hAnsi="Arial" w:cs="Arial"/>
          <w:color w:val="000000"/>
        </w:rPr>
      </w:pPr>
      <w:r w:rsidRPr="009F3CB9">
        <w:rPr>
          <w:rFonts w:ascii="Arial" w:hAnsi="Arial" w:cs="Arial"/>
          <w:b/>
          <w:bCs/>
          <w:color w:val="000000"/>
        </w:rPr>
        <w:t xml:space="preserve"> </w:t>
      </w:r>
      <w:r w:rsidR="00190881" w:rsidRPr="009F3CB9">
        <w:rPr>
          <w:rFonts w:ascii="Arial" w:hAnsi="Arial" w:cs="Arial"/>
          <w:b/>
          <w:bCs/>
          <w:color w:val="000000"/>
        </w:rPr>
        <w:t>Measures</w:t>
      </w:r>
    </w:p>
    <w:p w14:paraId="4669F3AE" w14:textId="771B47E8" w:rsidR="00905779" w:rsidRPr="003B50F6" w:rsidRDefault="00190881" w:rsidP="003B50F6">
      <w:pPr>
        <w:spacing w:after="160"/>
        <w:jc w:val="both"/>
        <w:rPr>
          <w:rFonts w:ascii="Arial" w:hAnsi="Arial" w:cs="Arial"/>
          <w:color w:val="000000"/>
        </w:rPr>
      </w:pPr>
      <w:r w:rsidRPr="003B50F6">
        <w:rPr>
          <w:rFonts w:ascii="Arial" w:hAnsi="Arial" w:cs="Arial"/>
          <w:color w:val="000000"/>
        </w:rPr>
        <w:t xml:space="preserve">Our main outcomes are marijuana dependence and </w:t>
      </w:r>
      <w:r w:rsidR="00905779" w:rsidRPr="003B50F6">
        <w:rPr>
          <w:rFonts w:ascii="Arial" w:hAnsi="Arial" w:cs="Arial"/>
          <w:color w:val="000000"/>
        </w:rPr>
        <w:t>its symptomatic criteria</w:t>
      </w:r>
      <w:r w:rsidRPr="003B50F6">
        <w:rPr>
          <w:rFonts w:ascii="Arial" w:hAnsi="Arial" w:cs="Arial"/>
          <w:color w:val="000000"/>
        </w:rPr>
        <w:t xml:space="preserve">, as indicated by the Diagnostic and Statistical Manual of Mental Disorders, Fourth Edition (DSM-IV). In accordance with </w:t>
      </w:r>
      <w:r w:rsidR="00784FBC" w:rsidRPr="003B50F6">
        <w:rPr>
          <w:rFonts w:ascii="Arial" w:hAnsi="Arial" w:cs="Arial"/>
          <w:color w:val="000000"/>
        </w:rPr>
        <w:t>SAMHSA</w:t>
      </w:r>
      <w:r w:rsidR="00B47D37" w:rsidRPr="003B50F6">
        <w:rPr>
          <w:rFonts w:ascii="Arial" w:hAnsi="Arial" w:cs="Arial"/>
          <w:color w:val="000000"/>
        </w:rPr>
        <w:t xml:space="preserve"> practices following </w:t>
      </w:r>
      <w:r w:rsidRPr="003B50F6">
        <w:rPr>
          <w:rFonts w:ascii="Arial" w:hAnsi="Arial" w:cs="Arial"/>
          <w:color w:val="000000"/>
        </w:rPr>
        <w:t>those guidelines, dependence was coded as yes if respondent met at least 3 of the 6 indicated criteria</w:t>
      </w:r>
      <w:r w:rsidR="00905779" w:rsidRPr="003B50F6">
        <w:rPr>
          <w:rFonts w:ascii="Arial" w:hAnsi="Arial" w:cs="Arial"/>
          <w:color w:val="000000"/>
        </w:rPr>
        <w:t>, presented here along with the coded variable</w:t>
      </w:r>
      <w:r w:rsidR="00B47D37" w:rsidRPr="003B50F6">
        <w:rPr>
          <w:rFonts w:ascii="Arial" w:hAnsi="Arial" w:cs="Arial"/>
          <w:color w:val="000000"/>
        </w:rPr>
        <w:t>(s)</w:t>
      </w:r>
      <w:r w:rsidR="00905779" w:rsidRPr="003B50F6">
        <w:rPr>
          <w:rFonts w:ascii="Arial" w:hAnsi="Arial" w:cs="Arial"/>
          <w:color w:val="000000"/>
        </w:rPr>
        <w:t xml:space="preserve"> in NSDUH: 1) Spent a great deal of time over a period of a month getting, using, or getting over t</w:t>
      </w:r>
      <w:r w:rsidR="00B77914" w:rsidRPr="003B50F6">
        <w:rPr>
          <w:rFonts w:ascii="Arial" w:hAnsi="Arial" w:cs="Arial"/>
          <w:color w:val="000000"/>
        </w:rPr>
        <w:t>he effects of the substance (MRJ</w:t>
      </w:r>
      <w:r w:rsidR="00905779" w:rsidRPr="003B50F6">
        <w:rPr>
          <w:rFonts w:ascii="Arial" w:hAnsi="Arial" w:cs="Arial"/>
          <w:color w:val="000000"/>
        </w:rPr>
        <w:t xml:space="preserve">LOTTM=1 or </w:t>
      </w:r>
      <w:r w:rsidR="00B77914" w:rsidRPr="003B50F6">
        <w:rPr>
          <w:rFonts w:ascii="Arial" w:hAnsi="Arial" w:cs="Arial"/>
          <w:color w:val="000000"/>
        </w:rPr>
        <w:t>MRJ</w:t>
      </w:r>
      <w:r w:rsidR="00905779" w:rsidRPr="003B50F6">
        <w:rPr>
          <w:rFonts w:ascii="Arial" w:hAnsi="Arial" w:cs="Arial"/>
          <w:color w:val="000000"/>
        </w:rPr>
        <w:t>GTOVR=1); 2) Unable to keep set limits on substance use or used more often than intended (</w:t>
      </w:r>
      <w:r w:rsidR="004D585A" w:rsidRPr="003B50F6">
        <w:rPr>
          <w:rFonts w:ascii="Arial" w:hAnsi="Arial" w:cs="Arial"/>
          <w:color w:val="000000"/>
        </w:rPr>
        <w:t>MRJ</w:t>
      </w:r>
      <w:r w:rsidR="002020E4" w:rsidRPr="003B50F6">
        <w:rPr>
          <w:rFonts w:ascii="Arial" w:hAnsi="Arial" w:cs="Arial"/>
          <w:color w:val="000000"/>
        </w:rPr>
        <w:t>LIMIT</w:t>
      </w:r>
      <w:r w:rsidR="004D585A" w:rsidRPr="003B50F6">
        <w:rPr>
          <w:rFonts w:ascii="Arial" w:hAnsi="Arial" w:cs="Arial"/>
          <w:color w:val="000000"/>
        </w:rPr>
        <w:t>=</w:t>
      </w:r>
      <w:r w:rsidR="004B2F55" w:rsidRPr="003B50F6">
        <w:rPr>
          <w:rFonts w:ascii="Arial" w:hAnsi="Arial" w:cs="Arial"/>
          <w:color w:val="000000"/>
        </w:rPr>
        <w:t xml:space="preserve">1 or 2, and </w:t>
      </w:r>
      <w:r w:rsidR="00B77914" w:rsidRPr="003B50F6">
        <w:rPr>
          <w:rFonts w:ascii="Arial" w:hAnsi="Arial" w:cs="Arial"/>
          <w:color w:val="000000"/>
        </w:rPr>
        <w:t>MRJ</w:t>
      </w:r>
      <w:r w:rsidR="00905779" w:rsidRPr="003B50F6">
        <w:rPr>
          <w:rFonts w:ascii="Arial" w:hAnsi="Arial" w:cs="Arial"/>
          <w:color w:val="000000"/>
        </w:rPr>
        <w:t>KPLMT=2); 3) Needed to use substance more than before to get desired effects or noticed that using the same amount had less effect than before (</w:t>
      </w:r>
      <w:r w:rsidR="00B77914" w:rsidRPr="003B50F6">
        <w:rPr>
          <w:rFonts w:ascii="Arial" w:hAnsi="Arial" w:cs="Arial"/>
          <w:color w:val="000000"/>
        </w:rPr>
        <w:t>MRJ</w:t>
      </w:r>
      <w:r w:rsidR="00905779" w:rsidRPr="003B50F6">
        <w:rPr>
          <w:rFonts w:ascii="Arial" w:hAnsi="Arial" w:cs="Arial"/>
          <w:color w:val="000000"/>
        </w:rPr>
        <w:t xml:space="preserve">NDMOR=1 or </w:t>
      </w:r>
      <w:r w:rsidR="00B77914" w:rsidRPr="003B50F6">
        <w:rPr>
          <w:rFonts w:ascii="Arial" w:hAnsi="Arial" w:cs="Arial"/>
          <w:color w:val="000000"/>
        </w:rPr>
        <w:t>MRJ</w:t>
      </w:r>
      <w:r w:rsidR="00905779" w:rsidRPr="003B50F6">
        <w:rPr>
          <w:rFonts w:ascii="Arial" w:hAnsi="Arial" w:cs="Arial"/>
          <w:color w:val="000000"/>
        </w:rPr>
        <w:t>LSEFX=1); 4) Unable to cut down or stop using the substance every time he or she tried or wanted to (</w:t>
      </w:r>
      <w:r w:rsidR="004B2F55" w:rsidRPr="003B50F6">
        <w:rPr>
          <w:rFonts w:ascii="Arial" w:hAnsi="Arial" w:cs="Arial"/>
          <w:color w:val="000000"/>
        </w:rPr>
        <w:t xml:space="preserve">MRJCUTDN=1 or 2, and </w:t>
      </w:r>
      <w:r w:rsidR="00B77914" w:rsidRPr="003B50F6">
        <w:rPr>
          <w:rFonts w:ascii="Arial" w:hAnsi="Arial" w:cs="Arial"/>
          <w:color w:val="000000"/>
        </w:rPr>
        <w:t>MRJ</w:t>
      </w:r>
      <w:r w:rsidR="00905779" w:rsidRPr="003B50F6">
        <w:rPr>
          <w:rFonts w:ascii="Arial" w:hAnsi="Arial" w:cs="Arial"/>
          <w:color w:val="000000"/>
        </w:rPr>
        <w:t>CUTEV=2); 5) Continued to use substance even though it was causing problems with emotions, nerves, mental health, or physical problems (</w:t>
      </w:r>
      <w:r w:rsidR="00B77914" w:rsidRPr="003B50F6">
        <w:rPr>
          <w:rFonts w:ascii="Arial" w:hAnsi="Arial" w:cs="Arial"/>
          <w:color w:val="000000"/>
        </w:rPr>
        <w:t>MRJ</w:t>
      </w:r>
      <w:r w:rsidR="00905779" w:rsidRPr="003B50F6">
        <w:rPr>
          <w:rFonts w:ascii="Arial" w:hAnsi="Arial" w:cs="Arial"/>
          <w:color w:val="000000"/>
        </w:rPr>
        <w:t xml:space="preserve">EMCTD=1 or </w:t>
      </w:r>
      <w:r w:rsidR="00B77914" w:rsidRPr="003B50F6">
        <w:rPr>
          <w:rFonts w:ascii="Arial" w:hAnsi="Arial" w:cs="Arial"/>
          <w:color w:val="000000"/>
        </w:rPr>
        <w:lastRenderedPageBreak/>
        <w:t>MRJ</w:t>
      </w:r>
      <w:r w:rsidR="00905779" w:rsidRPr="003B50F6">
        <w:rPr>
          <w:rFonts w:ascii="Arial" w:hAnsi="Arial" w:cs="Arial"/>
          <w:color w:val="000000"/>
        </w:rPr>
        <w:t>PHCTD=1); and 6) Reduced or gave up participation in important activities due to substance use (</w:t>
      </w:r>
      <w:r w:rsidR="00B77914" w:rsidRPr="003B50F6">
        <w:rPr>
          <w:rFonts w:ascii="Arial" w:hAnsi="Arial" w:cs="Arial"/>
          <w:color w:val="000000"/>
        </w:rPr>
        <w:t>MRJ</w:t>
      </w:r>
      <w:r w:rsidR="00905779" w:rsidRPr="003B50F6">
        <w:rPr>
          <w:rFonts w:ascii="Arial" w:hAnsi="Arial" w:cs="Arial"/>
          <w:color w:val="000000"/>
        </w:rPr>
        <w:t>LSACT=1)</w:t>
      </w:r>
      <w:r w:rsidR="002A6085">
        <w:rPr>
          <w:rFonts w:ascii="Arial" w:hAnsi="Arial" w:cs="Arial"/>
          <w:color w:val="000000"/>
        </w:rPr>
        <w:t xml:space="preserve"> </w:t>
      </w:r>
      <w:r w:rsidR="002A6085">
        <w:rPr>
          <w:rFonts w:ascii="Arial" w:hAnsi="Arial" w:cs="Arial"/>
          <w:color w:val="000000"/>
        </w:rPr>
        <w:fldChar w:fldCharType="begin" w:fldLock="1"/>
      </w:r>
      <w:r w:rsidR="002A6085">
        <w:rPr>
          <w:rFonts w:ascii="Arial" w:hAnsi="Arial" w:cs="Arial"/>
          <w:color w:val="000000"/>
        </w:rPr>
        <w:instrText>ADDIN CSL_CITATION { "citationItems" : [ { "id" : "ITEM-1", "itemData" : { "author" : [ { "dropping-particle" : "", "family" : "Center for Behavioral Health Statistics and Quality", "given" : "", "non-dropping-particle" : "", "parse-names" : false, "suffix" : "" } ], "id" : "ITEM-1", "issued" : { "date-parts" : [ [ "2017" ] ] }, "publisher" : "Rockville, MD: Substance Abuse and Mental Health Services Administration", "title" : "2016 National Survey on Drug Use and Health: Methodological summary and definitions", "type" : "book" }, "uris" : [ "http://www.mendeley.com/documents/?uuid=9f427504-0f4f-4590-af28-0605c9d8b382" ] } ], "mendeley" : { "formattedCitation" : "(Center for Behavioral Health Statistics and Quality, 2017b)", "plainTextFormattedCitation" : "(Center for Behavioral Health Statistics and Quality, 2017b)", "previouslyFormattedCitation" : "(Center for Behavioral Health Statistics and Quality, 2017b)" }, "properties" : {  }, "schema" : "https://github.com/citation-style-language/schema/raw/master/csl-citation.json" }</w:instrText>
      </w:r>
      <w:r w:rsidR="002A6085">
        <w:rPr>
          <w:rFonts w:ascii="Arial" w:hAnsi="Arial" w:cs="Arial"/>
          <w:color w:val="000000"/>
        </w:rPr>
        <w:fldChar w:fldCharType="separate"/>
      </w:r>
      <w:r w:rsidR="002A6085" w:rsidRPr="002A6085">
        <w:rPr>
          <w:rFonts w:ascii="Arial" w:hAnsi="Arial" w:cs="Arial"/>
          <w:noProof/>
          <w:color w:val="000000"/>
        </w:rPr>
        <w:t>(Center for Behavioral Health Statistics and Quality, 2017b)</w:t>
      </w:r>
      <w:r w:rsidR="002A6085">
        <w:rPr>
          <w:rFonts w:ascii="Arial" w:hAnsi="Arial" w:cs="Arial"/>
          <w:color w:val="000000"/>
        </w:rPr>
        <w:fldChar w:fldCharType="end"/>
      </w:r>
      <w:r w:rsidR="00C1478D" w:rsidRPr="003B50F6">
        <w:rPr>
          <w:rFonts w:ascii="Arial" w:hAnsi="Arial" w:cs="Arial"/>
          <w:color w:val="000000"/>
        </w:rPr>
        <w:t>.</w:t>
      </w:r>
    </w:p>
    <w:p w14:paraId="69B624B0" w14:textId="1BE905CF" w:rsidR="00905779" w:rsidRPr="00193160" w:rsidRDefault="00193160" w:rsidP="009F3CB9">
      <w:pPr>
        <w:pStyle w:val="ListParagraph"/>
        <w:numPr>
          <w:ilvl w:val="1"/>
          <w:numId w:val="7"/>
        </w:numPr>
        <w:spacing w:after="160"/>
        <w:jc w:val="both"/>
        <w:outlineLvl w:val="0"/>
        <w:rPr>
          <w:rFonts w:ascii="Arial" w:hAnsi="Arial" w:cs="Arial"/>
          <w:color w:val="000000"/>
        </w:rPr>
      </w:pPr>
      <w:r>
        <w:rPr>
          <w:rFonts w:ascii="Arial" w:hAnsi="Arial" w:cs="Arial"/>
          <w:b/>
          <w:bCs/>
          <w:color w:val="000000"/>
        </w:rPr>
        <w:t>Analyse</w:t>
      </w:r>
      <w:r w:rsidR="00190881" w:rsidRPr="009F3CB9">
        <w:rPr>
          <w:rFonts w:ascii="Arial" w:hAnsi="Arial" w:cs="Arial"/>
          <w:b/>
          <w:bCs/>
          <w:color w:val="000000"/>
        </w:rPr>
        <w:t>s</w:t>
      </w:r>
    </w:p>
    <w:p w14:paraId="56E03EF7" w14:textId="1F351961" w:rsidR="00193160" w:rsidRDefault="00325531" w:rsidP="00193160">
      <w:pPr>
        <w:spacing w:after="160"/>
        <w:jc w:val="both"/>
        <w:rPr>
          <w:rFonts w:ascii="Arial" w:hAnsi="Arial" w:cs="Arial"/>
          <w:color w:val="000000"/>
        </w:rPr>
      </w:pPr>
      <w:r w:rsidRPr="00193160">
        <w:rPr>
          <w:rFonts w:ascii="Arial" w:hAnsi="Arial" w:cs="Arial"/>
          <w:color w:val="000000"/>
        </w:rPr>
        <w:t>Data were weighted to reflect NSDUH’s sampling design, assembled from individual years into an omnibus dataset, and analyzed in R (3.4.2).</w:t>
      </w:r>
      <w:r w:rsidR="008923FD">
        <w:rPr>
          <w:rFonts w:ascii="Arial" w:hAnsi="Arial" w:cs="Arial"/>
          <w:color w:val="000000"/>
        </w:rPr>
        <w:fldChar w:fldCharType="begin" w:fldLock="1"/>
      </w:r>
      <w:r w:rsidR="008923FD">
        <w:rPr>
          <w:rFonts w:ascii="Arial" w:hAnsi="Arial" w:cs="Arial"/>
          <w:color w:val="000000"/>
        </w:rPr>
        <w:instrText>ADDIN CSL_CITATION { "citationItems" : [ { "id" : "ITEM-1", "itemData" : { "author" : [ { "dropping-particle" : "", "family" : "[Dataset] SAMHSA", "given" : "", "non-dropping-particle" : "", "parse-names" : false, "suffix" : "" } ], "id" : "ITEM-1", "issued" : { "date-parts" : [ [ "0" ] ] }, "title" : "National Survey on Drug Use and Health", "type" : "report" }, "uris" : [ "http://www.mendeley.com/documents/?uuid=eff2a918-34df-492b-9063-90cc5b6f1bc1" ] } ], "mendeley" : { "formattedCitation" : "([Dataset] SAMHSA, n.d.)", "plainTextFormattedCitation" : "([Dataset] SAMHSA, n.d.)", "previouslyFormattedCitation" : "([Dataset] SAMHSA, n.d.)" }, "properties" : {  }, "schema" : "https://github.com/citation-style-language/schema/raw/master/csl-citation.json" }</w:instrText>
      </w:r>
      <w:r w:rsidR="008923FD">
        <w:rPr>
          <w:rFonts w:ascii="Arial" w:hAnsi="Arial" w:cs="Arial"/>
          <w:color w:val="000000"/>
        </w:rPr>
        <w:fldChar w:fldCharType="separate"/>
      </w:r>
      <w:r w:rsidR="005D2BDA">
        <w:rPr>
          <w:rFonts w:ascii="Arial" w:hAnsi="Arial" w:cs="Arial"/>
          <w:noProof/>
          <w:color w:val="000000"/>
        </w:rPr>
        <w:t>(SAMHSA</w:t>
      </w:r>
      <w:r w:rsidR="008923FD" w:rsidRPr="008923FD">
        <w:rPr>
          <w:rFonts w:ascii="Arial" w:hAnsi="Arial" w:cs="Arial"/>
          <w:noProof/>
          <w:color w:val="000000"/>
        </w:rPr>
        <w:t>)</w:t>
      </w:r>
      <w:r w:rsidR="008923FD">
        <w:rPr>
          <w:rFonts w:ascii="Arial" w:hAnsi="Arial" w:cs="Arial"/>
          <w:color w:val="000000"/>
        </w:rPr>
        <w:fldChar w:fldCharType="end"/>
      </w:r>
      <w:r w:rsidRPr="00193160">
        <w:rPr>
          <w:rFonts w:ascii="Arial" w:hAnsi="Arial" w:cs="Arial"/>
          <w:color w:val="000000"/>
        </w:rPr>
        <w:t xml:space="preserve"> </w:t>
      </w:r>
      <w:r w:rsidR="0035204A" w:rsidRPr="00193160">
        <w:rPr>
          <w:rFonts w:ascii="Arial" w:hAnsi="Arial" w:cs="Arial"/>
          <w:color w:val="000000"/>
        </w:rPr>
        <w:t>The prevalence among DND users of DSM-IV dependence is calculated for each year of available data, first across all DND users and then by age group (12-17, 18-25, 26-34, 35+) and gender.</w:t>
      </w:r>
      <w:r w:rsidR="004B68C6">
        <w:rPr>
          <w:rFonts w:ascii="Arial" w:hAnsi="Arial" w:cs="Arial"/>
          <w:color w:val="000000"/>
        </w:rPr>
        <w:t xml:space="preserve"> </w:t>
      </w:r>
      <w:r w:rsidR="00147EF5">
        <w:rPr>
          <w:rFonts w:ascii="Arial" w:hAnsi="Arial" w:cs="Arial"/>
          <w:color w:val="000000"/>
        </w:rPr>
        <w:t>To provide broader context, l</w:t>
      </w:r>
      <w:r w:rsidR="004B68C6">
        <w:rPr>
          <w:rFonts w:ascii="Arial" w:hAnsi="Arial" w:cs="Arial"/>
          <w:color w:val="000000"/>
        </w:rPr>
        <w:t xml:space="preserve">evels and changes in DND prevalence are compared to </w:t>
      </w:r>
      <w:r w:rsidR="00147EF5">
        <w:rPr>
          <w:rFonts w:ascii="Arial" w:hAnsi="Arial" w:cs="Arial"/>
          <w:color w:val="000000"/>
        </w:rPr>
        <w:t>prevalence among past-year marijuana users and among the general population, but detailed results from analyses of non-DND user groups is omitted for brevity.</w:t>
      </w:r>
      <w:r w:rsidR="0035204A" w:rsidRPr="00193160">
        <w:rPr>
          <w:rFonts w:ascii="Arial" w:hAnsi="Arial" w:cs="Arial"/>
          <w:color w:val="000000"/>
        </w:rPr>
        <w:t xml:space="preserve"> DND prevalence is plotted without alteration, but for sub-group analyses, smoothing is applied in order to reduce year-to-year variation driven by small sample sizes. A simple 5-year moving average is applied (e.g., 2008 = average for 2006-2010) where possible; to conserve data points for plotting, years near the sample</w:t>
      </w:r>
      <w:r w:rsidR="00D51B7E">
        <w:rPr>
          <w:rFonts w:ascii="Arial" w:hAnsi="Arial" w:cs="Arial"/>
          <w:color w:val="000000"/>
        </w:rPr>
        <w:t>’s</w:t>
      </w:r>
      <w:r w:rsidR="0035204A" w:rsidRPr="00193160">
        <w:rPr>
          <w:rFonts w:ascii="Arial" w:hAnsi="Arial" w:cs="Arial"/>
          <w:color w:val="000000"/>
        </w:rPr>
        <w:t xml:space="preserve"> </w:t>
      </w:r>
      <w:r w:rsidR="00D51B7E">
        <w:rPr>
          <w:rFonts w:ascii="Arial" w:hAnsi="Arial" w:cs="Arial"/>
          <w:color w:val="000000"/>
        </w:rPr>
        <w:t xml:space="preserve">edge </w:t>
      </w:r>
      <w:r w:rsidR="0035204A" w:rsidRPr="00193160">
        <w:rPr>
          <w:rFonts w:ascii="Arial" w:hAnsi="Arial" w:cs="Arial"/>
          <w:color w:val="000000"/>
        </w:rPr>
        <w:t xml:space="preserve">are presented unsmoothed (e.g. 2002, 2016) or partially but symmetrically smoothed (e.g., 2003 = average for 2002-2004).  </w:t>
      </w:r>
      <w:r w:rsidR="00193160" w:rsidRPr="00193160">
        <w:rPr>
          <w:rFonts w:ascii="Arial" w:hAnsi="Arial" w:cs="Arial"/>
          <w:color w:val="000000"/>
        </w:rPr>
        <w:t xml:space="preserve">To determine statistical significance, data are divided into pre- (2002-2004) and post- (2014-2016) time periods, and fit with a quasi-binomial regression </w:t>
      </w:r>
      <w:r w:rsidR="0035204A" w:rsidRPr="00193160">
        <w:rPr>
          <w:rFonts w:ascii="Arial" w:hAnsi="Arial" w:cs="Arial"/>
          <w:color w:val="000000"/>
        </w:rPr>
        <w:t xml:space="preserve">predicting self-reported DSM-IV dependence as a function of age, race, education, gender, and </w:t>
      </w:r>
      <w:r w:rsidR="00193160" w:rsidRPr="00193160">
        <w:rPr>
          <w:rFonts w:ascii="Arial" w:hAnsi="Arial" w:cs="Arial"/>
          <w:color w:val="000000"/>
        </w:rPr>
        <w:t>time period.</w:t>
      </w:r>
      <w:r w:rsidR="006F5147">
        <w:rPr>
          <w:rFonts w:ascii="Arial" w:hAnsi="Arial" w:cs="Arial"/>
          <w:color w:val="000000"/>
        </w:rPr>
        <w:t xml:space="preserve"> Change is presented in absolute and relative terms.</w:t>
      </w:r>
    </w:p>
    <w:p w14:paraId="22A1387F" w14:textId="1012F8E3" w:rsidR="00190881" w:rsidRPr="006F5147" w:rsidRDefault="006F5147" w:rsidP="006F5147">
      <w:pPr>
        <w:spacing w:after="160"/>
        <w:jc w:val="both"/>
        <w:rPr>
          <w:rFonts w:ascii="Arial" w:hAnsi="Arial" w:cs="Arial"/>
          <w:color w:val="000000"/>
        </w:rPr>
      </w:pPr>
      <w:r>
        <w:rPr>
          <w:rFonts w:ascii="Arial" w:hAnsi="Arial" w:cs="Arial"/>
          <w:color w:val="000000"/>
        </w:rPr>
        <w:t>Likewise, the prevalence of individual DSM-IV Marijuana Dependence criterion among DND users are calculated, plotted, and tested for statistical significance. No sub-group analysis is undertaken here, for simplicity.</w:t>
      </w:r>
      <w:r w:rsidR="004B68C6">
        <w:rPr>
          <w:rFonts w:ascii="Arial" w:hAnsi="Arial" w:cs="Arial"/>
          <w:color w:val="000000"/>
        </w:rPr>
        <w:t xml:space="preserve"> </w:t>
      </w:r>
    </w:p>
    <w:p w14:paraId="1E012E4A" w14:textId="13F3FF35" w:rsidR="00190881" w:rsidRPr="009F3CB9" w:rsidRDefault="00190881" w:rsidP="009F3CB9">
      <w:pPr>
        <w:pStyle w:val="ListParagraph"/>
        <w:numPr>
          <w:ilvl w:val="0"/>
          <w:numId w:val="7"/>
        </w:numPr>
        <w:spacing w:after="160"/>
        <w:outlineLvl w:val="0"/>
        <w:rPr>
          <w:rFonts w:ascii="Arial" w:hAnsi="Arial" w:cs="Arial"/>
          <w:sz w:val="28"/>
          <w:szCs w:val="28"/>
        </w:rPr>
      </w:pPr>
      <w:r w:rsidRPr="009F3CB9">
        <w:rPr>
          <w:rFonts w:ascii="Arial" w:hAnsi="Arial" w:cs="Arial"/>
          <w:b/>
          <w:bCs/>
          <w:color w:val="000000"/>
          <w:sz w:val="28"/>
          <w:szCs w:val="28"/>
        </w:rPr>
        <w:t>Results</w:t>
      </w:r>
    </w:p>
    <w:p w14:paraId="2E5991AB" w14:textId="18268030" w:rsidR="00190881" w:rsidRPr="009F3CB9" w:rsidRDefault="00190881" w:rsidP="009F3CB9">
      <w:pPr>
        <w:pStyle w:val="ListParagraph"/>
        <w:numPr>
          <w:ilvl w:val="1"/>
          <w:numId w:val="7"/>
        </w:numPr>
        <w:spacing w:after="160"/>
        <w:jc w:val="both"/>
        <w:outlineLvl w:val="0"/>
        <w:rPr>
          <w:rFonts w:ascii="Arial" w:hAnsi="Arial" w:cs="Arial"/>
        </w:rPr>
      </w:pPr>
      <w:r w:rsidRPr="009F3CB9">
        <w:rPr>
          <w:rFonts w:ascii="Arial" w:hAnsi="Arial" w:cs="Arial"/>
          <w:b/>
          <w:bCs/>
          <w:color w:val="000000"/>
        </w:rPr>
        <w:t>Marijuana Dependence</w:t>
      </w:r>
    </w:p>
    <w:p w14:paraId="600BCDDA" w14:textId="514689E6" w:rsidR="00386827" w:rsidRDefault="009073DE" w:rsidP="00CE774E">
      <w:pPr>
        <w:spacing w:after="160"/>
        <w:jc w:val="both"/>
        <w:rPr>
          <w:rFonts w:ascii="Arial" w:hAnsi="Arial" w:cs="Arial"/>
          <w:color w:val="000000"/>
        </w:rPr>
      </w:pPr>
      <w:r w:rsidRPr="003B50F6">
        <w:rPr>
          <w:rFonts w:ascii="Arial" w:hAnsi="Arial" w:cs="Arial"/>
          <w:color w:val="000000"/>
        </w:rPr>
        <w:t xml:space="preserve">Rates of marijuana dependence among DND users </w:t>
      </w:r>
      <w:r w:rsidR="004B68C6">
        <w:rPr>
          <w:rFonts w:ascii="Arial" w:hAnsi="Arial" w:cs="Arial"/>
          <w:color w:val="000000"/>
        </w:rPr>
        <w:t>fell</w:t>
      </w:r>
      <w:r w:rsidRPr="003B50F6">
        <w:rPr>
          <w:rFonts w:ascii="Arial" w:hAnsi="Arial" w:cs="Arial"/>
          <w:color w:val="000000"/>
        </w:rPr>
        <w:t xml:space="preserve"> throughout the study period, from a high of </w:t>
      </w:r>
      <w:r w:rsidR="00A1134F" w:rsidRPr="003B50F6">
        <w:rPr>
          <w:rFonts w:ascii="Arial" w:hAnsi="Arial" w:cs="Arial"/>
          <w:color w:val="000000"/>
        </w:rPr>
        <w:t>27.3%</w:t>
      </w:r>
      <w:r w:rsidRPr="003B50F6">
        <w:rPr>
          <w:rFonts w:ascii="Arial" w:hAnsi="Arial" w:cs="Arial"/>
          <w:color w:val="000000"/>
        </w:rPr>
        <w:t xml:space="preserve"> in 2002</w:t>
      </w:r>
      <w:r w:rsidR="00E40B5E">
        <w:rPr>
          <w:rFonts w:ascii="Arial" w:hAnsi="Arial" w:cs="Arial"/>
          <w:color w:val="000000"/>
        </w:rPr>
        <w:t xml:space="preserve"> (26.5%, pooling 2002-2004)</w:t>
      </w:r>
      <w:r w:rsidRPr="003B50F6">
        <w:rPr>
          <w:rFonts w:ascii="Arial" w:hAnsi="Arial" w:cs="Arial"/>
          <w:color w:val="000000"/>
        </w:rPr>
        <w:t xml:space="preserve"> to a low of </w:t>
      </w:r>
      <w:r w:rsidR="00A1134F" w:rsidRPr="003B50F6">
        <w:rPr>
          <w:rFonts w:ascii="Arial" w:hAnsi="Arial" w:cs="Arial"/>
          <w:color w:val="000000"/>
        </w:rPr>
        <w:t>15.8%</w:t>
      </w:r>
      <w:r w:rsidRPr="003B50F6">
        <w:rPr>
          <w:rFonts w:ascii="Arial" w:hAnsi="Arial" w:cs="Arial"/>
          <w:color w:val="000000"/>
        </w:rPr>
        <w:t xml:space="preserve"> in 2014</w:t>
      </w:r>
      <w:r w:rsidR="00E40B5E">
        <w:rPr>
          <w:rFonts w:ascii="Arial" w:hAnsi="Arial" w:cs="Arial"/>
          <w:color w:val="000000"/>
        </w:rPr>
        <w:t xml:space="preserve"> (16.1% for 2014-2016).</w:t>
      </w:r>
      <w:r w:rsidR="001E0B38">
        <w:rPr>
          <w:rFonts w:ascii="Arial" w:hAnsi="Arial" w:cs="Arial"/>
          <w:color w:val="000000"/>
        </w:rPr>
        <w:t xml:space="preserve"> </w:t>
      </w:r>
      <w:r w:rsidR="00D36F87">
        <w:rPr>
          <w:rFonts w:ascii="Arial" w:hAnsi="Arial" w:cs="Arial"/>
          <w:color w:val="000000"/>
        </w:rPr>
        <w:t>Among all past-year users, we observe a decline that is similar in relative terms (from 13.8% to 8.5%).</w:t>
      </w:r>
      <w:r w:rsidR="00FC245C">
        <w:rPr>
          <w:rFonts w:ascii="Arial" w:hAnsi="Arial" w:cs="Arial"/>
          <w:color w:val="000000"/>
        </w:rPr>
        <w:t xml:space="preserve"> Logistic regression </w:t>
      </w:r>
      <w:r w:rsidR="00FC245C" w:rsidRPr="003B50F6">
        <w:rPr>
          <w:rFonts w:ascii="Arial" w:hAnsi="Arial" w:cs="Arial"/>
          <w:color w:val="000000"/>
        </w:rPr>
        <w:t xml:space="preserve">confirms the reduction in </w:t>
      </w:r>
      <w:r w:rsidR="00FC245C">
        <w:rPr>
          <w:rFonts w:ascii="Arial" w:hAnsi="Arial" w:cs="Arial"/>
          <w:color w:val="000000"/>
        </w:rPr>
        <w:t xml:space="preserve">DND </w:t>
      </w:r>
      <w:r w:rsidR="00FC245C" w:rsidRPr="003B50F6">
        <w:rPr>
          <w:rFonts w:ascii="Arial" w:hAnsi="Arial" w:cs="Arial"/>
          <w:color w:val="000000"/>
        </w:rPr>
        <w:t xml:space="preserve">dependence from 2002-2004 to </w:t>
      </w:r>
      <w:r w:rsidR="00FC245C">
        <w:rPr>
          <w:rFonts w:ascii="Arial" w:hAnsi="Arial" w:cs="Arial"/>
          <w:color w:val="000000"/>
        </w:rPr>
        <w:t>2014-2016</w:t>
      </w:r>
      <w:r w:rsidR="00FC245C" w:rsidRPr="003B50F6">
        <w:rPr>
          <w:rFonts w:ascii="Arial" w:hAnsi="Arial" w:cs="Arial"/>
          <w:color w:val="000000"/>
        </w:rPr>
        <w:t xml:space="preserve"> is statistically significant</w:t>
      </w:r>
      <w:r w:rsidR="00FC245C">
        <w:rPr>
          <w:rFonts w:ascii="Arial" w:hAnsi="Arial" w:cs="Arial"/>
          <w:color w:val="000000"/>
        </w:rPr>
        <w:t xml:space="preserve"> (</w:t>
      </w:r>
      <w:r w:rsidR="00FC245C" w:rsidRPr="004A4380">
        <w:rPr>
          <w:rFonts w:ascii="Arial" w:hAnsi="Arial" w:cs="Arial"/>
          <w:i/>
          <w:color w:val="000000"/>
        </w:rPr>
        <w:t>p</w:t>
      </w:r>
      <w:r w:rsidR="00FC245C">
        <w:rPr>
          <w:rFonts w:ascii="Arial" w:hAnsi="Arial" w:cs="Arial"/>
          <w:color w:val="000000"/>
        </w:rPr>
        <w:t>&lt;.001)</w:t>
      </w:r>
      <w:r w:rsidR="00FC245C" w:rsidRPr="003B50F6">
        <w:rPr>
          <w:rFonts w:ascii="Arial" w:hAnsi="Arial" w:cs="Arial"/>
          <w:color w:val="000000"/>
        </w:rPr>
        <w:t>. A similar model run on all NSDUH respondents, estimating the population-level prevalence, shows no significant change.</w:t>
      </w:r>
    </w:p>
    <w:p w14:paraId="5314B59B" w14:textId="786AFF8C" w:rsidR="00D51B7E" w:rsidRPr="00FC245C" w:rsidRDefault="00B30465" w:rsidP="00CE774E">
      <w:pPr>
        <w:spacing w:after="160"/>
        <w:jc w:val="both"/>
        <w:rPr>
          <w:rFonts w:ascii="Arial" w:hAnsi="Arial" w:cs="Arial"/>
          <w:b/>
          <w:bCs/>
          <w:color w:val="000000"/>
        </w:rPr>
      </w:pPr>
      <w:r>
        <w:rPr>
          <w:rFonts w:ascii="Arial" w:hAnsi="Arial" w:cs="Arial"/>
          <w:color w:val="000000"/>
        </w:rPr>
        <w:t xml:space="preserve">Figure 1 shows DND (dotted black line) and sub-group dependence rates (colored). </w:t>
      </w:r>
      <w:r w:rsidR="00D51B7E">
        <w:rPr>
          <w:rFonts w:ascii="Arial" w:hAnsi="Arial" w:cs="Arial"/>
          <w:color w:val="000000"/>
        </w:rPr>
        <w:t xml:space="preserve">Sub-group analyses show declines among all age and gender groups, </w:t>
      </w:r>
      <w:r w:rsidR="00345E07">
        <w:rPr>
          <w:rFonts w:ascii="Arial" w:hAnsi="Arial" w:cs="Arial"/>
          <w:color w:val="000000"/>
        </w:rPr>
        <w:t xml:space="preserve">except for </w:t>
      </w:r>
      <w:r w:rsidR="00D51B7E">
        <w:rPr>
          <w:rFonts w:ascii="Arial" w:hAnsi="Arial" w:cs="Arial"/>
          <w:color w:val="000000"/>
        </w:rPr>
        <w:t xml:space="preserve">adults over 50 years old, among </w:t>
      </w:r>
      <w:r w:rsidR="00345E07">
        <w:rPr>
          <w:rFonts w:ascii="Arial" w:hAnsi="Arial" w:cs="Arial"/>
          <w:color w:val="000000"/>
        </w:rPr>
        <w:t xml:space="preserve">whom </w:t>
      </w:r>
      <w:r w:rsidR="00D51B7E">
        <w:rPr>
          <w:rFonts w:ascii="Arial" w:hAnsi="Arial" w:cs="Arial"/>
          <w:color w:val="000000"/>
        </w:rPr>
        <w:t xml:space="preserve">dependence </w:t>
      </w:r>
      <w:r w:rsidR="00345E07">
        <w:rPr>
          <w:rFonts w:ascii="Arial" w:hAnsi="Arial" w:cs="Arial"/>
          <w:color w:val="000000"/>
        </w:rPr>
        <w:t xml:space="preserve">has fallen only since 2007, but was increasing beforehand. Dependence rates show a steep age gradient, with adolescent rates roughly doubling those among 26-49 </w:t>
      </w:r>
      <w:r w:rsidR="002A6085">
        <w:rPr>
          <w:rFonts w:ascii="Arial" w:hAnsi="Arial" w:cs="Arial"/>
          <w:color w:val="000000"/>
        </w:rPr>
        <w:t>year olds, which in turn double</w:t>
      </w:r>
      <w:r w:rsidR="00345E07">
        <w:rPr>
          <w:rFonts w:ascii="Arial" w:hAnsi="Arial" w:cs="Arial"/>
          <w:color w:val="000000"/>
        </w:rPr>
        <w:t xml:space="preserve"> older users</w:t>
      </w:r>
      <w:r w:rsidR="005C6C99">
        <w:rPr>
          <w:rFonts w:ascii="Arial" w:hAnsi="Arial" w:cs="Arial"/>
          <w:color w:val="000000"/>
        </w:rPr>
        <w:t>’</w:t>
      </w:r>
      <w:r w:rsidR="00345E07">
        <w:rPr>
          <w:rFonts w:ascii="Arial" w:hAnsi="Arial" w:cs="Arial"/>
          <w:color w:val="000000"/>
        </w:rPr>
        <w:t>. Rates among females are persistently higher than male rates until crossing in 2015.</w:t>
      </w:r>
    </w:p>
    <w:p w14:paraId="022CC9E2" w14:textId="2E71E344" w:rsidR="005C6C99" w:rsidRDefault="004D5388" w:rsidP="005C6C99">
      <w:pPr>
        <w:spacing w:after="160"/>
        <w:ind w:left="720"/>
        <w:jc w:val="both"/>
        <w:rPr>
          <w:rFonts w:ascii="Arial" w:hAnsi="Arial" w:cs="Arial"/>
          <w:b/>
          <w:color w:val="000000"/>
        </w:rPr>
      </w:pPr>
      <w:r w:rsidRPr="003B50F6">
        <w:rPr>
          <w:rFonts w:ascii="Arial" w:hAnsi="Arial" w:cs="Arial"/>
          <w:b/>
          <w:color w:val="000000"/>
        </w:rPr>
        <w:t>Figure 1.</w:t>
      </w:r>
      <w:r>
        <w:rPr>
          <w:rFonts w:ascii="Arial" w:hAnsi="Arial" w:cs="Arial"/>
          <w:b/>
          <w:color w:val="000000"/>
        </w:rPr>
        <w:t xml:space="preserve"> </w:t>
      </w:r>
      <w:r w:rsidR="00345E07">
        <w:rPr>
          <w:rFonts w:ascii="Arial" w:hAnsi="Arial" w:cs="Arial"/>
          <w:b/>
          <w:color w:val="000000"/>
        </w:rPr>
        <w:t xml:space="preserve">Rates </w:t>
      </w:r>
      <w:r>
        <w:rPr>
          <w:rFonts w:ascii="Arial" w:hAnsi="Arial" w:cs="Arial"/>
          <w:b/>
          <w:color w:val="000000"/>
        </w:rPr>
        <w:t xml:space="preserve">of DSM-IV Dependence </w:t>
      </w:r>
      <w:r w:rsidR="00345E07">
        <w:rPr>
          <w:rFonts w:ascii="Arial" w:hAnsi="Arial" w:cs="Arial"/>
          <w:b/>
          <w:color w:val="000000"/>
        </w:rPr>
        <w:t>Among</w:t>
      </w:r>
      <w:r>
        <w:rPr>
          <w:rFonts w:ascii="Arial" w:hAnsi="Arial" w:cs="Arial"/>
          <w:b/>
          <w:color w:val="000000"/>
        </w:rPr>
        <w:t xml:space="preserve"> DND Users</w:t>
      </w:r>
      <w:r w:rsidR="00345E07">
        <w:rPr>
          <w:rFonts w:ascii="Arial" w:hAnsi="Arial" w:cs="Arial"/>
          <w:b/>
          <w:color w:val="000000"/>
        </w:rPr>
        <w:t xml:space="preserve"> and Subgroups</w:t>
      </w:r>
    </w:p>
    <w:p w14:paraId="58BA7FC2" w14:textId="21CE4B55" w:rsidR="00345E07" w:rsidRPr="00FC125C" w:rsidRDefault="00345E07" w:rsidP="005C6C99">
      <w:pPr>
        <w:spacing w:after="160"/>
        <w:rPr>
          <w:rFonts w:ascii="Arial" w:hAnsi="Arial" w:cs="Arial"/>
          <w:b/>
          <w:color w:val="000000"/>
        </w:rPr>
      </w:pPr>
      <w:r w:rsidRPr="00345E07">
        <w:rPr>
          <w:rFonts w:ascii="Arial" w:hAnsi="Arial" w:cs="Arial"/>
          <w:noProof/>
          <w:color w:val="000000"/>
        </w:rPr>
        <w:lastRenderedPageBreak/>
        <w:drawing>
          <wp:inline distT="0" distB="0" distL="0" distR="0" wp14:anchorId="0E966DE5" wp14:editId="76C7B455">
            <wp:extent cx="6167794" cy="2461846"/>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5383" cy="2468867"/>
                    </a:xfrm>
                    <a:prstGeom prst="rect">
                      <a:avLst/>
                    </a:prstGeom>
                  </pic:spPr>
                </pic:pic>
              </a:graphicData>
            </a:graphic>
          </wp:inline>
        </w:drawing>
      </w:r>
    </w:p>
    <w:p w14:paraId="7A60B4E8" w14:textId="155E5EF1" w:rsidR="00190881" w:rsidRPr="009F3CB9" w:rsidRDefault="00190881" w:rsidP="009F3CB9">
      <w:pPr>
        <w:pStyle w:val="ListParagraph"/>
        <w:numPr>
          <w:ilvl w:val="1"/>
          <w:numId w:val="7"/>
        </w:numPr>
        <w:spacing w:after="160"/>
        <w:jc w:val="both"/>
        <w:rPr>
          <w:rFonts w:ascii="Arial" w:hAnsi="Arial" w:cs="Arial"/>
        </w:rPr>
      </w:pPr>
      <w:r w:rsidRPr="009F3CB9">
        <w:rPr>
          <w:rFonts w:ascii="Arial" w:hAnsi="Arial" w:cs="Arial"/>
          <w:b/>
          <w:bCs/>
          <w:color w:val="000000"/>
        </w:rPr>
        <w:t>Symptom</w:t>
      </w:r>
      <w:r w:rsidR="009A0F2E">
        <w:rPr>
          <w:rFonts w:ascii="Arial" w:hAnsi="Arial" w:cs="Arial"/>
          <w:b/>
          <w:bCs/>
          <w:color w:val="000000"/>
        </w:rPr>
        <w:t xml:space="preserve"> Criterion</w:t>
      </w:r>
    </w:p>
    <w:p w14:paraId="5239B7E0" w14:textId="25EF9164" w:rsidR="00B30465" w:rsidRDefault="00845E79" w:rsidP="00E40B5E">
      <w:pPr>
        <w:spacing w:after="160"/>
        <w:jc w:val="both"/>
        <w:rPr>
          <w:rFonts w:ascii="Arial" w:hAnsi="Arial" w:cs="Arial"/>
          <w:color w:val="000000"/>
        </w:rPr>
      </w:pPr>
      <w:r w:rsidRPr="003B50F6">
        <w:rPr>
          <w:rFonts w:ascii="Arial" w:hAnsi="Arial" w:cs="Arial"/>
          <w:color w:val="000000"/>
        </w:rPr>
        <w:t xml:space="preserve">Among DND users, </w:t>
      </w:r>
      <w:r w:rsidR="00AB456E" w:rsidRPr="003B50F6">
        <w:rPr>
          <w:rFonts w:ascii="Arial" w:hAnsi="Arial" w:cs="Arial"/>
          <w:color w:val="000000"/>
        </w:rPr>
        <w:t xml:space="preserve">five of </w:t>
      </w:r>
      <w:r w:rsidRPr="003B50F6">
        <w:rPr>
          <w:rFonts w:ascii="Arial" w:hAnsi="Arial" w:cs="Arial"/>
          <w:color w:val="000000"/>
        </w:rPr>
        <w:t>six</w:t>
      </w:r>
      <w:r w:rsidR="00B30465">
        <w:rPr>
          <w:rFonts w:ascii="Arial" w:hAnsi="Arial" w:cs="Arial"/>
          <w:color w:val="000000"/>
        </w:rPr>
        <w:t xml:space="preserve"> </w:t>
      </w:r>
      <w:r w:rsidR="00D50500" w:rsidRPr="003B50F6">
        <w:rPr>
          <w:rFonts w:ascii="Arial" w:hAnsi="Arial" w:cs="Arial"/>
          <w:color w:val="000000"/>
        </w:rPr>
        <w:t xml:space="preserve">DSM-IV marijuana dependence symptoms </w:t>
      </w:r>
      <w:r w:rsidR="00B30465">
        <w:rPr>
          <w:rFonts w:ascii="Arial" w:hAnsi="Arial" w:cs="Arial"/>
          <w:color w:val="000000"/>
        </w:rPr>
        <w:t>showed significant declines</w:t>
      </w:r>
      <w:r w:rsidRPr="003B50F6">
        <w:rPr>
          <w:rFonts w:ascii="Arial" w:hAnsi="Arial" w:cs="Arial"/>
          <w:color w:val="000000"/>
        </w:rPr>
        <w:t xml:space="preserve"> </w:t>
      </w:r>
      <w:r w:rsidR="00B30465">
        <w:rPr>
          <w:rFonts w:ascii="Arial" w:hAnsi="Arial" w:cs="Arial"/>
          <w:color w:val="000000"/>
        </w:rPr>
        <w:t>in prevalence</w:t>
      </w:r>
      <w:r w:rsidR="00345E07">
        <w:rPr>
          <w:rFonts w:ascii="Arial" w:hAnsi="Arial" w:cs="Arial"/>
          <w:color w:val="000000"/>
        </w:rPr>
        <w:t xml:space="preserve">. </w:t>
      </w:r>
      <w:r w:rsidR="00B30465">
        <w:rPr>
          <w:rFonts w:ascii="Arial" w:hAnsi="Arial" w:cs="Arial"/>
          <w:color w:val="000000"/>
        </w:rPr>
        <w:t>The biggest relative declines are</w:t>
      </w:r>
      <w:r w:rsidR="00415264">
        <w:rPr>
          <w:rFonts w:ascii="Arial" w:hAnsi="Arial" w:cs="Arial"/>
          <w:color w:val="000000"/>
        </w:rPr>
        <w:t xml:space="preserve"> in criterion</w:t>
      </w:r>
      <w:r w:rsidR="00B30465">
        <w:rPr>
          <w:rFonts w:ascii="Arial" w:hAnsi="Arial" w:cs="Arial"/>
          <w:color w:val="000000"/>
        </w:rPr>
        <w:t xml:space="preserve"> related to </w:t>
      </w:r>
      <w:r w:rsidR="00415264">
        <w:rPr>
          <w:rFonts w:ascii="Arial" w:hAnsi="Arial" w:cs="Arial"/>
          <w:color w:val="000000"/>
        </w:rPr>
        <w:t xml:space="preserve">health and </w:t>
      </w:r>
      <w:r w:rsidR="00B30465">
        <w:rPr>
          <w:rFonts w:ascii="Arial" w:hAnsi="Arial" w:cs="Arial"/>
          <w:color w:val="000000"/>
        </w:rPr>
        <w:t xml:space="preserve">lifestyle, e.g., </w:t>
      </w:r>
      <w:r w:rsidR="00415264">
        <w:rPr>
          <w:rFonts w:ascii="Arial" w:hAnsi="Arial" w:cs="Arial"/>
          <w:color w:val="000000"/>
        </w:rPr>
        <w:t xml:space="preserve">stopping important activities and continued use despite emotional, mental, or physical problems. </w:t>
      </w:r>
      <w:r w:rsidR="001145A3">
        <w:rPr>
          <w:rFonts w:ascii="Arial" w:hAnsi="Arial" w:cs="Arial"/>
          <w:color w:val="000000"/>
        </w:rPr>
        <w:t>Reported tolerance (“needed more for the same effect”) showed no significant changes.</w:t>
      </w:r>
    </w:p>
    <w:p w14:paraId="099D5AF2" w14:textId="7D00FC1D" w:rsidR="00F61215" w:rsidRDefault="00436D39" w:rsidP="000425CE">
      <w:pPr>
        <w:spacing w:after="160"/>
        <w:rPr>
          <w:rFonts w:ascii="Arial" w:hAnsi="Arial" w:cs="Arial"/>
          <w:b/>
          <w:bCs/>
          <w:color w:val="000000"/>
          <w:sz w:val="28"/>
          <w:szCs w:val="28"/>
        </w:rPr>
      </w:pPr>
      <w:r>
        <w:rPr>
          <w:rFonts w:ascii="Arial" w:hAnsi="Arial" w:cs="Arial"/>
          <w:b/>
          <w:bCs/>
          <w:color w:val="000000"/>
        </w:rPr>
        <w:t xml:space="preserve">Table 1. </w:t>
      </w:r>
      <w:r w:rsidR="000425CE">
        <w:rPr>
          <w:rFonts w:ascii="Arial" w:hAnsi="Arial" w:cs="Arial"/>
          <w:b/>
          <w:bCs/>
          <w:color w:val="000000"/>
        </w:rPr>
        <w:t xml:space="preserve">DND </w:t>
      </w:r>
      <w:r>
        <w:rPr>
          <w:rFonts w:ascii="Arial" w:hAnsi="Arial" w:cs="Arial"/>
          <w:b/>
          <w:bCs/>
          <w:color w:val="000000"/>
        </w:rPr>
        <w:t xml:space="preserve">Prevalence </w:t>
      </w:r>
      <w:r w:rsidR="000425CE">
        <w:rPr>
          <w:rFonts w:ascii="Arial" w:hAnsi="Arial" w:cs="Arial"/>
          <w:b/>
          <w:bCs/>
          <w:color w:val="000000"/>
        </w:rPr>
        <w:t>of Dependence and Symptom Criterion</w:t>
      </w:r>
    </w:p>
    <w:tbl>
      <w:tblPr>
        <w:tblStyle w:val="TableGrid"/>
        <w:tblW w:w="9355" w:type="dxa"/>
        <w:tblLayout w:type="fixed"/>
        <w:tblLook w:val="04A0" w:firstRow="1" w:lastRow="0" w:firstColumn="1" w:lastColumn="0" w:noHBand="0" w:noVBand="1"/>
      </w:tblPr>
      <w:tblGrid>
        <w:gridCol w:w="3775"/>
        <w:gridCol w:w="990"/>
        <w:gridCol w:w="900"/>
        <w:gridCol w:w="1098"/>
        <w:gridCol w:w="1242"/>
        <w:gridCol w:w="1350"/>
      </w:tblGrid>
      <w:tr w:rsidR="00F61215" w:rsidRPr="00F61215" w14:paraId="693E060E" w14:textId="77777777" w:rsidTr="001C0446">
        <w:trPr>
          <w:trHeight w:val="340"/>
        </w:trPr>
        <w:tc>
          <w:tcPr>
            <w:tcW w:w="3775" w:type="dxa"/>
            <w:noWrap/>
            <w:hideMark/>
          </w:tcPr>
          <w:p w14:paraId="74B6A065" w14:textId="7A7DFCF9" w:rsidR="00F61215" w:rsidRPr="00F61215" w:rsidRDefault="00F61215" w:rsidP="00B02C0B">
            <w:pPr>
              <w:spacing w:after="160"/>
              <w:rPr>
                <w:rFonts w:ascii="Arial" w:hAnsi="Arial" w:cs="Arial"/>
                <w:b/>
                <w:bCs/>
                <w:color w:val="000000"/>
                <w:sz w:val="20"/>
                <w:szCs w:val="20"/>
              </w:rPr>
            </w:pPr>
            <w:r w:rsidRPr="00F61215">
              <w:rPr>
                <w:rFonts w:ascii="Arial" w:hAnsi="Arial" w:cs="Arial"/>
                <w:b/>
                <w:bCs/>
                <w:color w:val="000000"/>
                <w:sz w:val="20"/>
                <w:szCs w:val="20"/>
              </w:rPr>
              <w:t>Condition</w:t>
            </w:r>
            <w:r w:rsidR="00FC73C3">
              <w:rPr>
                <w:rFonts w:ascii="Arial" w:hAnsi="Arial" w:cs="Arial"/>
                <w:b/>
                <w:bCs/>
                <w:color w:val="000000"/>
                <w:sz w:val="20"/>
                <w:szCs w:val="20"/>
              </w:rPr>
              <w:t xml:space="preserve"> / Symptom</w:t>
            </w:r>
          </w:p>
        </w:tc>
        <w:tc>
          <w:tcPr>
            <w:tcW w:w="990" w:type="dxa"/>
            <w:noWrap/>
            <w:hideMark/>
          </w:tcPr>
          <w:p w14:paraId="1D344286" w14:textId="77777777" w:rsidR="00F61215" w:rsidRPr="00F61215" w:rsidRDefault="00F61215" w:rsidP="00286831">
            <w:pPr>
              <w:spacing w:after="160"/>
              <w:jc w:val="center"/>
              <w:rPr>
                <w:rFonts w:ascii="Arial" w:hAnsi="Arial" w:cs="Arial"/>
                <w:b/>
                <w:bCs/>
                <w:color w:val="000000"/>
                <w:sz w:val="20"/>
                <w:szCs w:val="20"/>
              </w:rPr>
            </w:pPr>
            <w:r w:rsidRPr="00F61215">
              <w:rPr>
                <w:rFonts w:ascii="Arial" w:hAnsi="Arial" w:cs="Arial"/>
                <w:b/>
                <w:bCs/>
                <w:color w:val="000000"/>
                <w:sz w:val="20"/>
                <w:szCs w:val="20"/>
              </w:rPr>
              <w:t>2002-4</w:t>
            </w:r>
          </w:p>
        </w:tc>
        <w:tc>
          <w:tcPr>
            <w:tcW w:w="900" w:type="dxa"/>
            <w:noWrap/>
            <w:hideMark/>
          </w:tcPr>
          <w:p w14:paraId="78E8BDA8" w14:textId="77777777" w:rsidR="00F61215" w:rsidRPr="00F61215" w:rsidRDefault="00F61215" w:rsidP="00286831">
            <w:pPr>
              <w:spacing w:after="160"/>
              <w:jc w:val="center"/>
              <w:rPr>
                <w:rFonts w:ascii="Arial" w:hAnsi="Arial" w:cs="Arial"/>
                <w:b/>
                <w:bCs/>
                <w:color w:val="000000"/>
                <w:sz w:val="20"/>
                <w:szCs w:val="20"/>
              </w:rPr>
            </w:pPr>
            <w:r w:rsidRPr="00F61215">
              <w:rPr>
                <w:rFonts w:ascii="Arial" w:hAnsi="Arial" w:cs="Arial"/>
                <w:b/>
                <w:bCs/>
                <w:color w:val="000000"/>
                <w:sz w:val="20"/>
                <w:szCs w:val="20"/>
              </w:rPr>
              <w:t>2014-6</w:t>
            </w:r>
          </w:p>
        </w:tc>
        <w:tc>
          <w:tcPr>
            <w:tcW w:w="1098" w:type="dxa"/>
            <w:noWrap/>
            <w:hideMark/>
          </w:tcPr>
          <w:p w14:paraId="13C0D1F7" w14:textId="0C5582B9" w:rsidR="00F61215" w:rsidRPr="00F61215" w:rsidRDefault="00F61215" w:rsidP="00286831">
            <w:pPr>
              <w:spacing w:after="160"/>
              <w:jc w:val="center"/>
              <w:rPr>
                <w:rFonts w:ascii="Arial" w:hAnsi="Arial" w:cs="Arial"/>
                <w:b/>
                <w:bCs/>
                <w:color w:val="000000"/>
                <w:sz w:val="20"/>
                <w:szCs w:val="20"/>
              </w:rPr>
            </w:pPr>
            <w:r w:rsidRPr="00F61215">
              <w:rPr>
                <w:rFonts w:ascii="Arial" w:hAnsi="Arial" w:cs="Arial"/>
                <w:b/>
                <w:bCs/>
                <w:color w:val="000000"/>
                <w:sz w:val="20"/>
                <w:szCs w:val="20"/>
              </w:rPr>
              <w:t>P</w:t>
            </w:r>
            <w:r>
              <w:rPr>
                <w:rFonts w:ascii="Arial" w:hAnsi="Arial" w:cs="Arial"/>
                <w:b/>
                <w:bCs/>
                <w:color w:val="000000"/>
                <w:sz w:val="20"/>
                <w:szCs w:val="20"/>
              </w:rPr>
              <w:t>-value</w:t>
            </w:r>
          </w:p>
        </w:tc>
        <w:tc>
          <w:tcPr>
            <w:tcW w:w="1242" w:type="dxa"/>
            <w:noWrap/>
            <w:hideMark/>
          </w:tcPr>
          <w:p w14:paraId="2B8339F5" w14:textId="2426EA22" w:rsidR="00F61215" w:rsidRPr="00F61215" w:rsidRDefault="00F61215" w:rsidP="00286831">
            <w:pPr>
              <w:spacing w:after="160"/>
              <w:jc w:val="center"/>
              <w:rPr>
                <w:rFonts w:ascii="Arial" w:hAnsi="Arial" w:cs="Arial"/>
                <w:b/>
                <w:bCs/>
                <w:color w:val="000000"/>
                <w:sz w:val="20"/>
                <w:szCs w:val="20"/>
              </w:rPr>
            </w:pPr>
            <w:r w:rsidRPr="00F61215">
              <w:rPr>
                <w:rFonts w:ascii="Arial" w:hAnsi="Arial" w:cs="Arial"/>
                <w:b/>
                <w:bCs/>
                <w:color w:val="000000"/>
                <w:sz w:val="20"/>
                <w:szCs w:val="20"/>
              </w:rPr>
              <w:t>Diff</w:t>
            </w:r>
            <w:r>
              <w:rPr>
                <w:rFonts w:ascii="Arial" w:hAnsi="Arial" w:cs="Arial"/>
                <w:b/>
                <w:bCs/>
                <w:color w:val="000000"/>
                <w:sz w:val="20"/>
                <w:szCs w:val="20"/>
              </w:rPr>
              <w:t>erence</w:t>
            </w:r>
          </w:p>
        </w:tc>
        <w:tc>
          <w:tcPr>
            <w:tcW w:w="1350" w:type="dxa"/>
            <w:noWrap/>
            <w:hideMark/>
          </w:tcPr>
          <w:p w14:paraId="645342FE" w14:textId="4B841F4D" w:rsidR="00F61215" w:rsidRPr="00F61215" w:rsidRDefault="00F61215" w:rsidP="00286831">
            <w:pPr>
              <w:spacing w:after="160"/>
              <w:jc w:val="center"/>
              <w:rPr>
                <w:rFonts w:ascii="Arial" w:hAnsi="Arial" w:cs="Arial"/>
                <w:b/>
                <w:bCs/>
                <w:color w:val="000000"/>
                <w:sz w:val="20"/>
                <w:szCs w:val="20"/>
              </w:rPr>
            </w:pPr>
            <w:r>
              <w:rPr>
                <w:rFonts w:ascii="Arial" w:hAnsi="Arial" w:cs="Arial"/>
                <w:b/>
                <w:bCs/>
                <w:color w:val="000000"/>
                <w:sz w:val="20"/>
                <w:szCs w:val="20"/>
              </w:rPr>
              <w:t xml:space="preserve">Change </w:t>
            </w:r>
            <w:r w:rsidR="00636C19">
              <w:rPr>
                <w:rFonts w:ascii="Arial" w:hAnsi="Arial" w:cs="Arial"/>
                <w:b/>
                <w:bCs/>
                <w:color w:val="000000"/>
                <w:sz w:val="20"/>
                <w:szCs w:val="20"/>
              </w:rPr>
              <w:t>(</w:t>
            </w:r>
            <w:r w:rsidRPr="00F61215">
              <w:rPr>
                <w:rFonts w:ascii="Arial" w:hAnsi="Arial" w:cs="Arial"/>
                <w:b/>
                <w:bCs/>
                <w:color w:val="000000"/>
                <w:sz w:val="20"/>
                <w:szCs w:val="20"/>
              </w:rPr>
              <w:t>%</w:t>
            </w:r>
            <w:r w:rsidR="00636C19">
              <w:rPr>
                <w:rFonts w:ascii="Arial" w:hAnsi="Arial" w:cs="Arial"/>
                <w:b/>
                <w:bCs/>
                <w:color w:val="000000"/>
                <w:sz w:val="20"/>
                <w:szCs w:val="20"/>
              </w:rPr>
              <w:t>)</w:t>
            </w:r>
          </w:p>
        </w:tc>
      </w:tr>
      <w:tr w:rsidR="00F61215" w:rsidRPr="00F61215" w14:paraId="322DBEF9" w14:textId="77777777" w:rsidTr="001C0446">
        <w:trPr>
          <w:trHeight w:val="320"/>
        </w:trPr>
        <w:tc>
          <w:tcPr>
            <w:tcW w:w="3775" w:type="dxa"/>
            <w:noWrap/>
          </w:tcPr>
          <w:p w14:paraId="0B7B23A0" w14:textId="7FCE4AD3" w:rsidR="00F61215" w:rsidRPr="00FC73C3" w:rsidRDefault="00F61215" w:rsidP="00F61215">
            <w:pPr>
              <w:spacing w:after="160"/>
              <w:jc w:val="both"/>
              <w:rPr>
                <w:rFonts w:ascii="Arial" w:hAnsi="Arial" w:cs="Arial"/>
                <w:bCs/>
                <w:color w:val="000000"/>
                <w:sz w:val="20"/>
                <w:szCs w:val="20"/>
              </w:rPr>
            </w:pPr>
            <w:r w:rsidRPr="00FC73C3">
              <w:rPr>
                <w:rFonts w:ascii="Arial" w:hAnsi="Arial" w:cs="Arial"/>
                <w:bCs/>
                <w:color w:val="000000"/>
                <w:sz w:val="20"/>
                <w:szCs w:val="20"/>
              </w:rPr>
              <w:t>DSM-IV MJ Dependence</w:t>
            </w:r>
          </w:p>
        </w:tc>
        <w:tc>
          <w:tcPr>
            <w:tcW w:w="990" w:type="dxa"/>
            <w:noWrap/>
          </w:tcPr>
          <w:p w14:paraId="0E12711E" w14:textId="28198C78"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26.5</w:t>
            </w:r>
          </w:p>
        </w:tc>
        <w:tc>
          <w:tcPr>
            <w:tcW w:w="900" w:type="dxa"/>
            <w:noWrap/>
          </w:tcPr>
          <w:p w14:paraId="748A4404" w14:textId="772EAF55"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16.1</w:t>
            </w:r>
          </w:p>
        </w:tc>
        <w:tc>
          <w:tcPr>
            <w:tcW w:w="1098" w:type="dxa"/>
            <w:noWrap/>
          </w:tcPr>
          <w:p w14:paraId="77604F87" w14:textId="11915E6C" w:rsidR="00F61215" w:rsidRPr="00F61215" w:rsidRDefault="001C0446" w:rsidP="00636C19">
            <w:pPr>
              <w:spacing w:after="160"/>
              <w:jc w:val="center"/>
              <w:rPr>
                <w:rFonts w:ascii="Arial" w:hAnsi="Arial" w:cs="Arial"/>
                <w:bCs/>
                <w:color w:val="000000"/>
                <w:sz w:val="20"/>
                <w:szCs w:val="20"/>
              </w:rPr>
            </w:pPr>
            <w:r>
              <w:rPr>
                <w:rFonts w:ascii="Arial" w:hAnsi="Arial" w:cs="Arial"/>
                <w:bCs/>
                <w:color w:val="000000"/>
                <w:sz w:val="20"/>
                <w:szCs w:val="20"/>
              </w:rPr>
              <w:t>&lt;0.001</w:t>
            </w:r>
            <w:r w:rsidR="00F61215" w:rsidRPr="00F61215">
              <w:rPr>
                <w:rFonts w:ascii="Arial" w:hAnsi="Arial" w:cs="Arial"/>
                <w:bCs/>
                <w:color w:val="000000"/>
                <w:sz w:val="20"/>
                <w:szCs w:val="20"/>
              </w:rPr>
              <w:t>***</w:t>
            </w:r>
          </w:p>
        </w:tc>
        <w:tc>
          <w:tcPr>
            <w:tcW w:w="1242" w:type="dxa"/>
            <w:noWrap/>
          </w:tcPr>
          <w:p w14:paraId="26FEE520" w14:textId="3ADF64D5"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-10.4</w:t>
            </w:r>
          </w:p>
        </w:tc>
        <w:tc>
          <w:tcPr>
            <w:tcW w:w="1350" w:type="dxa"/>
            <w:noWrap/>
          </w:tcPr>
          <w:p w14:paraId="1BA8B4D3" w14:textId="272C18C5"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-39.2</w:t>
            </w:r>
          </w:p>
        </w:tc>
      </w:tr>
      <w:tr w:rsidR="00F61215" w:rsidRPr="00F61215" w14:paraId="68191C79" w14:textId="77777777" w:rsidTr="001C0446">
        <w:trPr>
          <w:trHeight w:val="320"/>
        </w:trPr>
        <w:tc>
          <w:tcPr>
            <w:tcW w:w="3775" w:type="dxa"/>
            <w:noWrap/>
            <w:hideMark/>
          </w:tcPr>
          <w:p w14:paraId="0D5584C8" w14:textId="77777777" w:rsidR="00F61215" w:rsidRPr="00F61215" w:rsidRDefault="00F61215" w:rsidP="00D11576">
            <w:pPr>
              <w:spacing w:after="160"/>
              <w:ind w:left="720"/>
              <w:jc w:val="both"/>
              <w:rPr>
                <w:rFonts w:ascii="Arial" w:hAnsi="Arial" w:cs="Arial"/>
                <w:bCs/>
                <w:color w:val="000000"/>
                <w:sz w:val="20"/>
                <w:szCs w:val="20"/>
              </w:rPr>
            </w:pPr>
            <w:r w:rsidRPr="00F61215">
              <w:rPr>
                <w:rFonts w:ascii="Arial" w:hAnsi="Arial" w:cs="Arial"/>
                <w:bCs/>
                <w:color w:val="000000"/>
                <w:sz w:val="20"/>
                <w:szCs w:val="20"/>
              </w:rPr>
              <w:t>Reduced or Gave Up Important Activities</w:t>
            </w:r>
          </w:p>
        </w:tc>
        <w:tc>
          <w:tcPr>
            <w:tcW w:w="990" w:type="dxa"/>
            <w:noWrap/>
            <w:hideMark/>
          </w:tcPr>
          <w:p w14:paraId="24D3A84D" w14:textId="77777777"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17.9</w:t>
            </w:r>
          </w:p>
        </w:tc>
        <w:tc>
          <w:tcPr>
            <w:tcW w:w="900" w:type="dxa"/>
            <w:noWrap/>
            <w:hideMark/>
          </w:tcPr>
          <w:p w14:paraId="66EC5BED" w14:textId="77777777"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9.9</w:t>
            </w:r>
          </w:p>
        </w:tc>
        <w:tc>
          <w:tcPr>
            <w:tcW w:w="1098" w:type="dxa"/>
            <w:noWrap/>
            <w:hideMark/>
          </w:tcPr>
          <w:p w14:paraId="148F77A8" w14:textId="17E422C8" w:rsidR="00F61215" w:rsidRPr="00F61215" w:rsidRDefault="001C0446" w:rsidP="001C0446">
            <w:pPr>
              <w:spacing w:after="160"/>
              <w:rPr>
                <w:rFonts w:ascii="Arial" w:hAnsi="Arial" w:cs="Arial"/>
                <w:bCs/>
                <w:color w:val="000000"/>
                <w:sz w:val="20"/>
                <w:szCs w:val="20"/>
              </w:rPr>
            </w:pPr>
            <w:r>
              <w:rPr>
                <w:rFonts w:ascii="Arial" w:hAnsi="Arial" w:cs="Arial"/>
                <w:bCs/>
                <w:color w:val="000000"/>
                <w:sz w:val="20"/>
                <w:szCs w:val="20"/>
              </w:rPr>
              <w:t>&lt;0.001</w:t>
            </w:r>
            <w:r w:rsidR="00F61215" w:rsidRPr="00F61215">
              <w:rPr>
                <w:rFonts w:ascii="Arial" w:hAnsi="Arial" w:cs="Arial"/>
                <w:bCs/>
                <w:color w:val="000000"/>
                <w:sz w:val="20"/>
                <w:szCs w:val="20"/>
              </w:rPr>
              <w:t>***</w:t>
            </w:r>
          </w:p>
        </w:tc>
        <w:tc>
          <w:tcPr>
            <w:tcW w:w="1242" w:type="dxa"/>
            <w:noWrap/>
            <w:hideMark/>
          </w:tcPr>
          <w:p w14:paraId="6E436BAC" w14:textId="77777777"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-8</w:t>
            </w:r>
          </w:p>
        </w:tc>
        <w:tc>
          <w:tcPr>
            <w:tcW w:w="1350" w:type="dxa"/>
            <w:noWrap/>
            <w:hideMark/>
          </w:tcPr>
          <w:p w14:paraId="2B86A949" w14:textId="77777777"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-44.7</w:t>
            </w:r>
          </w:p>
        </w:tc>
      </w:tr>
      <w:tr w:rsidR="00F61215" w:rsidRPr="00F61215" w14:paraId="21EDE304" w14:textId="77777777" w:rsidTr="001C0446">
        <w:trPr>
          <w:trHeight w:val="320"/>
        </w:trPr>
        <w:tc>
          <w:tcPr>
            <w:tcW w:w="3775" w:type="dxa"/>
            <w:noWrap/>
            <w:hideMark/>
          </w:tcPr>
          <w:p w14:paraId="26664EB0" w14:textId="77777777" w:rsidR="00F61215" w:rsidRPr="00F61215" w:rsidRDefault="00F61215" w:rsidP="00D11576">
            <w:pPr>
              <w:spacing w:after="160"/>
              <w:ind w:left="720"/>
              <w:jc w:val="both"/>
              <w:rPr>
                <w:rFonts w:ascii="Arial" w:hAnsi="Arial" w:cs="Arial"/>
                <w:bCs/>
                <w:color w:val="000000"/>
                <w:sz w:val="20"/>
                <w:szCs w:val="20"/>
              </w:rPr>
            </w:pPr>
            <w:r w:rsidRPr="00F61215">
              <w:rPr>
                <w:rFonts w:ascii="Arial" w:hAnsi="Arial" w:cs="Arial"/>
                <w:bCs/>
                <w:color w:val="000000"/>
                <w:sz w:val="20"/>
                <w:szCs w:val="20"/>
              </w:rPr>
              <w:t>Emotional, Mental, or Physical Problems and Continued Use</w:t>
            </w:r>
          </w:p>
        </w:tc>
        <w:tc>
          <w:tcPr>
            <w:tcW w:w="990" w:type="dxa"/>
            <w:noWrap/>
            <w:hideMark/>
          </w:tcPr>
          <w:p w14:paraId="3DE56BA9" w14:textId="77777777"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15.1</w:t>
            </w:r>
          </w:p>
        </w:tc>
        <w:tc>
          <w:tcPr>
            <w:tcW w:w="900" w:type="dxa"/>
            <w:noWrap/>
            <w:hideMark/>
          </w:tcPr>
          <w:p w14:paraId="2560154D" w14:textId="77777777"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8.1</w:t>
            </w:r>
          </w:p>
        </w:tc>
        <w:tc>
          <w:tcPr>
            <w:tcW w:w="1098" w:type="dxa"/>
            <w:noWrap/>
            <w:hideMark/>
          </w:tcPr>
          <w:p w14:paraId="721DFBD1" w14:textId="4D45F120" w:rsidR="00F61215" w:rsidRPr="00F61215" w:rsidRDefault="001C0446" w:rsidP="001C0446">
            <w:pPr>
              <w:spacing w:after="160"/>
              <w:rPr>
                <w:rFonts w:ascii="Arial" w:hAnsi="Arial" w:cs="Arial"/>
                <w:bCs/>
                <w:color w:val="000000"/>
                <w:sz w:val="20"/>
                <w:szCs w:val="20"/>
              </w:rPr>
            </w:pPr>
            <w:r>
              <w:rPr>
                <w:rFonts w:ascii="Arial" w:hAnsi="Arial" w:cs="Arial"/>
                <w:bCs/>
                <w:color w:val="000000"/>
                <w:sz w:val="20"/>
                <w:szCs w:val="20"/>
              </w:rPr>
              <w:t>&lt;0.001</w:t>
            </w:r>
            <w:r w:rsidR="00F61215" w:rsidRPr="00F61215">
              <w:rPr>
                <w:rFonts w:ascii="Arial" w:hAnsi="Arial" w:cs="Arial"/>
                <w:bCs/>
                <w:color w:val="000000"/>
                <w:sz w:val="20"/>
                <w:szCs w:val="20"/>
              </w:rPr>
              <w:t>***</w:t>
            </w:r>
          </w:p>
        </w:tc>
        <w:tc>
          <w:tcPr>
            <w:tcW w:w="1242" w:type="dxa"/>
            <w:noWrap/>
            <w:hideMark/>
          </w:tcPr>
          <w:p w14:paraId="0F224176" w14:textId="77777777"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-7</w:t>
            </w:r>
          </w:p>
        </w:tc>
        <w:tc>
          <w:tcPr>
            <w:tcW w:w="1350" w:type="dxa"/>
            <w:noWrap/>
            <w:hideMark/>
          </w:tcPr>
          <w:p w14:paraId="3035FB13" w14:textId="77777777"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-46.4</w:t>
            </w:r>
          </w:p>
        </w:tc>
      </w:tr>
      <w:tr w:rsidR="00F61215" w:rsidRPr="00F61215" w14:paraId="165D0F39" w14:textId="77777777" w:rsidTr="001C0446">
        <w:trPr>
          <w:trHeight w:val="320"/>
        </w:trPr>
        <w:tc>
          <w:tcPr>
            <w:tcW w:w="3775" w:type="dxa"/>
            <w:noWrap/>
            <w:hideMark/>
          </w:tcPr>
          <w:p w14:paraId="3E2AE57F" w14:textId="77777777" w:rsidR="00F61215" w:rsidRPr="00F61215" w:rsidRDefault="00F61215" w:rsidP="00D11576">
            <w:pPr>
              <w:spacing w:after="160"/>
              <w:ind w:left="720"/>
              <w:jc w:val="both"/>
              <w:rPr>
                <w:rFonts w:ascii="Arial" w:hAnsi="Arial" w:cs="Arial"/>
                <w:bCs/>
                <w:color w:val="000000"/>
                <w:sz w:val="20"/>
                <w:szCs w:val="20"/>
              </w:rPr>
            </w:pPr>
            <w:r w:rsidRPr="00F61215">
              <w:rPr>
                <w:rFonts w:ascii="Arial" w:hAnsi="Arial" w:cs="Arial"/>
                <w:bCs/>
                <w:color w:val="000000"/>
                <w:sz w:val="20"/>
                <w:szCs w:val="20"/>
              </w:rPr>
              <w:t>Attempted to Reduce Use but Failed</w:t>
            </w:r>
          </w:p>
        </w:tc>
        <w:tc>
          <w:tcPr>
            <w:tcW w:w="990" w:type="dxa"/>
            <w:noWrap/>
            <w:hideMark/>
          </w:tcPr>
          <w:p w14:paraId="0EB31933" w14:textId="77777777"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15.1</w:t>
            </w:r>
          </w:p>
        </w:tc>
        <w:tc>
          <w:tcPr>
            <w:tcW w:w="900" w:type="dxa"/>
            <w:noWrap/>
            <w:hideMark/>
          </w:tcPr>
          <w:p w14:paraId="07DA67C3" w14:textId="77777777"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10</w:t>
            </w:r>
          </w:p>
        </w:tc>
        <w:tc>
          <w:tcPr>
            <w:tcW w:w="1098" w:type="dxa"/>
            <w:noWrap/>
            <w:hideMark/>
          </w:tcPr>
          <w:p w14:paraId="60CB5A16" w14:textId="7E66FB67" w:rsidR="00F61215" w:rsidRPr="00F61215" w:rsidRDefault="001C0446" w:rsidP="001C0446">
            <w:pPr>
              <w:spacing w:after="160"/>
              <w:rPr>
                <w:rFonts w:ascii="Arial" w:hAnsi="Arial" w:cs="Arial"/>
                <w:bCs/>
                <w:color w:val="000000"/>
                <w:sz w:val="20"/>
                <w:szCs w:val="20"/>
              </w:rPr>
            </w:pPr>
            <w:r>
              <w:rPr>
                <w:rFonts w:ascii="Arial" w:hAnsi="Arial" w:cs="Arial"/>
                <w:bCs/>
                <w:color w:val="000000"/>
                <w:sz w:val="20"/>
                <w:szCs w:val="20"/>
              </w:rPr>
              <w:t>&lt;0.001</w:t>
            </w:r>
            <w:r w:rsidR="00F61215" w:rsidRPr="00F61215">
              <w:rPr>
                <w:rFonts w:ascii="Arial" w:hAnsi="Arial" w:cs="Arial"/>
                <w:bCs/>
                <w:color w:val="000000"/>
                <w:sz w:val="20"/>
                <w:szCs w:val="20"/>
              </w:rPr>
              <w:t>***</w:t>
            </w:r>
          </w:p>
        </w:tc>
        <w:tc>
          <w:tcPr>
            <w:tcW w:w="1242" w:type="dxa"/>
            <w:noWrap/>
            <w:hideMark/>
          </w:tcPr>
          <w:p w14:paraId="1F8F366E" w14:textId="77777777"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-5.1</w:t>
            </w:r>
          </w:p>
        </w:tc>
        <w:tc>
          <w:tcPr>
            <w:tcW w:w="1350" w:type="dxa"/>
            <w:noWrap/>
            <w:hideMark/>
          </w:tcPr>
          <w:p w14:paraId="5427CFD5" w14:textId="77777777" w:rsidR="00F61215" w:rsidRPr="00F61215" w:rsidRDefault="00F61215" w:rsidP="00636C19">
            <w:pPr>
              <w:spacing w:after="160"/>
              <w:jc w:val="center"/>
              <w:rPr>
                <w:rFonts w:ascii="Arial" w:hAnsi="Arial" w:cs="Arial"/>
                <w:bCs/>
                <w:color w:val="000000"/>
                <w:sz w:val="20"/>
                <w:szCs w:val="20"/>
              </w:rPr>
            </w:pPr>
            <w:r w:rsidRPr="00F61215">
              <w:rPr>
                <w:rFonts w:ascii="Arial" w:hAnsi="Arial" w:cs="Arial"/>
                <w:bCs/>
                <w:color w:val="000000"/>
                <w:sz w:val="20"/>
                <w:szCs w:val="20"/>
              </w:rPr>
              <w:t>-33.8</w:t>
            </w:r>
          </w:p>
        </w:tc>
      </w:tr>
      <w:tr w:rsidR="00B30465" w:rsidRPr="00F61215" w14:paraId="3A1F30D2" w14:textId="77777777" w:rsidTr="001C0446">
        <w:trPr>
          <w:trHeight w:val="320"/>
        </w:trPr>
        <w:tc>
          <w:tcPr>
            <w:tcW w:w="3775" w:type="dxa"/>
            <w:noWrap/>
          </w:tcPr>
          <w:p w14:paraId="1994BF2F" w14:textId="0426B388" w:rsidR="00B30465" w:rsidRPr="00F61215" w:rsidRDefault="00B30465" w:rsidP="00B30465">
            <w:pPr>
              <w:spacing w:after="160"/>
              <w:ind w:left="720"/>
              <w:jc w:val="both"/>
              <w:rPr>
                <w:rFonts w:ascii="Arial" w:hAnsi="Arial" w:cs="Arial"/>
                <w:bCs/>
                <w:color w:val="000000"/>
                <w:sz w:val="20"/>
                <w:szCs w:val="20"/>
              </w:rPr>
            </w:pPr>
            <w:r w:rsidRPr="00F61215">
              <w:rPr>
                <w:rFonts w:ascii="Arial" w:hAnsi="Arial" w:cs="Arial"/>
                <w:bCs/>
                <w:color w:val="000000"/>
                <w:sz w:val="20"/>
                <w:szCs w:val="20"/>
              </w:rPr>
              <w:t>Lots of Time Getting, Using, or Getting Over Marijuana</w:t>
            </w:r>
          </w:p>
        </w:tc>
        <w:tc>
          <w:tcPr>
            <w:tcW w:w="990" w:type="dxa"/>
            <w:noWrap/>
          </w:tcPr>
          <w:p w14:paraId="7A77213F" w14:textId="5BC21ECE"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73.9</w:t>
            </w:r>
          </w:p>
        </w:tc>
        <w:tc>
          <w:tcPr>
            <w:tcW w:w="900" w:type="dxa"/>
            <w:noWrap/>
          </w:tcPr>
          <w:p w14:paraId="47437069" w14:textId="412499BB"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63.1</w:t>
            </w:r>
          </w:p>
        </w:tc>
        <w:tc>
          <w:tcPr>
            <w:tcW w:w="1098" w:type="dxa"/>
            <w:noWrap/>
          </w:tcPr>
          <w:p w14:paraId="013C562C" w14:textId="37EF0D94"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0.004***</w:t>
            </w:r>
          </w:p>
        </w:tc>
        <w:tc>
          <w:tcPr>
            <w:tcW w:w="1242" w:type="dxa"/>
            <w:noWrap/>
          </w:tcPr>
          <w:p w14:paraId="02C28A4A" w14:textId="5AA68EEC"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-10.8</w:t>
            </w:r>
          </w:p>
        </w:tc>
        <w:tc>
          <w:tcPr>
            <w:tcW w:w="1350" w:type="dxa"/>
            <w:noWrap/>
          </w:tcPr>
          <w:p w14:paraId="7C3FE41D" w14:textId="42C5CF99"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-14.6</w:t>
            </w:r>
          </w:p>
        </w:tc>
      </w:tr>
      <w:tr w:rsidR="00B30465" w:rsidRPr="00F61215" w14:paraId="3A602D08" w14:textId="77777777" w:rsidTr="001C0446">
        <w:trPr>
          <w:trHeight w:val="320"/>
        </w:trPr>
        <w:tc>
          <w:tcPr>
            <w:tcW w:w="3775" w:type="dxa"/>
            <w:noWrap/>
          </w:tcPr>
          <w:p w14:paraId="59A0B264" w14:textId="044AC4D9" w:rsidR="00B30465" w:rsidRPr="00F61215" w:rsidRDefault="00B30465" w:rsidP="00B30465">
            <w:pPr>
              <w:spacing w:after="160"/>
              <w:ind w:left="720"/>
              <w:jc w:val="both"/>
              <w:rPr>
                <w:rFonts w:ascii="Arial" w:hAnsi="Arial" w:cs="Arial"/>
                <w:bCs/>
                <w:color w:val="000000"/>
                <w:sz w:val="20"/>
                <w:szCs w:val="20"/>
              </w:rPr>
            </w:pPr>
            <w:r w:rsidRPr="00F61215">
              <w:rPr>
                <w:rFonts w:ascii="Arial" w:hAnsi="Arial" w:cs="Arial"/>
                <w:bCs/>
                <w:color w:val="000000"/>
                <w:sz w:val="20"/>
                <w:szCs w:val="20"/>
              </w:rPr>
              <w:t>Set Limits on Use but Failed to Keep Them</w:t>
            </w:r>
          </w:p>
        </w:tc>
        <w:tc>
          <w:tcPr>
            <w:tcW w:w="990" w:type="dxa"/>
            <w:noWrap/>
          </w:tcPr>
          <w:p w14:paraId="04E898D3" w14:textId="436E7EAA"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13.2</w:t>
            </w:r>
          </w:p>
        </w:tc>
        <w:tc>
          <w:tcPr>
            <w:tcW w:w="900" w:type="dxa"/>
            <w:noWrap/>
          </w:tcPr>
          <w:p w14:paraId="6A3B78BE" w14:textId="00FE24B1"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10.4</w:t>
            </w:r>
          </w:p>
        </w:tc>
        <w:tc>
          <w:tcPr>
            <w:tcW w:w="1098" w:type="dxa"/>
            <w:noWrap/>
          </w:tcPr>
          <w:p w14:paraId="069403AB" w14:textId="68E8BC55"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0.015</w:t>
            </w:r>
            <w:r>
              <w:rPr>
                <w:rFonts w:ascii="Arial" w:hAnsi="Arial" w:cs="Arial"/>
                <w:bCs/>
                <w:color w:val="000000"/>
                <w:sz w:val="20"/>
                <w:szCs w:val="20"/>
              </w:rPr>
              <w:t>**</w:t>
            </w:r>
          </w:p>
        </w:tc>
        <w:tc>
          <w:tcPr>
            <w:tcW w:w="1242" w:type="dxa"/>
            <w:noWrap/>
          </w:tcPr>
          <w:p w14:paraId="775D6726" w14:textId="0D18D2D3"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-2.8</w:t>
            </w:r>
          </w:p>
        </w:tc>
        <w:tc>
          <w:tcPr>
            <w:tcW w:w="1350" w:type="dxa"/>
            <w:noWrap/>
          </w:tcPr>
          <w:p w14:paraId="554B0734" w14:textId="0C5CAD1A"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-21.2</w:t>
            </w:r>
          </w:p>
        </w:tc>
      </w:tr>
      <w:tr w:rsidR="00B30465" w:rsidRPr="00F61215" w14:paraId="3AD1B394" w14:textId="77777777" w:rsidTr="001C0446">
        <w:trPr>
          <w:trHeight w:val="320"/>
        </w:trPr>
        <w:tc>
          <w:tcPr>
            <w:tcW w:w="3775" w:type="dxa"/>
            <w:noWrap/>
            <w:hideMark/>
          </w:tcPr>
          <w:p w14:paraId="0B1DC651" w14:textId="77777777" w:rsidR="00B30465" w:rsidRPr="00F61215" w:rsidRDefault="00B30465" w:rsidP="00B30465">
            <w:pPr>
              <w:spacing w:after="160"/>
              <w:ind w:left="720"/>
              <w:jc w:val="both"/>
              <w:rPr>
                <w:rFonts w:ascii="Arial" w:hAnsi="Arial" w:cs="Arial"/>
                <w:bCs/>
                <w:color w:val="000000"/>
                <w:sz w:val="20"/>
                <w:szCs w:val="20"/>
              </w:rPr>
            </w:pPr>
            <w:r w:rsidRPr="00F61215">
              <w:rPr>
                <w:rFonts w:ascii="Arial" w:hAnsi="Arial" w:cs="Arial"/>
                <w:bCs/>
                <w:color w:val="000000"/>
                <w:sz w:val="20"/>
                <w:szCs w:val="20"/>
              </w:rPr>
              <w:t>Needed More for Same Effect</w:t>
            </w:r>
          </w:p>
        </w:tc>
        <w:tc>
          <w:tcPr>
            <w:tcW w:w="990" w:type="dxa"/>
            <w:noWrap/>
            <w:hideMark/>
          </w:tcPr>
          <w:p w14:paraId="104DC548" w14:textId="77777777"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44.8</w:t>
            </w:r>
          </w:p>
        </w:tc>
        <w:tc>
          <w:tcPr>
            <w:tcW w:w="900" w:type="dxa"/>
            <w:noWrap/>
            <w:hideMark/>
          </w:tcPr>
          <w:p w14:paraId="129602F2" w14:textId="77777777"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40.3</w:t>
            </w:r>
          </w:p>
        </w:tc>
        <w:tc>
          <w:tcPr>
            <w:tcW w:w="1098" w:type="dxa"/>
            <w:noWrap/>
            <w:hideMark/>
          </w:tcPr>
          <w:p w14:paraId="1FFBC2B3" w14:textId="5AE7F635"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0.519</w:t>
            </w:r>
          </w:p>
        </w:tc>
        <w:tc>
          <w:tcPr>
            <w:tcW w:w="1242" w:type="dxa"/>
            <w:noWrap/>
            <w:hideMark/>
          </w:tcPr>
          <w:p w14:paraId="138F3523" w14:textId="77777777"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-4.5</w:t>
            </w:r>
          </w:p>
        </w:tc>
        <w:tc>
          <w:tcPr>
            <w:tcW w:w="1350" w:type="dxa"/>
            <w:noWrap/>
            <w:hideMark/>
          </w:tcPr>
          <w:p w14:paraId="77F63164" w14:textId="77777777" w:rsidR="00B30465" w:rsidRPr="00F61215" w:rsidRDefault="00B30465" w:rsidP="00B30465">
            <w:pPr>
              <w:spacing w:after="160"/>
              <w:jc w:val="center"/>
              <w:rPr>
                <w:rFonts w:ascii="Arial" w:hAnsi="Arial" w:cs="Arial"/>
                <w:bCs/>
                <w:color w:val="000000"/>
                <w:sz w:val="20"/>
                <w:szCs w:val="20"/>
              </w:rPr>
            </w:pPr>
            <w:r w:rsidRPr="00F61215">
              <w:rPr>
                <w:rFonts w:ascii="Arial" w:hAnsi="Arial" w:cs="Arial"/>
                <w:bCs/>
                <w:color w:val="000000"/>
                <w:sz w:val="20"/>
                <w:szCs w:val="20"/>
              </w:rPr>
              <w:t>-10</w:t>
            </w:r>
          </w:p>
        </w:tc>
      </w:tr>
    </w:tbl>
    <w:p w14:paraId="64644F07" w14:textId="7B2AE6E6" w:rsidR="00386827" w:rsidRPr="00D11576" w:rsidRDefault="00436D39" w:rsidP="00D11576">
      <w:pPr>
        <w:spacing w:after="160"/>
        <w:jc w:val="right"/>
        <w:rPr>
          <w:rFonts w:ascii="Arial" w:hAnsi="Arial" w:cs="Arial"/>
          <w:bCs/>
          <w:color w:val="000000"/>
          <w:sz w:val="20"/>
          <w:szCs w:val="20"/>
        </w:rPr>
      </w:pPr>
      <w:r w:rsidRPr="00F61215">
        <w:rPr>
          <w:rFonts w:ascii="Arial" w:hAnsi="Arial" w:cs="Arial"/>
          <w:bCs/>
          <w:color w:val="000000"/>
          <w:sz w:val="20"/>
          <w:szCs w:val="20"/>
        </w:rPr>
        <w:t>*** p &lt; .01</w:t>
      </w:r>
      <w:r w:rsidRPr="00F61215">
        <w:rPr>
          <w:rFonts w:ascii="Arial" w:hAnsi="Arial" w:cs="Arial"/>
          <w:bCs/>
          <w:color w:val="000000"/>
          <w:sz w:val="20"/>
          <w:szCs w:val="20"/>
        </w:rPr>
        <w:tab/>
        <w:t>**: p &lt; .05</w:t>
      </w:r>
      <w:r w:rsidRPr="00F61215">
        <w:rPr>
          <w:rFonts w:ascii="Arial" w:hAnsi="Arial" w:cs="Arial"/>
          <w:bCs/>
          <w:color w:val="000000"/>
          <w:sz w:val="20"/>
          <w:szCs w:val="20"/>
        </w:rPr>
        <w:tab/>
        <w:t>* p &lt; .1          . p &gt;=.1</w:t>
      </w:r>
    </w:p>
    <w:p w14:paraId="6C704DD2" w14:textId="3A7069D3" w:rsidR="00190881" w:rsidRPr="009F3CB9" w:rsidRDefault="006975A4" w:rsidP="009F3CB9">
      <w:pPr>
        <w:pStyle w:val="ListParagraph"/>
        <w:numPr>
          <w:ilvl w:val="0"/>
          <w:numId w:val="7"/>
        </w:numPr>
        <w:spacing w:after="160"/>
        <w:jc w:val="both"/>
        <w:outlineLvl w:val="0"/>
        <w:rPr>
          <w:rFonts w:ascii="Arial" w:hAnsi="Arial" w:cs="Arial"/>
          <w:sz w:val="28"/>
          <w:szCs w:val="28"/>
        </w:rPr>
      </w:pPr>
      <w:r>
        <w:rPr>
          <w:rFonts w:ascii="Arial" w:hAnsi="Arial" w:cs="Arial"/>
          <w:b/>
          <w:bCs/>
          <w:color w:val="000000"/>
          <w:sz w:val="28"/>
          <w:szCs w:val="28"/>
        </w:rPr>
        <w:t>Conclusions</w:t>
      </w:r>
    </w:p>
    <w:p w14:paraId="22742262" w14:textId="34C219E2" w:rsidR="00C95777" w:rsidRDefault="00C95777" w:rsidP="0044665B">
      <w:pPr>
        <w:spacing w:after="160"/>
        <w:jc w:val="both"/>
        <w:rPr>
          <w:rFonts w:ascii="Arial" w:hAnsi="Arial" w:cs="Arial"/>
          <w:color w:val="000000"/>
        </w:rPr>
      </w:pPr>
      <w:r>
        <w:rPr>
          <w:rFonts w:ascii="Arial" w:hAnsi="Arial" w:cs="Arial"/>
          <w:color w:val="000000"/>
        </w:rPr>
        <w:t xml:space="preserve">Findings from this paper emphasize that during a period characterized by substantial liberalization in cannabis policy, increases in past-month prevalence, and the intensification of typical use habits, there has been a marked reduction in self-reported rates of marijuana dependence among DND users, </w:t>
      </w:r>
      <w:r w:rsidRPr="003B50F6">
        <w:rPr>
          <w:rFonts w:ascii="Arial" w:hAnsi="Arial" w:cs="Arial"/>
          <w:color w:val="000000"/>
        </w:rPr>
        <w:t xml:space="preserve">from </w:t>
      </w:r>
      <w:r w:rsidR="00A1762E">
        <w:rPr>
          <w:rFonts w:ascii="Arial" w:hAnsi="Arial" w:cs="Arial"/>
          <w:color w:val="000000"/>
        </w:rPr>
        <w:t>roughly one-in-four to one-in-</w:t>
      </w:r>
      <w:r w:rsidR="00A1762E">
        <w:rPr>
          <w:rFonts w:ascii="Arial" w:hAnsi="Arial" w:cs="Arial"/>
          <w:color w:val="000000"/>
        </w:rPr>
        <w:lastRenderedPageBreak/>
        <w:t>six. A similar decline in relative terms was observed among past-year users (13.8% to 8.5%). The net effect of these declines, along with increases in baseline use rates, has yielded stable rates of dependence in the broader population. Declines are robust to sub-group analysis by age and gender, with the exception of adults over 50, who show mixed trends.</w:t>
      </w:r>
    </w:p>
    <w:p w14:paraId="558777FE" w14:textId="5D2F2577" w:rsidR="004673FE" w:rsidRDefault="00A1762E" w:rsidP="004673FE">
      <w:pPr>
        <w:spacing w:after="160"/>
        <w:jc w:val="both"/>
        <w:rPr>
          <w:rFonts w:ascii="Arial" w:hAnsi="Arial" w:cs="Arial"/>
          <w:color w:val="000000"/>
        </w:rPr>
      </w:pPr>
      <w:r>
        <w:rPr>
          <w:rFonts w:ascii="Arial" w:hAnsi="Arial" w:cs="Arial"/>
          <w:color w:val="000000"/>
        </w:rPr>
        <w:t>What may be driving these trends is not entirely clear. The truth lies between two alternative extreme interpretations.</w:t>
      </w:r>
      <w:r w:rsidR="00CE774E">
        <w:rPr>
          <w:rFonts w:ascii="Arial" w:hAnsi="Arial" w:cs="Arial"/>
          <w:color w:val="000000"/>
        </w:rPr>
        <w:t xml:space="preserve"> One approach take</w:t>
      </w:r>
      <w:r>
        <w:rPr>
          <w:rFonts w:ascii="Arial" w:hAnsi="Arial" w:cs="Arial"/>
          <w:color w:val="000000"/>
        </w:rPr>
        <w:t>s</w:t>
      </w:r>
      <w:r w:rsidR="00CE774E">
        <w:rPr>
          <w:rFonts w:ascii="Arial" w:hAnsi="Arial" w:cs="Arial"/>
          <w:color w:val="000000"/>
        </w:rPr>
        <w:t xml:space="preserve"> the trends at face value, </w:t>
      </w:r>
      <w:r>
        <w:rPr>
          <w:rFonts w:ascii="Arial" w:hAnsi="Arial" w:cs="Arial"/>
          <w:color w:val="000000"/>
        </w:rPr>
        <w:t>inferring that dependence risk of marijuana use has genuinely decreased. A</w:t>
      </w:r>
      <w:r w:rsidR="00CE774E">
        <w:rPr>
          <w:rFonts w:ascii="Arial" w:hAnsi="Arial" w:cs="Arial"/>
          <w:color w:val="000000"/>
        </w:rPr>
        <w:t xml:space="preserve"> number of </w:t>
      </w:r>
      <w:r>
        <w:rPr>
          <w:rFonts w:ascii="Arial" w:hAnsi="Arial" w:cs="Arial"/>
          <w:color w:val="000000"/>
        </w:rPr>
        <w:t>factors may be at play</w:t>
      </w:r>
      <w:r w:rsidR="00CE774E">
        <w:rPr>
          <w:rFonts w:ascii="Arial" w:hAnsi="Arial" w:cs="Arial"/>
          <w:color w:val="000000"/>
        </w:rPr>
        <w:t xml:space="preserve">. Perhaps increasing social approval of marijuana use has helped DND users to integrate their marijuana use habits with their other commitments, causing fewer to report giving up important activities and fewer problems with family, friends, and co-workers; perhaps as marijuana has become more widely available, DND users are spending less time </w:t>
      </w:r>
      <w:r w:rsidR="00CE774E" w:rsidRPr="003B50F6">
        <w:rPr>
          <w:rFonts w:ascii="Arial" w:hAnsi="Arial" w:cs="Arial"/>
          <w:color w:val="000000"/>
        </w:rPr>
        <w:t>seeking marijuana</w:t>
      </w:r>
      <w:r w:rsidR="00CE774E">
        <w:rPr>
          <w:rFonts w:ascii="Arial" w:hAnsi="Arial" w:cs="Arial"/>
          <w:color w:val="000000"/>
        </w:rPr>
        <w:t xml:space="preserve">; perhaps the spread of less harmful modes of consumption (e.g. vaporizers) or use with the intent to tread health-related issues has led to </w:t>
      </w:r>
      <w:r w:rsidR="00CE774E" w:rsidRPr="003B50F6">
        <w:rPr>
          <w:rFonts w:ascii="Arial" w:hAnsi="Arial" w:cs="Arial"/>
          <w:color w:val="000000"/>
        </w:rPr>
        <w:t>fewer emotional, mental, or physical problems</w:t>
      </w:r>
      <w:r w:rsidR="00CE774E">
        <w:rPr>
          <w:rFonts w:ascii="Arial" w:hAnsi="Arial" w:cs="Arial"/>
          <w:color w:val="000000"/>
        </w:rPr>
        <w:t>.</w:t>
      </w:r>
      <w:r w:rsidR="00A00181">
        <w:rPr>
          <w:rFonts w:ascii="Arial" w:hAnsi="Arial" w:cs="Arial"/>
          <w:color w:val="000000"/>
        </w:rPr>
        <w:t xml:space="preserve"> </w:t>
      </w:r>
      <w:r>
        <w:rPr>
          <w:rFonts w:ascii="Arial" w:hAnsi="Arial" w:cs="Arial"/>
          <w:color w:val="000000"/>
        </w:rPr>
        <w:t>Conversely</w:t>
      </w:r>
      <w:r w:rsidR="00CE774E">
        <w:rPr>
          <w:rFonts w:ascii="Arial" w:hAnsi="Arial" w:cs="Arial"/>
          <w:color w:val="000000"/>
        </w:rPr>
        <w:t xml:space="preserve">, </w:t>
      </w:r>
      <w:r>
        <w:rPr>
          <w:rFonts w:ascii="Arial" w:hAnsi="Arial" w:cs="Arial"/>
          <w:color w:val="000000"/>
        </w:rPr>
        <w:t>perhaps the only change has been in users’ propensity to detect problems, attribute them to their cannabis use, and report them</w:t>
      </w:r>
      <w:r w:rsidR="00A00181">
        <w:rPr>
          <w:rFonts w:ascii="Arial" w:hAnsi="Arial" w:cs="Arial"/>
          <w:color w:val="000000"/>
        </w:rPr>
        <w:t xml:space="preserve"> – but the underlying risks remain the same.</w:t>
      </w:r>
      <w:r w:rsidR="00B951CA">
        <w:rPr>
          <w:rFonts w:ascii="Arial" w:hAnsi="Arial" w:cs="Arial"/>
          <w:color w:val="000000"/>
        </w:rPr>
        <w:t xml:space="preserve"> </w:t>
      </w:r>
      <w:r w:rsidR="00A00181">
        <w:rPr>
          <w:rFonts w:ascii="Arial" w:hAnsi="Arial" w:cs="Arial"/>
          <w:color w:val="000000"/>
        </w:rPr>
        <w:t xml:space="preserve">A potential third option concerns a confounder: as marijuana use has spread and normalized, this has driven changes in the composition of the user base </w:t>
      </w:r>
      <w:r w:rsidR="004673FE">
        <w:rPr>
          <w:rFonts w:ascii="Arial" w:hAnsi="Arial" w:cs="Arial"/>
          <w:color w:val="000000"/>
        </w:rPr>
        <w:fldChar w:fldCharType="begin" w:fldLock="1"/>
      </w:r>
      <w:r w:rsidR="004673FE">
        <w:rPr>
          <w:rFonts w:ascii="Arial" w:hAnsi="Arial" w:cs="Arial"/>
          <w:color w:val="000000"/>
        </w:rPr>
        <w:instrText>ADDIN CSL_CITATION { "citationItems" : [ { "id" : "ITEM-1", "itemData" : { "DOI" : "10.3389/fpsyt.2013.00138", "ISBN" : "1664-0640 (Electronic)\\r1664-0640 (Linking)", "ISSN" : "16640640", "PMID" : "24223560", "abstract" : "UNLABELLED Collecting information about the prevalence of cannabis use is necessary but not sufficient for understanding the size, dynamics, and outcomes associated with cannabis markets. This paper uses two data sets describing cannabis consumption in the United States and Europe to highlight (1) differences in inferences about sub-populations based on the measure used to quantify cannabis-related activity; (2) how different measures of cannabis-related activity can be used to more accurately describe trends in cannabis usage over time; and (3) the correlation between frequency of use in the past-month and average grams consumed per use-day. KEY FINDINGS focusing on days of use instead of prevalence shows substantially greater increases in U.S. cannabis use in recent years; however, the recent increase is mostly among adults, not youth. Relatively more rapid growth in use days also occurred among the college-educated and Hispanics. Further, data from a survey conducted in seven European countries show a strong positive correlation between frequency of use and quantity consumed per day of use, suggesting consumption is even more skewed toward the minority of heavy users than is suggested by days-of-use calculations.", "author" : [ { "dropping-particle" : "", "family" : "Burns", "given" : "Rachel M.", "non-dropping-particle" : "", "parse-names" : false, "suffix" : "" }, { "dropping-particle" : "", "family" : "Caulkins", "given" : "Jonathan P.", "non-dropping-particle" : "", "parse-names" : false, "suffix" : "" }, { "dropping-particle" : "", "family" : "Everingham", "given" : "Susan S.", "non-dropping-particle" : "", "parse-names" : false, "suffix" : "" }, { "dropping-particle" : "", "family" : "Kilmer", "given" : "Beau", "non-dropping-particle" : "", "parse-names" : false, "suffix" : "" } ], "container-title" : "Frontiers in Psychiatry", "id" : "ITEM-1", "issue" : "NOV", "issued" : { "date-parts" : [ [ "2013" ] ] }, "page" : "1-10", "title" : "Statistics on cannabis users skew perceptions of cannabis use", "type" : "article-journal", "volume" : "4" }, "uris" : [ "http://www.mendeley.com/documents/?uuid=91b4c9e1-adec-4866-b919-d83e5a970fb6" ] } ], "mendeley" : { "formattedCitation" : "(Burns et al., 2013)", "plainTextFormattedCitation" : "(Burns et al., 2013)", "previouslyFormattedCitation" : "(Burns et al., 2013)" }, "properties" : {  }, "schema" : "https://github.com/citation-style-language/schema/raw/master/csl-citation.json" }</w:instrText>
      </w:r>
      <w:r w:rsidR="004673FE">
        <w:rPr>
          <w:rFonts w:ascii="Arial" w:hAnsi="Arial" w:cs="Arial"/>
          <w:color w:val="000000"/>
        </w:rPr>
        <w:fldChar w:fldCharType="separate"/>
      </w:r>
      <w:r w:rsidR="004673FE" w:rsidRPr="004673FE">
        <w:rPr>
          <w:rFonts w:ascii="Arial" w:hAnsi="Arial" w:cs="Arial"/>
          <w:noProof/>
          <w:color w:val="000000"/>
        </w:rPr>
        <w:t>(Burns et al., 2013)</w:t>
      </w:r>
      <w:r w:rsidR="004673FE">
        <w:rPr>
          <w:rFonts w:ascii="Arial" w:hAnsi="Arial" w:cs="Arial"/>
          <w:color w:val="000000"/>
        </w:rPr>
        <w:fldChar w:fldCharType="end"/>
      </w:r>
      <w:r w:rsidR="00A00181">
        <w:rPr>
          <w:rFonts w:ascii="Arial" w:hAnsi="Arial" w:cs="Arial"/>
          <w:color w:val="000000"/>
        </w:rPr>
        <w:t xml:space="preserve"> – perhaps also in characteristics that are not captured in survey data, e.g., users’ general capacity for self-control or deference to social norms. </w:t>
      </w:r>
    </w:p>
    <w:p w14:paraId="4BAFBD53" w14:textId="17963617" w:rsidR="00A41502" w:rsidRPr="004673FE" w:rsidRDefault="00A41502" w:rsidP="004673FE">
      <w:pPr>
        <w:spacing w:after="160"/>
        <w:jc w:val="both"/>
        <w:rPr>
          <w:rFonts w:ascii="Arial" w:hAnsi="Arial" w:cs="Arial"/>
          <w:color w:val="000000"/>
        </w:rPr>
      </w:pPr>
      <w:r>
        <w:rPr>
          <w:rFonts w:ascii="Arial" w:hAnsi="Arial" w:cs="Arial"/>
          <w:color w:val="000000"/>
        </w:rPr>
        <w:t xml:space="preserve">The spread of new forms of consuming marijuana, namely portable vaporization, “dabbing” of solid concentrates, and consuming edibles, also likely play a role, particularly in areas where medical and recreational marijuana laws have driven sales of these products. (Dried flower has dropped to only 66% of Washington State’s legal marijuana sales by dollar value by </w:t>
      </w:r>
      <w:r w:rsidR="0003162A">
        <w:rPr>
          <w:rFonts w:ascii="Arial" w:hAnsi="Arial" w:cs="Arial"/>
          <w:color w:val="000000"/>
        </w:rPr>
        <w:t>mid-</w:t>
      </w:r>
      <w:r>
        <w:rPr>
          <w:rFonts w:ascii="Arial" w:hAnsi="Arial" w:cs="Arial"/>
          <w:color w:val="000000"/>
        </w:rPr>
        <w:t>2016, an</w:t>
      </w:r>
      <w:r w:rsidR="004673FE">
        <w:rPr>
          <w:rFonts w:ascii="Arial" w:hAnsi="Arial" w:cs="Arial"/>
          <w:color w:val="000000"/>
        </w:rPr>
        <w:t xml:space="preserve">d has since continued to fall </w:t>
      </w:r>
      <w:r w:rsidR="004673FE">
        <w:rPr>
          <w:rFonts w:ascii="Arial" w:hAnsi="Arial" w:cs="Arial"/>
          <w:bCs/>
          <w:color w:val="000000"/>
        </w:rPr>
        <w:fldChar w:fldCharType="begin" w:fldLock="1"/>
      </w:r>
      <w:r w:rsidR="004673FE">
        <w:rPr>
          <w:rFonts w:ascii="Arial" w:hAnsi="Arial" w:cs="Arial"/>
          <w:bCs/>
          <w:color w:val="000000"/>
        </w:rPr>
        <w:instrText>ADDIN CSL_CITATION { "citationItems" : [ { "id" : "ITEM-1", "itemData" : { "DOI" : "10.1111/add.13886", "ISSN" : "13600443", "abstract" : "Aims To (1) assess trends and variation in the market share of product types and potency sold in a legal cannabis retail market and (2) estimate how potency and purchase quantity influence price variation for cannabis flower. Design Secondary analysis of publicly available data from Washington State's cannabis traceability system spanning 7 July 2014 to 30 September 2016. Descriptive statistics and linear regressions assessed variation and trends in cannabis product variety and potency. Hedonic regressions estimated how purchase quantity and potency influence cannabis flower price variation. Setting Washington State, USA. Participants (1) A total of 44 482 176 million cannabis purchases, including (2) 31 052 123 cannabis flower purchases after trimming price and quantity outliers. Measurements Primary outcome measures were (1) monthly expenditures on cannabis, total delta\u20109\u2010tetrahydrocannabinol (THC) concentration and cannabidiol (CBD) concentration by product type and (2) excise tax\u2010inclusive price per gram of cannabis flower. Key covariates for the hedonic price regressions included quantity purchased, THC and CBD. Findings Traditional cannabis flowers still account for the majority of spending (66.6%), but the market share of extracts for inhalation increased by 145.8% between October 2014 and September 2016, now comprising 21.2% of sales. The average THC\u2010level for cannabis extracts is more than triple that for cannabis flowers (68.7% compared to 20.6%). For flower products, there is a statistically significant relationship between price per gram and both THC [coefficient = 0.012; 95% confidence interval (CI) = 0.011\u20130.013] and CBD (coefficient = 0.017; CI = 0.015\u20130.019). The estimated discount elasticity is \u22120.06 (CI = \u22120.07 to \u22120.05). Conclusions In the state of Washington, USA, the legal cannabis market is currently dominated by high\u2010THC cannabis flower, and features growing expenditures on extracts. For cannabis flower, both THC and CBD are associated with higher per\u2010gram prices, and there are small but significant quantity discounts. (PsycINFO Database Record (c) 2017 APA, all rights reserved)", "author" : [ { "dropping-particle" : "", "family" : "Smart", "given" : "Rosanna", "non-dropping-particle" : "", "parse-names" : false, "suffix" : "" }, { "dropping-particle" : "", "family" : "Caulkins", "given" : "Jonathan P.", "non-dropping-particle" : "", "parse-names" : false, "suffix" : "" }, { "dropping-particle" : "", "family" : "Kilmer", "given" : "Beau", "non-dropping-particle" : "", "parse-names" : false, "suffix" : "" }, { "dropping-particle" : "", "family" : "Davenport", "given" : "Steven", "non-dropping-particle" : "", "parse-names" : false, "suffix" : "" }, { "dropping-particle" : "", "family" : "Midgette", "given" : "Greg", "non-dropping-particle" : "", "parse-names" : false, "suffix" : "" } ], "container-title" : "Addiction", "id" : "ITEM-1", "issue" : "12", "issued" : { "date-parts" : [ [ "2017" ] ] }, "page" : "2167-2177", "title" : "Variation in cannabis potency and prices in a newly legal market: evidence from 30 million cannabis sales in Washington state", "type" : "article-journal", "volume" : "112" }, "uris" : [ "http://www.mendeley.com/documents/?uuid=b053a667-1f25-48bc-8d58-d953c7e4a463" ] } ], "mendeley" : { "formattedCitation" : "(Smart et al., 2017)", "plainTextFormattedCitation" : "(Smart et al., 2017)", "previouslyFormattedCitation" : "(Smart et al., 2017)" }, "properties" : {  }, "schema" : "https://github.com/citation-style-language/schema/raw/master/csl-citation.json" }</w:instrText>
      </w:r>
      <w:r w:rsidR="004673FE">
        <w:rPr>
          <w:rFonts w:ascii="Arial" w:hAnsi="Arial" w:cs="Arial"/>
          <w:bCs/>
          <w:color w:val="000000"/>
        </w:rPr>
        <w:fldChar w:fldCharType="separate"/>
      </w:r>
      <w:r w:rsidR="004673FE" w:rsidRPr="007952C9">
        <w:rPr>
          <w:rFonts w:ascii="Arial" w:hAnsi="Arial" w:cs="Arial"/>
          <w:bCs/>
          <w:noProof/>
          <w:color w:val="000000"/>
        </w:rPr>
        <w:t>(Smart et al., 2017)</w:t>
      </w:r>
      <w:r w:rsidR="004673FE">
        <w:rPr>
          <w:rFonts w:ascii="Arial" w:hAnsi="Arial" w:cs="Arial"/>
          <w:bCs/>
          <w:color w:val="000000"/>
        </w:rPr>
        <w:fldChar w:fldCharType="end"/>
      </w:r>
      <w:r>
        <w:rPr>
          <w:rFonts w:ascii="Arial" w:hAnsi="Arial" w:cs="Arial"/>
          <w:color w:val="000000"/>
        </w:rPr>
        <w:t>.)</w:t>
      </w:r>
    </w:p>
    <w:p w14:paraId="0245A812" w14:textId="12D41109" w:rsidR="006975A4" w:rsidRPr="00B16C6E" w:rsidRDefault="00A41502" w:rsidP="00B16C6E">
      <w:pPr>
        <w:spacing w:after="160"/>
        <w:jc w:val="both"/>
        <w:rPr>
          <w:rFonts w:ascii="Arial" w:hAnsi="Arial" w:cs="Arial"/>
          <w:color w:val="000000"/>
        </w:rPr>
      </w:pPr>
      <w:r>
        <w:rPr>
          <w:rFonts w:ascii="Arial" w:hAnsi="Arial" w:cs="Arial"/>
          <w:color w:val="000000"/>
        </w:rPr>
        <w:t xml:space="preserve">As U.S. marijuana policies continue to liberalize, perhaps leading to national legalization, it is especially important that </w:t>
      </w:r>
      <w:r w:rsidR="00A22485">
        <w:rPr>
          <w:rFonts w:ascii="Arial" w:hAnsi="Arial" w:cs="Arial"/>
          <w:color w:val="000000"/>
        </w:rPr>
        <w:t>researchers, policymakers, and voters understand the harms of marijuana use – and further, to appreciate these harms may be changing, driven by policy decisions, product characteristics, and social context. The issue merits further research studying how different state marijuana policies or the use of different marijuana products may affect risks of dependence and other health harms. Policy stakes are high, including not only whether marijuana legalization continues to spread to more jurisdictions, but also how harmful aspects of marijuana are perceived and managed within legalized environments.</w:t>
      </w:r>
      <w:r w:rsidR="006975A4">
        <w:rPr>
          <w:rFonts w:ascii="Arial" w:hAnsi="Arial" w:cs="Arial"/>
          <w:b/>
          <w:bCs/>
          <w:color w:val="000000"/>
        </w:rPr>
        <w:br w:type="page"/>
      </w:r>
    </w:p>
    <w:p w14:paraId="77325858" w14:textId="230141CA" w:rsidR="004673FE" w:rsidRPr="004673FE" w:rsidRDefault="004673FE" w:rsidP="004673FE">
      <w:pPr>
        <w:spacing w:after="160"/>
        <w:jc w:val="both"/>
        <w:rPr>
          <w:rFonts w:ascii="Arial" w:hAnsi="Arial" w:cs="Arial"/>
          <w:b/>
          <w:bCs/>
          <w:color w:val="000000"/>
        </w:rPr>
      </w:pPr>
      <w:r w:rsidRPr="00CE774E">
        <w:rPr>
          <w:rFonts w:ascii="Arial" w:hAnsi="Arial" w:cs="Arial"/>
          <w:b/>
          <w:bCs/>
          <w:color w:val="000000"/>
        </w:rPr>
        <w:lastRenderedPageBreak/>
        <w:t>References</w:t>
      </w:r>
    </w:p>
    <w:bookmarkStart w:id="4" w:name="OLE_LINK15"/>
    <w:bookmarkStart w:id="5" w:name="OLE_LINK16"/>
    <w:p w14:paraId="68059995" w14:textId="7A10AF14" w:rsidR="008923FD" w:rsidRPr="008923FD" w:rsidRDefault="00A12DB3" w:rsidP="005D2BDA">
      <w:pPr>
        <w:widowControl w:val="0"/>
        <w:autoSpaceDE w:val="0"/>
        <w:autoSpaceDN w:val="0"/>
        <w:adjustRightInd w:val="0"/>
        <w:spacing w:after="160"/>
        <w:rPr>
          <w:rFonts w:ascii="Arial" w:hAnsi="Arial" w:cs="Arial"/>
          <w:noProof/>
        </w:rPr>
      </w:pPr>
      <w:r>
        <w:rPr>
          <w:rFonts w:ascii="Arial" w:hAnsi="Arial" w:cs="Arial"/>
          <w:bCs/>
          <w:color w:val="000000"/>
        </w:rPr>
        <w:fldChar w:fldCharType="begin" w:fldLock="1"/>
      </w:r>
      <w:r>
        <w:rPr>
          <w:rFonts w:ascii="Arial" w:hAnsi="Arial" w:cs="Arial"/>
          <w:bCs/>
          <w:color w:val="000000"/>
        </w:rPr>
        <w:instrText xml:space="preserve">ADDIN Mendeley Bibliography CSL_BIBLIOGRAPHY </w:instrText>
      </w:r>
      <w:r>
        <w:rPr>
          <w:rFonts w:ascii="Arial" w:hAnsi="Arial" w:cs="Arial"/>
          <w:bCs/>
          <w:color w:val="000000"/>
        </w:rPr>
        <w:fldChar w:fldCharType="separate"/>
      </w:r>
    </w:p>
    <w:p w14:paraId="39E1D986"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American Psychiatric Association, 2013. Diagnostic and statistical manual of mental disorders, 5th ed. Washington, DC: Author.</w:t>
      </w:r>
    </w:p>
    <w:p w14:paraId="2862AED7" w14:textId="62E2CA5D"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 xml:space="preserve">American Psychiatric Association, 2000. Diagnostic and statistical manual of mental disorders, </w:t>
      </w:r>
      <w:r w:rsidR="005D2BDA">
        <w:rPr>
          <w:rFonts w:ascii="Arial" w:hAnsi="Arial" w:cs="Arial"/>
          <w:noProof/>
        </w:rPr>
        <w:t xml:space="preserve">4th ed. Washington, DC: Author. </w:t>
      </w:r>
      <w:r w:rsidRPr="008923FD">
        <w:rPr>
          <w:rFonts w:ascii="Arial" w:hAnsi="Arial" w:cs="Arial"/>
          <w:noProof/>
        </w:rPr>
        <w:t>https://doi.org/10.1073/pnas.0703993104</w:t>
      </w:r>
    </w:p>
    <w:p w14:paraId="6CDA3AAE"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 xml:space="preserve">Burns, R.M., Caulkins, J.P., Everingham, S.S., Kilmer, B., 2013. Statistics on cannabis </w:t>
      </w:r>
      <w:bookmarkStart w:id="6" w:name="_GoBack"/>
      <w:bookmarkEnd w:id="6"/>
      <w:r w:rsidRPr="008923FD">
        <w:rPr>
          <w:rFonts w:ascii="Arial" w:hAnsi="Arial" w:cs="Arial"/>
          <w:noProof/>
        </w:rPr>
        <w:t>users skew perceptions of cannabis use. Front. Psychiatry 4, 1–10. https://doi.org/10.3389/fpsyt.2013.00138</w:t>
      </w:r>
    </w:p>
    <w:p w14:paraId="0B0A177B"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Carliner, H., Mauro, P.M., Brown, Q.L., Shmulewitz, D., Rahim-Juwel, R., Sarvet, A.L., Wall, M.M., Martins, S.S., Carliner, G., Hasin, D.S., 2017. The widening gender gap in marijuana use prevalence in the U.S. during a period of economic change, 2002–2014. Drug Alcohol Depend. 170, 51–58. https://doi.org/https://doi.org/10.1016/j.drugalcdep.2016.10.042</w:t>
      </w:r>
    </w:p>
    <w:p w14:paraId="1D337D50"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Center for Behavioral Health Statistics and Quality, 2017a. 2016 National Survey on Drug Use and Health: Detailed Tables.</w:t>
      </w:r>
    </w:p>
    <w:p w14:paraId="5B5B1F4E"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Center for Behavioral Health Statistics and Quality, 2017b. 2016 National Survey on Drug Use and Health: Methodological summary and definitions. Rockville, MD: Substance Abuse and Mental Health Services Administration.</w:t>
      </w:r>
    </w:p>
    <w:p w14:paraId="51CCEAD9"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Center for Behavioral Health Statistics and Quality, 2016. Impact of the DSM-IV to DSM-5 Changes on the National Survey on Drug Use and Health. Rockville, MD: Substance Abuse and Mental Health Services Administration.</w:t>
      </w:r>
    </w:p>
    <w:p w14:paraId="3D5A55CF"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Compton, W.M., Han, B., Jones, C.M., Blanco, C., Hughes, A., 2016. Marijuana use and use disorders in adults in the USA, 2002–14: analysis of annual cross-sectional surveys. The Lancet Psychiatry 3, 954–964. https://doi.org/https://doi.org/10.1016/S2215-0366(16)30208-5</w:t>
      </w:r>
    </w:p>
    <w:p w14:paraId="4D9AAAE8"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Davenport, S.S., Caulkins, J.P., 2016. Evolution of the United States marijuana market in the decade of liberalization before full legalization. J. Drug Issues 46, 411–427. https://doi.org/10.1177/0022042616659759</w:t>
      </w:r>
    </w:p>
    <w:p w14:paraId="419B75C6"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Gallup, 2017. Record-High Support for Legalizing Marijuana Use in U.S. [WWW Document]. URL http://news.gallup.com/poll/221018/record-high-support-legalizing-marijuana.aspx?g_source=MARIJUANA&amp;g_medium=topic&amp;g_campaign=tiles (accessed 4.26.18).</w:t>
      </w:r>
    </w:p>
    <w:p w14:paraId="04021190"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Hasin, D.S., Keyes, K.M., Alderson, D., Wang, S., Aharonovich, E., Grant, B.F., Author, C., 2008. Cannabis withdrawal in the United States: a general population study. J Clin Psychiatry 69, 1354–1363. https://doi.org/10.4088/JCP.v69n0902</w:t>
      </w:r>
    </w:p>
    <w:p w14:paraId="5E68729D"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 xml:space="preserve">Hasin, D.S., O’Brien, C.P., Auriacombe, M., Borges, G., Bucholz, K., Budney, A., Compton, W.M., Crowley, T., Ling, W., Petry, N.M., Schuckit, M., Grant, B.F., 2013. </w:t>
      </w:r>
      <w:r w:rsidRPr="008923FD">
        <w:rPr>
          <w:rFonts w:ascii="Arial" w:hAnsi="Arial" w:cs="Arial"/>
          <w:noProof/>
        </w:rPr>
        <w:lastRenderedPageBreak/>
        <w:t>DSM-5 criteria for substance use disorders: Recommendations and rationale. Am. J. Psychiatry 170, 834–851. https://doi.org/10.1176/appi.ajp.2013.12060782</w:t>
      </w:r>
    </w:p>
    <w:p w14:paraId="6801DECE"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Hasin, D.S., Saha, T.D., Kerridge, B.T., Goldstein, R.B., Chou, S.P., Zhang, H., Jung, J., Pickering, R.P., Ruan, J., Smith, S.M., Huang, B., Grant, B.F., 2015. Prevalence of marijuana use disorders in the United States between 2001-2002 and 2012-2013. JAMA Psychiatry 72, 1235–1242. https://doi.org/10.1001/jamapsychiatry.2015.1858</w:t>
      </w:r>
    </w:p>
    <w:p w14:paraId="2ACD62A6"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Kilmer, B., Everingham, S.S.S., Caulkins, J.P., Midgette, G., Pacula, R.L., Reuter, P.H., Burns, R.M., Han, B., Lundberg, R., 2014. What America’s Users Spend on Illegal Drugs: 2000-2010. Santa Monica, CA: RAND Corporation.</w:t>
      </w:r>
    </w:p>
    <w:p w14:paraId="244E3DAB"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Mewton, L., Slade, T., Teesson, M., 2013. An Evaluation of the Proposed DSM-5 Cannabis Use Disorder Criteria Using Australian National Survey Data. Stud. Alcohol Drugs 74, 614–621. https://doi.org/10.15288/jsad.2013.74.614</w:t>
      </w:r>
    </w:p>
    <w:p w14:paraId="68A087E9"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Pacek, L.R., Mauro, P.M., Martins, S.S., 2015. Perceived risk of regular cannabis use in the United States from 2002 to 2012: Differences by sex, age, and race/ethnicity. Drug Alcohol Depend. 149, 232–244. https://doi.org/https://doi.org/10.1016/j.drugalcdep.2015.02.009</w:t>
      </w:r>
    </w:p>
    <w:p w14:paraId="718AD7B9" w14:textId="5A6411E5" w:rsid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Peer, K., Rennert, L., Lynch, K.G., Farrer, L., Gelernter, J., Kranzler, H.R., 2013. Prevalence of DSM-IV and DSM-5 alcohol, cocaine, opioid, and cannabis use disorders in a largely substance dependent sample. Drug Alcohol Depend. 127, 215–219. https://doi.org/10.1016/j.drugalcdep.2012.07.009</w:t>
      </w:r>
    </w:p>
    <w:p w14:paraId="7682CB7D" w14:textId="77777777" w:rsidR="008923FD" w:rsidRPr="008923FD" w:rsidRDefault="008923FD" w:rsidP="008923FD">
      <w:pPr>
        <w:widowControl w:val="0"/>
        <w:autoSpaceDE w:val="0"/>
        <w:autoSpaceDN w:val="0"/>
        <w:adjustRightInd w:val="0"/>
        <w:spacing w:after="160"/>
        <w:ind w:left="480" w:hanging="480"/>
        <w:rPr>
          <w:rFonts w:ascii="Arial" w:hAnsi="Arial" w:cs="Arial"/>
          <w:noProof/>
        </w:rPr>
      </w:pPr>
      <w:r w:rsidRPr="008923FD">
        <w:rPr>
          <w:rFonts w:ascii="Arial" w:hAnsi="Arial" w:cs="Arial"/>
          <w:noProof/>
        </w:rPr>
        <w:t>Smart, R., Caulkins, J.P., Kilmer, B., Davenport, S., Midgette, G., 2017. Variation in cannabis potency and prices in a newly legal market: evidence from 30 million cannabis sales in Washington state. Addiction 112, 2167–2177. https://doi.org/10.1111/add.13886</w:t>
      </w:r>
    </w:p>
    <w:p w14:paraId="38CA2535" w14:textId="77777777" w:rsidR="005D2BDA" w:rsidRPr="008923FD" w:rsidRDefault="00A12DB3" w:rsidP="005D2BDA">
      <w:pPr>
        <w:widowControl w:val="0"/>
        <w:autoSpaceDE w:val="0"/>
        <w:autoSpaceDN w:val="0"/>
        <w:adjustRightInd w:val="0"/>
        <w:spacing w:after="160"/>
        <w:ind w:left="480" w:hanging="480"/>
        <w:rPr>
          <w:rFonts w:ascii="Arial" w:hAnsi="Arial" w:cs="Arial"/>
          <w:noProof/>
        </w:rPr>
      </w:pPr>
      <w:r>
        <w:rPr>
          <w:rFonts w:ascii="Arial" w:hAnsi="Arial" w:cs="Arial"/>
          <w:bCs/>
          <w:color w:val="000000"/>
        </w:rPr>
        <w:fldChar w:fldCharType="end"/>
      </w:r>
      <w:bookmarkEnd w:id="4"/>
      <w:bookmarkEnd w:id="5"/>
      <w:r w:rsidR="0006490A">
        <w:rPr>
          <w:rFonts w:ascii="Georgia" w:hAnsi="Georgia"/>
          <w:color w:val="505050"/>
          <w:sz w:val="28"/>
          <w:szCs w:val="28"/>
          <w:shd w:val="clear" w:color="auto" w:fill="FFFFFF"/>
        </w:rPr>
        <w:t xml:space="preserve"> </w:t>
      </w:r>
      <w:r w:rsidR="005D2BDA">
        <w:rPr>
          <w:rFonts w:ascii="Arial" w:hAnsi="Arial" w:cs="Arial"/>
          <w:noProof/>
        </w:rPr>
        <w:t>Substance Abuse and Mental Health Services Administration, 2002-2016</w:t>
      </w:r>
      <w:r w:rsidR="005D2BDA" w:rsidRPr="008923FD">
        <w:rPr>
          <w:rFonts w:ascii="Arial" w:hAnsi="Arial" w:cs="Arial"/>
          <w:noProof/>
        </w:rPr>
        <w:t>. National Survey on Drug Use and Health.</w:t>
      </w:r>
    </w:p>
    <w:p w14:paraId="3D1FFC51" w14:textId="58CAB772" w:rsidR="004D5388" w:rsidRDefault="004D5388" w:rsidP="004142E4">
      <w:pPr>
        <w:widowControl w:val="0"/>
        <w:autoSpaceDE w:val="0"/>
        <w:autoSpaceDN w:val="0"/>
        <w:adjustRightInd w:val="0"/>
        <w:spacing w:after="160"/>
        <w:rPr>
          <w:rFonts w:ascii="Georgia" w:hAnsi="Georgia"/>
          <w:color w:val="505050"/>
          <w:sz w:val="28"/>
          <w:szCs w:val="28"/>
          <w:shd w:val="clear" w:color="auto" w:fill="FFFFFF"/>
        </w:rPr>
      </w:pPr>
    </w:p>
    <w:p w14:paraId="7E4BB32A" w14:textId="77777777" w:rsidR="004D5388" w:rsidRPr="00A71039" w:rsidRDefault="004D5388" w:rsidP="00A71039">
      <w:pPr>
        <w:spacing w:after="160"/>
        <w:jc w:val="right"/>
        <w:rPr>
          <w:rFonts w:ascii="Arial" w:hAnsi="Arial" w:cs="Arial"/>
          <w:bCs/>
          <w:color w:val="000000"/>
          <w:sz w:val="16"/>
          <w:szCs w:val="16"/>
        </w:rPr>
      </w:pPr>
    </w:p>
    <w:sectPr w:rsidR="004D5388" w:rsidRPr="00A71039" w:rsidSect="00B85654">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43624" w14:textId="77777777" w:rsidR="00A03DB6" w:rsidRDefault="00A03DB6" w:rsidP="000B4AA0">
      <w:r>
        <w:separator/>
      </w:r>
    </w:p>
  </w:endnote>
  <w:endnote w:type="continuationSeparator" w:id="0">
    <w:p w14:paraId="44239499" w14:textId="77777777" w:rsidR="00A03DB6" w:rsidRDefault="00A03DB6" w:rsidP="000B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6374475"/>
      <w:docPartObj>
        <w:docPartGallery w:val="Page Numbers (Bottom of Page)"/>
        <w:docPartUnique/>
      </w:docPartObj>
    </w:sdtPr>
    <w:sdtEndPr>
      <w:rPr>
        <w:rStyle w:val="PageNumber"/>
      </w:rPr>
    </w:sdtEndPr>
    <w:sdtContent>
      <w:p w14:paraId="4BD9A216" w14:textId="77777777" w:rsidR="00F84AB6" w:rsidRDefault="00F84AB6" w:rsidP="00F84A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2BF6FD" w14:textId="77777777" w:rsidR="00F84AB6" w:rsidRDefault="00F84AB6" w:rsidP="00F277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3709343"/>
      <w:docPartObj>
        <w:docPartGallery w:val="Page Numbers (Bottom of Page)"/>
        <w:docPartUnique/>
      </w:docPartObj>
    </w:sdtPr>
    <w:sdtEndPr>
      <w:rPr>
        <w:rStyle w:val="PageNumber"/>
      </w:rPr>
    </w:sdtEndPr>
    <w:sdtContent>
      <w:p w14:paraId="17B6DD04" w14:textId="77777777" w:rsidR="00F84AB6" w:rsidRDefault="00F84AB6" w:rsidP="00F84A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49AAE8" w14:textId="77777777" w:rsidR="00F84AB6" w:rsidRDefault="00F84AB6" w:rsidP="00F277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79E50" w14:textId="77777777" w:rsidR="00A03DB6" w:rsidRDefault="00A03DB6" w:rsidP="000B4AA0">
      <w:r>
        <w:separator/>
      </w:r>
    </w:p>
  </w:footnote>
  <w:footnote w:type="continuationSeparator" w:id="0">
    <w:p w14:paraId="4B8D8309" w14:textId="77777777" w:rsidR="00A03DB6" w:rsidRDefault="00A03DB6" w:rsidP="000B4A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FB0F36"/>
    <w:multiLevelType w:val="hybridMultilevel"/>
    <w:tmpl w:val="98988BCA"/>
    <w:lvl w:ilvl="0" w:tplc="758E52DE">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063DD"/>
    <w:multiLevelType w:val="multilevel"/>
    <w:tmpl w:val="1E286A9E"/>
    <w:lvl w:ilvl="0">
      <w:start w:val="1"/>
      <w:numFmt w:val="decimal"/>
      <w:lvlText w:val="%1."/>
      <w:lvlJc w:val="left"/>
      <w:pPr>
        <w:ind w:left="720" w:hanging="360"/>
      </w:pPr>
      <w:rPr>
        <w:rFonts w:hint="default"/>
        <w:b/>
        <w:color w:val="000000"/>
      </w:rPr>
    </w:lvl>
    <w:lvl w:ilvl="1">
      <w:start w:val="1"/>
      <w:numFmt w:val="decimal"/>
      <w:isLgl/>
      <w:lvlText w:val="%1.%2."/>
      <w:lvlJc w:val="left"/>
      <w:pPr>
        <w:ind w:left="1080" w:hanging="72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440" w:hanging="108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800" w:hanging="144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2160" w:hanging="1800"/>
      </w:pPr>
      <w:rPr>
        <w:rFonts w:hint="default"/>
        <w:b/>
        <w:color w:val="000000"/>
      </w:rPr>
    </w:lvl>
    <w:lvl w:ilvl="8">
      <w:start w:val="1"/>
      <w:numFmt w:val="decimal"/>
      <w:isLgl/>
      <w:lvlText w:val="%1.%2.%3.%4.%5.%6.%7.%8.%9."/>
      <w:lvlJc w:val="left"/>
      <w:pPr>
        <w:ind w:left="2520" w:hanging="2160"/>
      </w:pPr>
      <w:rPr>
        <w:rFonts w:hint="default"/>
        <w:b/>
        <w:color w:val="000000"/>
      </w:rPr>
    </w:lvl>
  </w:abstractNum>
  <w:abstractNum w:abstractNumId="3" w15:restartNumberingAfterBreak="0">
    <w:nsid w:val="26763715"/>
    <w:multiLevelType w:val="multilevel"/>
    <w:tmpl w:val="99C8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0112D3"/>
    <w:multiLevelType w:val="multilevel"/>
    <w:tmpl w:val="A8ECE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DA661B"/>
    <w:multiLevelType w:val="hybridMultilevel"/>
    <w:tmpl w:val="A9FA4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621752"/>
    <w:multiLevelType w:val="multilevel"/>
    <w:tmpl w:val="D08C0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
  </w:num>
  <w:num w:numId="4">
    <w:abstractNumId w:val="5"/>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881"/>
    <w:rsid w:val="00003F81"/>
    <w:rsid w:val="00022910"/>
    <w:rsid w:val="0003162A"/>
    <w:rsid w:val="00032D3E"/>
    <w:rsid w:val="000425CE"/>
    <w:rsid w:val="00046A83"/>
    <w:rsid w:val="00053C4B"/>
    <w:rsid w:val="0006221C"/>
    <w:rsid w:val="0006490A"/>
    <w:rsid w:val="00067EFE"/>
    <w:rsid w:val="00073D0F"/>
    <w:rsid w:val="00091FE9"/>
    <w:rsid w:val="000B4AA0"/>
    <w:rsid w:val="000C5001"/>
    <w:rsid w:val="000C702F"/>
    <w:rsid w:val="000C7A17"/>
    <w:rsid w:val="000D757E"/>
    <w:rsid w:val="000E1F43"/>
    <w:rsid w:val="000F43F4"/>
    <w:rsid w:val="00101597"/>
    <w:rsid w:val="00101A2A"/>
    <w:rsid w:val="00104ADE"/>
    <w:rsid w:val="0011157A"/>
    <w:rsid w:val="001145A3"/>
    <w:rsid w:val="001146ED"/>
    <w:rsid w:val="00130F11"/>
    <w:rsid w:val="00131239"/>
    <w:rsid w:val="00131597"/>
    <w:rsid w:val="0014322F"/>
    <w:rsid w:val="00147EF5"/>
    <w:rsid w:val="00155BB2"/>
    <w:rsid w:val="00163030"/>
    <w:rsid w:val="001633F7"/>
    <w:rsid w:val="001657CE"/>
    <w:rsid w:val="0017047A"/>
    <w:rsid w:val="00180975"/>
    <w:rsid w:val="00190881"/>
    <w:rsid w:val="00193160"/>
    <w:rsid w:val="001943B2"/>
    <w:rsid w:val="001A3BD1"/>
    <w:rsid w:val="001C0446"/>
    <w:rsid w:val="001C3223"/>
    <w:rsid w:val="001C639E"/>
    <w:rsid w:val="001D0A80"/>
    <w:rsid w:val="001D4382"/>
    <w:rsid w:val="001D7770"/>
    <w:rsid w:val="001E0B38"/>
    <w:rsid w:val="001E22C8"/>
    <w:rsid w:val="001F2F29"/>
    <w:rsid w:val="001F6CAE"/>
    <w:rsid w:val="002020E4"/>
    <w:rsid w:val="00205B0D"/>
    <w:rsid w:val="002140CC"/>
    <w:rsid w:val="00230A93"/>
    <w:rsid w:val="00235D1A"/>
    <w:rsid w:val="00237389"/>
    <w:rsid w:val="00254E04"/>
    <w:rsid w:val="00255EDD"/>
    <w:rsid w:val="002709F1"/>
    <w:rsid w:val="00270B6D"/>
    <w:rsid w:val="002755F1"/>
    <w:rsid w:val="0027716F"/>
    <w:rsid w:val="00286831"/>
    <w:rsid w:val="00294A48"/>
    <w:rsid w:val="002A6085"/>
    <w:rsid w:val="002B16AF"/>
    <w:rsid w:val="002B5916"/>
    <w:rsid w:val="002B5F45"/>
    <w:rsid w:val="002B6A71"/>
    <w:rsid w:val="002F772B"/>
    <w:rsid w:val="002F7FA9"/>
    <w:rsid w:val="00301AE5"/>
    <w:rsid w:val="00307967"/>
    <w:rsid w:val="00312DD7"/>
    <w:rsid w:val="003131D5"/>
    <w:rsid w:val="00325531"/>
    <w:rsid w:val="00325E99"/>
    <w:rsid w:val="0034190E"/>
    <w:rsid w:val="0034516E"/>
    <w:rsid w:val="00345E07"/>
    <w:rsid w:val="0035091E"/>
    <w:rsid w:val="0035204A"/>
    <w:rsid w:val="00355914"/>
    <w:rsid w:val="0035597A"/>
    <w:rsid w:val="00357856"/>
    <w:rsid w:val="00362BBD"/>
    <w:rsid w:val="00371361"/>
    <w:rsid w:val="00373EB6"/>
    <w:rsid w:val="003830C3"/>
    <w:rsid w:val="00386827"/>
    <w:rsid w:val="00393585"/>
    <w:rsid w:val="003A0A2D"/>
    <w:rsid w:val="003A3834"/>
    <w:rsid w:val="003B50F6"/>
    <w:rsid w:val="003C2D4E"/>
    <w:rsid w:val="003C78D7"/>
    <w:rsid w:val="003D138E"/>
    <w:rsid w:val="003D1B00"/>
    <w:rsid w:val="003D3B70"/>
    <w:rsid w:val="003E1607"/>
    <w:rsid w:val="003E18D4"/>
    <w:rsid w:val="003E2F22"/>
    <w:rsid w:val="003F20DE"/>
    <w:rsid w:val="004112AA"/>
    <w:rsid w:val="004142E4"/>
    <w:rsid w:val="00414D85"/>
    <w:rsid w:val="00415264"/>
    <w:rsid w:val="00430531"/>
    <w:rsid w:val="004365F1"/>
    <w:rsid w:val="00436D39"/>
    <w:rsid w:val="0044665B"/>
    <w:rsid w:val="004547D7"/>
    <w:rsid w:val="00456550"/>
    <w:rsid w:val="00463538"/>
    <w:rsid w:val="004673FE"/>
    <w:rsid w:val="00470DE0"/>
    <w:rsid w:val="00484F7E"/>
    <w:rsid w:val="004A4380"/>
    <w:rsid w:val="004A4EF1"/>
    <w:rsid w:val="004A5DA2"/>
    <w:rsid w:val="004B1C09"/>
    <w:rsid w:val="004B2F55"/>
    <w:rsid w:val="004B68C6"/>
    <w:rsid w:val="004D059B"/>
    <w:rsid w:val="004D5388"/>
    <w:rsid w:val="004D585A"/>
    <w:rsid w:val="004D6109"/>
    <w:rsid w:val="004E199D"/>
    <w:rsid w:val="004F20D6"/>
    <w:rsid w:val="00501A27"/>
    <w:rsid w:val="005047F8"/>
    <w:rsid w:val="00504FC0"/>
    <w:rsid w:val="00514C26"/>
    <w:rsid w:val="00535DDB"/>
    <w:rsid w:val="005417CE"/>
    <w:rsid w:val="00543C53"/>
    <w:rsid w:val="00550338"/>
    <w:rsid w:val="00551025"/>
    <w:rsid w:val="005534BB"/>
    <w:rsid w:val="00553829"/>
    <w:rsid w:val="00562AEC"/>
    <w:rsid w:val="00574127"/>
    <w:rsid w:val="005762F4"/>
    <w:rsid w:val="005A245E"/>
    <w:rsid w:val="005A3180"/>
    <w:rsid w:val="005A7C1E"/>
    <w:rsid w:val="005B5F36"/>
    <w:rsid w:val="005C6C99"/>
    <w:rsid w:val="005D2BDA"/>
    <w:rsid w:val="005D555C"/>
    <w:rsid w:val="005E083B"/>
    <w:rsid w:val="005E4F7E"/>
    <w:rsid w:val="005F3842"/>
    <w:rsid w:val="005F3B3F"/>
    <w:rsid w:val="005F4F89"/>
    <w:rsid w:val="005F572C"/>
    <w:rsid w:val="00603253"/>
    <w:rsid w:val="006053B9"/>
    <w:rsid w:val="00607A31"/>
    <w:rsid w:val="0061080D"/>
    <w:rsid w:val="00610E81"/>
    <w:rsid w:val="00630128"/>
    <w:rsid w:val="006343DB"/>
    <w:rsid w:val="00634FFA"/>
    <w:rsid w:val="00636C19"/>
    <w:rsid w:val="00653C64"/>
    <w:rsid w:val="006665C3"/>
    <w:rsid w:val="00676254"/>
    <w:rsid w:val="00681954"/>
    <w:rsid w:val="00694E03"/>
    <w:rsid w:val="0069584E"/>
    <w:rsid w:val="006975A4"/>
    <w:rsid w:val="006A73BF"/>
    <w:rsid w:val="006B4298"/>
    <w:rsid w:val="006C4ADC"/>
    <w:rsid w:val="006F5147"/>
    <w:rsid w:val="006F785A"/>
    <w:rsid w:val="00702615"/>
    <w:rsid w:val="007256F9"/>
    <w:rsid w:val="00730C4B"/>
    <w:rsid w:val="00734D34"/>
    <w:rsid w:val="00751036"/>
    <w:rsid w:val="00752813"/>
    <w:rsid w:val="00757CD9"/>
    <w:rsid w:val="007724BD"/>
    <w:rsid w:val="007747C4"/>
    <w:rsid w:val="00783FD1"/>
    <w:rsid w:val="00784FBC"/>
    <w:rsid w:val="007952C9"/>
    <w:rsid w:val="007A4216"/>
    <w:rsid w:val="007A6A1A"/>
    <w:rsid w:val="007B19B9"/>
    <w:rsid w:val="007B2E43"/>
    <w:rsid w:val="007D3A8D"/>
    <w:rsid w:val="007E1C6A"/>
    <w:rsid w:val="00810055"/>
    <w:rsid w:val="00812D70"/>
    <w:rsid w:val="008147D2"/>
    <w:rsid w:val="0082683D"/>
    <w:rsid w:val="00845E79"/>
    <w:rsid w:val="008503EA"/>
    <w:rsid w:val="0086767B"/>
    <w:rsid w:val="008923FD"/>
    <w:rsid w:val="00893C2A"/>
    <w:rsid w:val="00897D60"/>
    <w:rsid w:val="008A6362"/>
    <w:rsid w:val="008B38D2"/>
    <w:rsid w:val="008C1267"/>
    <w:rsid w:val="008C2190"/>
    <w:rsid w:val="008D0B53"/>
    <w:rsid w:val="008E18BF"/>
    <w:rsid w:val="008E374A"/>
    <w:rsid w:val="008F07C0"/>
    <w:rsid w:val="009004EC"/>
    <w:rsid w:val="00901E8B"/>
    <w:rsid w:val="009054BE"/>
    <w:rsid w:val="00905779"/>
    <w:rsid w:val="009073DE"/>
    <w:rsid w:val="00911EC1"/>
    <w:rsid w:val="009207EB"/>
    <w:rsid w:val="00922005"/>
    <w:rsid w:val="0092545F"/>
    <w:rsid w:val="00943902"/>
    <w:rsid w:val="00950C60"/>
    <w:rsid w:val="009513D5"/>
    <w:rsid w:val="00954BD8"/>
    <w:rsid w:val="0096362B"/>
    <w:rsid w:val="009653F0"/>
    <w:rsid w:val="00966885"/>
    <w:rsid w:val="00972E4B"/>
    <w:rsid w:val="00986B17"/>
    <w:rsid w:val="00987BD5"/>
    <w:rsid w:val="009900F2"/>
    <w:rsid w:val="00993247"/>
    <w:rsid w:val="009A0F2E"/>
    <w:rsid w:val="009A7263"/>
    <w:rsid w:val="009A7E32"/>
    <w:rsid w:val="009B325F"/>
    <w:rsid w:val="009B3CAD"/>
    <w:rsid w:val="009B40F5"/>
    <w:rsid w:val="009B545E"/>
    <w:rsid w:val="009C0FE7"/>
    <w:rsid w:val="009C295F"/>
    <w:rsid w:val="009D3BEC"/>
    <w:rsid w:val="009D4F6B"/>
    <w:rsid w:val="009D5AF7"/>
    <w:rsid w:val="009E6251"/>
    <w:rsid w:val="009F214A"/>
    <w:rsid w:val="009F3CB9"/>
    <w:rsid w:val="00A00181"/>
    <w:rsid w:val="00A03DB6"/>
    <w:rsid w:val="00A06435"/>
    <w:rsid w:val="00A10243"/>
    <w:rsid w:val="00A1134F"/>
    <w:rsid w:val="00A12DB3"/>
    <w:rsid w:val="00A171BA"/>
    <w:rsid w:val="00A1762E"/>
    <w:rsid w:val="00A22223"/>
    <w:rsid w:val="00A22485"/>
    <w:rsid w:val="00A34C7F"/>
    <w:rsid w:val="00A36FCD"/>
    <w:rsid w:val="00A4142E"/>
    <w:rsid w:val="00A41502"/>
    <w:rsid w:val="00A46CBA"/>
    <w:rsid w:val="00A61686"/>
    <w:rsid w:val="00A71039"/>
    <w:rsid w:val="00A86174"/>
    <w:rsid w:val="00A958E2"/>
    <w:rsid w:val="00AB456E"/>
    <w:rsid w:val="00AC220B"/>
    <w:rsid w:val="00AC59B7"/>
    <w:rsid w:val="00AD4CC1"/>
    <w:rsid w:val="00AD5720"/>
    <w:rsid w:val="00AE668D"/>
    <w:rsid w:val="00B02C0B"/>
    <w:rsid w:val="00B02E92"/>
    <w:rsid w:val="00B11B7F"/>
    <w:rsid w:val="00B134EB"/>
    <w:rsid w:val="00B16C6E"/>
    <w:rsid w:val="00B30465"/>
    <w:rsid w:val="00B47D37"/>
    <w:rsid w:val="00B5192B"/>
    <w:rsid w:val="00B53606"/>
    <w:rsid w:val="00B60399"/>
    <w:rsid w:val="00B722E0"/>
    <w:rsid w:val="00B77914"/>
    <w:rsid w:val="00B85654"/>
    <w:rsid w:val="00B91FA7"/>
    <w:rsid w:val="00B94E2E"/>
    <w:rsid w:val="00B951CA"/>
    <w:rsid w:val="00B96314"/>
    <w:rsid w:val="00BB4C0D"/>
    <w:rsid w:val="00BC5194"/>
    <w:rsid w:val="00BC5553"/>
    <w:rsid w:val="00BE6284"/>
    <w:rsid w:val="00C04E36"/>
    <w:rsid w:val="00C1284B"/>
    <w:rsid w:val="00C12E02"/>
    <w:rsid w:val="00C1478D"/>
    <w:rsid w:val="00C36D39"/>
    <w:rsid w:val="00C41C2C"/>
    <w:rsid w:val="00C56EEC"/>
    <w:rsid w:val="00C7229F"/>
    <w:rsid w:val="00C76D97"/>
    <w:rsid w:val="00C81455"/>
    <w:rsid w:val="00C818AA"/>
    <w:rsid w:val="00C910DF"/>
    <w:rsid w:val="00C94EDE"/>
    <w:rsid w:val="00C95777"/>
    <w:rsid w:val="00C97779"/>
    <w:rsid w:val="00CA2E26"/>
    <w:rsid w:val="00CB01AB"/>
    <w:rsid w:val="00CB0F18"/>
    <w:rsid w:val="00CB4C7E"/>
    <w:rsid w:val="00CB6015"/>
    <w:rsid w:val="00CC373F"/>
    <w:rsid w:val="00CC4B0F"/>
    <w:rsid w:val="00CC5FE8"/>
    <w:rsid w:val="00CD4257"/>
    <w:rsid w:val="00CE1CE3"/>
    <w:rsid w:val="00CE4460"/>
    <w:rsid w:val="00CE774E"/>
    <w:rsid w:val="00CF0884"/>
    <w:rsid w:val="00CF36A9"/>
    <w:rsid w:val="00D028BE"/>
    <w:rsid w:val="00D06A5C"/>
    <w:rsid w:val="00D07DF6"/>
    <w:rsid w:val="00D11576"/>
    <w:rsid w:val="00D35512"/>
    <w:rsid w:val="00D36F87"/>
    <w:rsid w:val="00D45F7B"/>
    <w:rsid w:val="00D474CA"/>
    <w:rsid w:val="00D50500"/>
    <w:rsid w:val="00D51B7E"/>
    <w:rsid w:val="00D52788"/>
    <w:rsid w:val="00D548E3"/>
    <w:rsid w:val="00D635E6"/>
    <w:rsid w:val="00D766BE"/>
    <w:rsid w:val="00D775A3"/>
    <w:rsid w:val="00D92EEE"/>
    <w:rsid w:val="00DA4949"/>
    <w:rsid w:val="00DA5328"/>
    <w:rsid w:val="00DB1453"/>
    <w:rsid w:val="00DB2D83"/>
    <w:rsid w:val="00DB65F2"/>
    <w:rsid w:val="00DB6619"/>
    <w:rsid w:val="00DC2391"/>
    <w:rsid w:val="00DC67C9"/>
    <w:rsid w:val="00DD07E9"/>
    <w:rsid w:val="00DD2BAB"/>
    <w:rsid w:val="00DE1400"/>
    <w:rsid w:val="00E10428"/>
    <w:rsid w:val="00E1203B"/>
    <w:rsid w:val="00E352D0"/>
    <w:rsid w:val="00E40B5E"/>
    <w:rsid w:val="00E429F9"/>
    <w:rsid w:val="00E43BA7"/>
    <w:rsid w:val="00E446AE"/>
    <w:rsid w:val="00E46411"/>
    <w:rsid w:val="00E66CE7"/>
    <w:rsid w:val="00E711CA"/>
    <w:rsid w:val="00E74E90"/>
    <w:rsid w:val="00E84E79"/>
    <w:rsid w:val="00E92AD0"/>
    <w:rsid w:val="00EC1EED"/>
    <w:rsid w:val="00ED25E9"/>
    <w:rsid w:val="00ED4190"/>
    <w:rsid w:val="00ED475F"/>
    <w:rsid w:val="00EE3D0F"/>
    <w:rsid w:val="00F02EE5"/>
    <w:rsid w:val="00F0348C"/>
    <w:rsid w:val="00F20529"/>
    <w:rsid w:val="00F2779C"/>
    <w:rsid w:val="00F3058A"/>
    <w:rsid w:val="00F41FF4"/>
    <w:rsid w:val="00F5422F"/>
    <w:rsid w:val="00F61215"/>
    <w:rsid w:val="00F67B7B"/>
    <w:rsid w:val="00F840AE"/>
    <w:rsid w:val="00F84AB6"/>
    <w:rsid w:val="00FA0610"/>
    <w:rsid w:val="00FA58B9"/>
    <w:rsid w:val="00FA6A66"/>
    <w:rsid w:val="00FA717E"/>
    <w:rsid w:val="00FA7D22"/>
    <w:rsid w:val="00FC125C"/>
    <w:rsid w:val="00FC245C"/>
    <w:rsid w:val="00FC73C3"/>
    <w:rsid w:val="00FD085D"/>
    <w:rsid w:val="00FD12BB"/>
    <w:rsid w:val="00FE1A5D"/>
    <w:rsid w:val="00FF0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8B9A4"/>
  <w14:defaultImageDpi w14:val="32767"/>
  <w15:chartTrackingRefBased/>
  <w15:docId w15:val="{AA29CFAA-8483-4B40-B8D2-59F191F53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2910"/>
    <w:rPr>
      <w:rFonts w:ascii="Times New Roman" w:hAnsi="Times New Roman"/>
      <w:sz w:val="24"/>
      <w:szCs w:val="24"/>
    </w:rPr>
  </w:style>
  <w:style w:type="paragraph" w:styleId="Heading1">
    <w:name w:val="heading 1"/>
    <w:basedOn w:val="Normal"/>
    <w:next w:val="Normal"/>
    <w:link w:val="Heading1Char"/>
    <w:uiPriority w:val="9"/>
    <w:qFormat/>
    <w:rsid w:val="00BB4C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BB4C0D"/>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0881"/>
    <w:pPr>
      <w:spacing w:before="100" w:beforeAutospacing="1" w:after="100" w:afterAutospacing="1"/>
    </w:pPr>
  </w:style>
  <w:style w:type="character" w:customStyle="1" w:styleId="apple-tab-span">
    <w:name w:val="apple-tab-span"/>
    <w:basedOn w:val="DefaultParagraphFont"/>
    <w:rsid w:val="00190881"/>
  </w:style>
  <w:style w:type="character" w:styleId="Hyperlink">
    <w:name w:val="Hyperlink"/>
    <w:uiPriority w:val="99"/>
    <w:unhideWhenUsed/>
    <w:rsid w:val="00190881"/>
    <w:rPr>
      <w:color w:val="0000FF"/>
      <w:u w:val="single"/>
    </w:rPr>
  </w:style>
  <w:style w:type="paragraph" w:styleId="BalloonText">
    <w:name w:val="Balloon Text"/>
    <w:basedOn w:val="Normal"/>
    <w:link w:val="BalloonTextChar"/>
    <w:uiPriority w:val="99"/>
    <w:semiHidden/>
    <w:unhideWhenUsed/>
    <w:rsid w:val="00F02EE5"/>
    <w:rPr>
      <w:sz w:val="18"/>
      <w:szCs w:val="18"/>
    </w:rPr>
  </w:style>
  <w:style w:type="character" w:customStyle="1" w:styleId="BalloonTextChar">
    <w:name w:val="Balloon Text Char"/>
    <w:link w:val="BalloonText"/>
    <w:uiPriority w:val="99"/>
    <w:semiHidden/>
    <w:rsid w:val="00F02EE5"/>
    <w:rPr>
      <w:rFonts w:ascii="Times New Roman" w:hAnsi="Times New Roman" w:cs="Times New Roman"/>
      <w:sz w:val="18"/>
      <w:szCs w:val="18"/>
    </w:rPr>
  </w:style>
  <w:style w:type="paragraph" w:styleId="Revision">
    <w:name w:val="Revision"/>
    <w:hidden/>
    <w:uiPriority w:val="99"/>
    <w:semiHidden/>
    <w:rsid w:val="00D35512"/>
    <w:rPr>
      <w:sz w:val="24"/>
      <w:szCs w:val="24"/>
    </w:rPr>
  </w:style>
  <w:style w:type="paragraph" w:styleId="FootnoteText">
    <w:name w:val="footnote text"/>
    <w:basedOn w:val="Normal"/>
    <w:link w:val="FootnoteTextChar"/>
    <w:uiPriority w:val="99"/>
    <w:unhideWhenUsed/>
    <w:rsid w:val="000B4AA0"/>
    <w:rPr>
      <w:rFonts w:ascii="Calibri" w:hAnsi="Calibri"/>
    </w:rPr>
  </w:style>
  <w:style w:type="character" w:customStyle="1" w:styleId="FootnoteTextChar">
    <w:name w:val="Footnote Text Char"/>
    <w:basedOn w:val="DefaultParagraphFont"/>
    <w:link w:val="FootnoteText"/>
    <w:uiPriority w:val="99"/>
    <w:rsid w:val="000B4AA0"/>
  </w:style>
  <w:style w:type="character" w:styleId="FootnoteReference">
    <w:name w:val="footnote reference"/>
    <w:uiPriority w:val="99"/>
    <w:unhideWhenUsed/>
    <w:rsid w:val="000B4AA0"/>
    <w:rPr>
      <w:vertAlign w:val="superscript"/>
    </w:rPr>
  </w:style>
  <w:style w:type="character" w:styleId="CommentReference">
    <w:name w:val="annotation reference"/>
    <w:uiPriority w:val="99"/>
    <w:semiHidden/>
    <w:unhideWhenUsed/>
    <w:rsid w:val="00D50500"/>
    <w:rPr>
      <w:sz w:val="18"/>
      <w:szCs w:val="18"/>
    </w:rPr>
  </w:style>
  <w:style w:type="paragraph" w:styleId="CommentText">
    <w:name w:val="annotation text"/>
    <w:basedOn w:val="Normal"/>
    <w:link w:val="CommentTextChar"/>
    <w:uiPriority w:val="99"/>
    <w:semiHidden/>
    <w:unhideWhenUsed/>
    <w:rsid w:val="00D50500"/>
    <w:rPr>
      <w:rFonts w:ascii="Calibri" w:hAnsi="Calibri"/>
    </w:rPr>
  </w:style>
  <w:style w:type="character" w:customStyle="1" w:styleId="CommentTextChar">
    <w:name w:val="Comment Text Char"/>
    <w:basedOn w:val="DefaultParagraphFont"/>
    <w:link w:val="CommentText"/>
    <w:uiPriority w:val="99"/>
    <w:semiHidden/>
    <w:rsid w:val="00D50500"/>
  </w:style>
  <w:style w:type="paragraph" w:styleId="CommentSubject">
    <w:name w:val="annotation subject"/>
    <w:basedOn w:val="CommentText"/>
    <w:next w:val="CommentText"/>
    <w:link w:val="CommentSubjectChar"/>
    <w:uiPriority w:val="99"/>
    <w:semiHidden/>
    <w:unhideWhenUsed/>
    <w:rsid w:val="00D50500"/>
    <w:rPr>
      <w:b/>
      <w:bCs/>
      <w:sz w:val="20"/>
      <w:szCs w:val="20"/>
    </w:rPr>
  </w:style>
  <w:style w:type="character" w:customStyle="1" w:styleId="CommentSubjectChar">
    <w:name w:val="Comment Subject Char"/>
    <w:link w:val="CommentSubject"/>
    <w:uiPriority w:val="99"/>
    <w:semiHidden/>
    <w:rsid w:val="00D50500"/>
    <w:rPr>
      <w:b/>
      <w:bCs/>
      <w:sz w:val="20"/>
      <w:szCs w:val="20"/>
    </w:rPr>
  </w:style>
  <w:style w:type="character" w:customStyle="1" w:styleId="italic">
    <w:name w:val="italic"/>
    <w:basedOn w:val="DefaultParagraphFont"/>
    <w:rsid w:val="00022910"/>
  </w:style>
  <w:style w:type="character" w:styleId="FollowedHyperlink">
    <w:name w:val="FollowedHyperlink"/>
    <w:uiPriority w:val="99"/>
    <w:semiHidden/>
    <w:unhideWhenUsed/>
    <w:rsid w:val="008503EA"/>
    <w:rPr>
      <w:color w:val="954F72"/>
      <w:u w:val="single"/>
    </w:rPr>
  </w:style>
  <w:style w:type="paragraph" w:styleId="ListParagraph">
    <w:name w:val="List Paragraph"/>
    <w:basedOn w:val="Normal"/>
    <w:uiPriority w:val="34"/>
    <w:qFormat/>
    <w:rsid w:val="00A46CBA"/>
    <w:pPr>
      <w:ind w:left="720"/>
      <w:contextualSpacing/>
    </w:pPr>
  </w:style>
  <w:style w:type="paragraph" w:styleId="Footer">
    <w:name w:val="footer"/>
    <w:basedOn w:val="Normal"/>
    <w:link w:val="FooterChar"/>
    <w:uiPriority w:val="99"/>
    <w:unhideWhenUsed/>
    <w:rsid w:val="00F2779C"/>
    <w:pPr>
      <w:tabs>
        <w:tab w:val="center" w:pos="4680"/>
        <w:tab w:val="right" w:pos="9360"/>
      </w:tabs>
    </w:pPr>
  </w:style>
  <w:style w:type="character" w:customStyle="1" w:styleId="FooterChar">
    <w:name w:val="Footer Char"/>
    <w:basedOn w:val="DefaultParagraphFont"/>
    <w:link w:val="Footer"/>
    <w:uiPriority w:val="99"/>
    <w:rsid w:val="00F2779C"/>
    <w:rPr>
      <w:rFonts w:ascii="Times New Roman" w:hAnsi="Times New Roman"/>
      <w:sz w:val="24"/>
      <w:szCs w:val="24"/>
    </w:rPr>
  </w:style>
  <w:style w:type="character" w:styleId="PageNumber">
    <w:name w:val="page number"/>
    <w:basedOn w:val="DefaultParagraphFont"/>
    <w:uiPriority w:val="99"/>
    <w:semiHidden/>
    <w:unhideWhenUsed/>
    <w:rsid w:val="00F2779C"/>
  </w:style>
  <w:style w:type="character" w:styleId="Strong">
    <w:name w:val="Strong"/>
    <w:basedOn w:val="DefaultParagraphFont"/>
    <w:uiPriority w:val="22"/>
    <w:qFormat/>
    <w:rsid w:val="001F6CAE"/>
    <w:rPr>
      <w:b/>
      <w:bCs/>
    </w:rPr>
  </w:style>
  <w:style w:type="character" w:styleId="UnresolvedMention">
    <w:name w:val="Unresolved Mention"/>
    <w:basedOn w:val="DefaultParagraphFont"/>
    <w:uiPriority w:val="99"/>
    <w:semiHidden/>
    <w:unhideWhenUsed/>
    <w:rsid w:val="001F6CAE"/>
    <w:rPr>
      <w:color w:val="808080"/>
      <w:shd w:val="clear" w:color="auto" w:fill="E6E6E6"/>
    </w:rPr>
  </w:style>
  <w:style w:type="character" w:customStyle="1" w:styleId="Heading4Char">
    <w:name w:val="Heading 4 Char"/>
    <w:basedOn w:val="DefaultParagraphFont"/>
    <w:link w:val="Heading4"/>
    <w:uiPriority w:val="9"/>
    <w:rsid w:val="00BB4C0D"/>
    <w:rPr>
      <w:rFonts w:ascii="Times New Roman" w:eastAsia="Times New Roman" w:hAnsi="Times New Roman"/>
      <w:b/>
      <w:bCs/>
      <w:sz w:val="24"/>
      <w:szCs w:val="24"/>
    </w:rPr>
  </w:style>
  <w:style w:type="character" w:customStyle="1" w:styleId="Heading1Char">
    <w:name w:val="Heading 1 Char"/>
    <w:basedOn w:val="DefaultParagraphFont"/>
    <w:link w:val="Heading1"/>
    <w:uiPriority w:val="9"/>
    <w:rsid w:val="00BB4C0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F61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0068">
      <w:bodyDiv w:val="1"/>
      <w:marLeft w:val="0"/>
      <w:marRight w:val="0"/>
      <w:marTop w:val="0"/>
      <w:marBottom w:val="0"/>
      <w:divBdr>
        <w:top w:val="none" w:sz="0" w:space="0" w:color="auto"/>
        <w:left w:val="none" w:sz="0" w:space="0" w:color="auto"/>
        <w:bottom w:val="none" w:sz="0" w:space="0" w:color="auto"/>
        <w:right w:val="none" w:sz="0" w:space="0" w:color="auto"/>
      </w:divBdr>
    </w:div>
    <w:div w:id="97649482">
      <w:bodyDiv w:val="1"/>
      <w:marLeft w:val="0"/>
      <w:marRight w:val="0"/>
      <w:marTop w:val="0"/>
      <w:marBottom w:val="0"/>
      <w:divBdr>
        <w:top w:val="none" w:sz="0" w:space="0" w:color="auto"/>
        <w:left w:val="none" w:sz="0" w:space="0" w:color="auto"/>
        <w:bottom w:val="none" w:sz="0" w:space="0" w:color="auto"/>
        <w:right w:val="none" w:sz="0" w:space="0" w:color="auto"/>
      </w:divBdr>
    </w:div>
    <w:div w:id="139273456">
      <w:bodyDiv w:val="1"/>
      <w:marLeft w:val="0"/>
      <w:marRight w:val="0"/>
      <w:marTop w:val="0"/>
      <w:marBottom w:val="0"/>
      <w:divBdr>
        <w:top w:val="none" w:sz="0" w:space="0" w:color="auto"/>
        <w:left w:val="none" w:sz="0" w:space="0" w:color="auto"/>
        <w:bottom w:val="none" w:sz="0" w:space="0" w:color="auto"/>
        <w:right w:val="none" w:sz="0" w:space="0" w:color="auto"/>
      </w:divBdr>
    </w:div>
    <w:div w:id="142893196">
      <w:bodyDiv w:val="1"/>
      <w:marLeft w:val="0"/>
      <w:marRight w:val="0"/>
      <w:marTop w:val="0"/>
      <w:marBottom w:val="0"/>
      <w:divBdr>
        <w:top w:val="none" w:sz="0" w:space="0" w:color="auto"/>
        <w:left w:val="none" w:sz="0" w:space="0" w:color="auto"/>
        <w:bottom w:val="none" w:sz="0" w:space="0" w:color="auto"/>
        <w:right w:val="none" w:sz="0" w:space="0" w:color="auto"/>
      </w:divBdr>
    </w:div>
    <w:div w:id="214439895">
      <w:bodyDiv w:val="1"/>
      <w:marLeft w:val="0"/>
      <w:marRight w:val="0"/>
      <w:marTop w:val="0"/>
      <w:marBottom w:val="0"/>
      <w:divBdr>
        <w:top w:val="none" w:sz="0" w:space="0" w:color="auto"/>
        <w:left w:val="none" w:sz="0" w:space="0" w:color="auto"/>
        <w:bottom w:val="none" w:sz="0" w:space="0" w:color="auto"/>
        <w:right w:val="none" w:sz="0" w:space="0" w:color="auto"/>
      </w:divBdr>
    </w:div>
    <w:div w:id="257642256">
      <w:bodyDiv w:val="1"/>
      <w:marLeft w:val="0"/>
      <w:marRight w:val="0"/>
      <w:marTop w:val="0"/>
      <w:marBottom w:val="0"/>
      <w:divBdr>
        <w:top w:val="none" w:sz="0" w:space="0" w:color="auto"/>
        <w:left w:val="none" w:sz="0" w:space="0" w:color="auto"/>
        <w:bottom w:val="none" w:sz="0" w:space="0" w:color="auto"/>
        <w:right w:val="none" w:sz="0" w:space="0" w:color="auto"/>
      </w:divBdr>
    </w:div>
    <w:div w:id="296879340">
      <w:bodyDiv w:val="1"/>
      <w:marLeft w:val="0"/>
      <w:marRight w:val="0"/>
      <w:marTop w:val="0"/>
      <w:marBottom w:val="0"/>
      <w:divBdr>
        <w:top w:val="none" w:sz="0" w:space="0" w:color="auto"/>
        <w:left w:val="none" w:sz="0" w:space="0" w:color="auto"/>
        <w:bottom w:val="none" w:sz="0" w:space="0" w:color="auto"/>
        <w:right w:val="none" w:sz="0" w:space="0" w:color="auto"/>
      </w:divBdr>
      <w:divsChild>
        <w:div w:id="970791067">
          <w:marLeft w:val="0"/>
          <w:marRight w:val="0"/>
          <w:marTop w:val="0"/>
          <w:marBottom w:val="0"/>
          <w:divBdr>
            <w:top w:val="none" w:sz="0" w:space="0" w:color="auto"/>
            <w:left w:val="none" w:sz="0" w:space="0" w:color="auto"/>
            <w:bottom w:val="none" w:sz="0" w:space="0" w:color="auto"/>
            <w:right w:val="none" w:sz="0" w:space="0" w:color="auto"/>
          </w:divBdr>
        </w:div>
        <w:div w:id="1390224709">
          <w:marLeft w:val="0"/>
          <w:marRight w:val="0"/>
          <w:marTop w:val="0"/>
          <w:marBottom w:val="0"/>
          <w:divBdr>
            <w:top w:val="none" w:sz="0" w:space="0" w:color="auto"/>
            <w:left w:val="none" w:sz="0" w:space="0" w:color="auto"/>
            <w:bottom w:val="none" w:sz="0" w:space="0" w:color="auto"/>
            <w:right w:val="none" w:sz="0" w:space="0" w:color="auto"/>
          </w:divBdr>
        </w:div>
      </w:divsChild>
    </w:div>
    <w:div w:id="313721362">
      <w:bodyDiv w:val="1"/>
      <w:marLeft w:val="0"/>
      <w:marRight w:val="0"/>
      <w:marTop w:val="0"/>
      <w:marBottom w:val="0"/>
      <w:divBdr>
        <w:top w:val="none" w:sz="0" w:space="0" w:color="auto"/>
        <w:left w:val="none" w:sz="0" w:space="0" w:color="auto"/>
        <w:bottom w:val="none" w:sz="0" w:space="0" w:color="auto"/>
        <w:right w:val="none" w:sz="0" w:space="0" w:color="auto"/>
      </w:divBdr>
      <w:divsChild>
        <w:div w:id="1397045755">
          <w:marLeft w:val="0"/>
          <w:marRight w:val="0"/>
          <w:marTop w:val="0"/>
          <w:marBottom w:val="0"/>
          <w:divBdr>
            <w:top w:val="none" w:sz="0" w:space="0" w:color="auto"/>
            <w:left w:val="none" w:sz="0" w:space="0" w:color="auto"/>
            <w:bottom w:val="none" w:sz="0" w:space="0" w:color="auto"/>
            <w:right w:val="none" w:sz="0" w:space="0" w:color="auto"/>
          </w:divBdr>
          <w:divsChild>
            <w:div w:id="2098093889">
              <w:marLeft w:val="0"/>
              <w:marRight w:val="0"/>
              <w:marTop w:val="0"/>
              <w:marBottom w:val="450"/>
              <w:divBdr>
                <w:top w:val="none" w:sz="0" w:space="0" w:color="auto"/>
                <w:left w:val="none" w:sz="0" w:space="0" w:color="auto"/>
                <w:bottom w:val="none" w:sz="0" w:space="0" w:color="auto"/>
                <w:right w:val="none" w:sz="0" w:space="0" w:color="auto"/>
              </w:divBdr>
            </w:div>
          </w:divsChild>
        </w:div>
        <w:div w:id="1301692568">
          <w:marLeft w:val="0"/>
          <w:marRight w:val="0"/>
          <w:marTop w:val="0"/>
          <w:marBottom w:val="210"/>
          <w:divBdr>
            <w:top w:val="none" w:sz="0" w:space="0" w:color="auto"/>
            <w:left w:val="none" w:sz="0" w:space="0" w:color="auto"/>
            <w:bottom w:val="none" w:sz="0" w:space="0" w:color="auto"/>
            <w:right w:val="none" w:sz="0" w:space="0" w:color="auto"/>
          </w:divBdr>
          <w:divsChild>
            <w:div w:id="2065832427">
              <w:marLeft w:val="0"/>
              <w:marRight w:val="0"/>
              <w:marTop w:val="105"/>
              <w:marBottom w:val="105"/>
              <w:divBdr>
                <w:top w:val="none" w:sz="0" w:space="0" w:color="auto"/>
                <w:left w:val="none" w:sz="0" w:space="0" w:color="auto"/>
                <w:bottom w:val="none" w:sz="0" w:space="0" w:color="auto"/>
                <w:right w:val="none" w:sz="0" w:space="0" w:color="auto"/>
              </w:divBdr>
              <w:divsChild>
                <w:div w:id="1272710187">
                  <w:marLeft w:val="0"/>
                  <w:marRight w:val="0"/>
                  <w:marTop w:val="0"/>
                  <w:marBottom w:val="0"/>
                  <w:divBdr>
                    <w:top w:val="none" w:sz="0" w:space="0" w:color="auto"/>
                    <w:left w:val="none" w:sz="0" w:space="0" w:color="auto"/>
                    <w:bottom w:val="none" w:sz="0" w:space="0" w:color="auto"/>
                    <w:right w:val="none" w:sz="0" w:space="0" w:color="auto"/>
                  </w:divBdr>
                  <w:divsChild>
                    <w:div w:id="186366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75089">
      <w:bodyDiv w:val="1"/>
      <w:marLeft w:val="0"/>
      <w:marRight w:val="0"/>
      <w:marTop w:val="0"/>
      <w:marBottom w:val="0"/>
      <w:divBdr>
        <w:top w:val="none" w:sz="0" w:space="0" w:color="auto"/>
        <w:left w:val="none" w:sz="0" w:space="0" w:color="auto"/>
        <w:bottom w:val="none" w:sz="0" w:space="0" w:color="auto"/>
        <w:right w:val="none" w:sz="0" w:space="0" w:color="auto"/>
      </w:divBdr>
    </w:div>
    <w:div w:id="411893824">
      <w:bodyDiv w:val="1"/>
      <w:marLeft w:val="0"/>
      <w:marRight w:val="0"/>
      <w:marTop w:val="0"/>
      <w:marBottom w:val="0"/>
      <w:divBdr>
        <w:top w:val="none" w:sz="0" w:space="0" w:color="auto"/>
        <w:left w:val="none" w:sz="0" w:space="0" w:color="auto"/>
        <w:bottom w:val="none" w:sz="0" w:space="0" w:color="auto"/>
        <w:right w:val="none" w:sz="0" w:space="0" w:color="auto"/>
      </w:divBdr>
    </w:div>
    <w:div w:id="418449176">
      <w:bodyDiv w:val="1"/>
      <w:marLeft w:val="0"/>
      <w:marRight w:val="0"/>
      <w:marTop w:val="0"/>
      <w:marBottom w:val="0"/>
      <w:divBdr>
        <w:top w:val="none" w:sz="0" w:space="0" w:color="auto"/>
        <w:left w:val="none" w:sz="0" w:space="0" w:color="auto"/>
        <w:bottom w:val="none" w:sz="0" w:space="0" w:color="auto"/>
        <w:right w:val="none" w:sz="0" w:space="0" w:color="auto"/>
      </w:divBdr>
    </w:div>
    <w:div w:id="454445053">
      <w:bodyDiv w:val="1"/>
      <w:marLeft w:val="0"/>
      <w:marRight w:val="0"/>
      <w:marTop w:val="0"/>
      <w:marBottom w:val="0"/>
      <w:divBdr>
        <w:top w:val="none" w:sz="0" w:space="0" w:color="auto"/>
        <w:left w:val="none" w:sz="0" w:space="0" w:color="auto"/>
        <w:bottom w:val="none" w:sz="0" w:space="0" w:color="auto"/>
        <w:right w:val="none" w:sz="0" w:space="0" w:color="auto"/>
      </w:divBdr>
    </w:div>
    <w:div w:id="475531245">
      <w:bodyDiv w:val="1"/>
      <w:marLeft w:val="0"/>
      <w:marRight w:val="0"/>
      <w:marTop w:val="0"/>
      <w:marBottom w:val="0"/>
      <w:divBdr>
        <w:top w:val="none" w:sz="0" w:space="0" w:color="auto"/>
        <w:left w:val="none" w:sz="0" w:space="0" w:color="auto"/>
        <w:bottom w:val="none" w:sz="0" w:space="0" w:color="auto"/>
        <w:right w:val="none" w:sz="0" w:space="0" w:color="auto"/>
      </w:divBdr>
    </w:div>
    <w:div w:id="764616618">
      <w:bodyDiv w:val="1"/>
      <w:marLeft w:val="0"/>
      <w:marRight w:val="0"/>
      <w:marTop w:val="0"/>
      <w:marBottom w:val="0"/>
      <w:divBdr>
        <w:top w:val="none" w:sz="0" w:space="0" w:color="auto"/>
        <w:left w:val="none" w:sz="0" w:space="0" w:color="auto"/>
        <w:bottom w:val="none" w:sz="0" w:space="0" w:color="auto"/>
        <w:right w:val="none" w:sz="0" w:space="0" w:color="auto"/>
      </w:divBdr>
    </w:div>
    <w:div w:id="938294611">
      <w:bodyDiv w:val="1"/>
      <w:marLeft w:val="0"/>
      <w:marRight w:val="0"/>
      <w:marTop w:val="0"/>
      <w:marBottom w:val="0"/>
      <w:divBdr>
        <w:top w:val="none" w:sz="0" w:space="0" w:color="auto"/>
        <w:left w:val="none" w:sz="0" w:space="0" w:color="auto"/>
        <w:bottom w:val="none" w:sz="0" w:space="0" w:color="auto"/>
        <w:right w:val="none" w:sz="0" w:space="0" w:color="auto"/>
      </w:divBdr>
    </w:div>
    <w:div w:id="1173951938">
      <w:bodyDiv w:val="1"/>
      <w:marLeft w:val="0"/>
      <w:marRight w:val="0"/>
      <w:marTop w:val="0"/>
      <w:marBottom w:val="0"/>
      <w:divBdr>
        <w:top w:val="none" w:sz="0" w:space="0" w:color="auto"/>
        <w:left w:val="none" w:sz="0" w:space="0" w:color="auto"/>
        <w:bottom w:val="none" w:sz="0" w:space="0" w:color="auto"/>
        <w:right w:val="none" w:sz="0" w:space="0" w:color="auto"/>
      </w:divBdr>
    </w:div>
    <w:div w:id="1175263470">
      <w:bodyDiv w:val="1"/>
      <w:marLeft w:val="0"/>
      <w:marRight w:val="0"/>
      <w:marTop w:val="0"/>
      <w:marBottom w:val="0"/>
      <w:divBdr>
        <w:top w:val="none" w:sz="0" w:space="0" w:color="auto"/>
        <w:left w:val="none" w:sz="0" w:space="0" w:color="auto"/>
        <w:bottom w:val="none" w:sz="0" w:space="0" w:color="auto"/>
        <w:right w:val="none" w:sz="0" w:space="0" w:color="auto"/>
      </w:divBdr>
    </w:div>
    <w:div w:id="1267888862">
      <w:bodyDiv w:val="1"/>
      <w:marLeft w:val="0"/>
      <w:marRight w:val="0"/>
      <w:marTop w:val="0"/>
      <w:marBottom w:val="0"/>
      <w:divBdr>
        <w:top w:val="none" w:sz="0" w:space="0" w:color="auto"/>
        <w:left w:val="none" w:sz="0" w:space="0" w:color="auto"/>
        <w:bottom w:val="none" w:sz="0" w:space="0" w:color="auto"/>
        <w:right w:val="none" w:sz="0" w:space="0" w:color="auto"/>
      </w:divBdr>
    </w:div>
    <w:div w:id="1351684948">
      <w:bodyDiv w:val="1"/>
      <w:marLeft w:val="0"/>
      <w:marRight w:val="0"/>
      <w:marTop w:val="0"/>
      <w:marBottom w:val="0"/>
      <w:divBdr>
        <w:top w:val="none" w:sz="0" w:space="0" w:color="auto"/>
        <w:left w:val="none" w:sz="0" w:space="0" w:color="auto"/>
        <w:bottom w:val="none" w:sz="0" w:space="0" w:color="auto"/>
        <w:right w:val="none" w:sz="0" w:space="0" w:color="auto"/>
      </w:divBdr>
    </w:div>
    <w:div w:id="1424493031">
      <w:bodyDiv w:val="1"/>
      <w:marLeft w:val="0"/>
      <w:marRight w:val="0"/>
      <w:marTop w:val="0"/>
      <w:marBottom w:val="0"/>
      <w:divBdr>
        <w:top w:val="none" w:sz="0" w:space="0" w:color="auto"/>
        <w:left w:val="none" w:sz="0" w:space="0" w:color="auto"/>
        <w:bottom w:val="none" w:sz="0" w:space="0" w:color="auto"/>
        <w:right w:val="none" w:sz="0" w:space="0" w:color="auto"/>
      </w:divBdr>
      <w:divsChild>
        <w:div w:id="1638602294">
          <w:marLeft w:val="0"/>
          <w:marRight w:val="0"/>
          <w:marTop w:val="0"/>
          <w:marBottom w:val="0"/>
          <w:divBdr>
            <w:top w:val="none" w:sz="0" w:space="0" w:color="auto"/>
            <w:left w:val="none" w:sz="0" w:space="0" w:color="auto"/>
            <w:bottom w:val="none" w:sz="0" w:space="0" w:color="auto"/>
            <w:right w:val="none" w:sz="0" w:space="0" w:color="auto"/>
          </w:divBdr>
          <w:divsChild>
            <w:div w:id="1777871937">
              <w:marLeft w:val="0"/>
              <w:marRight w:val="0"/>
              <w:marTop w:val="0"/>
              <w:marBottom w:val="450"/>
              <w:divBdr>
                <w:top w:val="none" w:sz="0" w:space="0" w:color="auto"/>
                <w:left w:val="none" w:sz="0" w:space="0" w:color="auto"/>
                <w:bottom w:val="none" w:sz="0" w:space="0" w:color="auto"/>
                <w:right w:val="none" w:sz="0" w:space="0" w:color="auto"/>
              </w:divBdr>
            </w:div>
          </w:divsChild>
        </w:div>
        <w:div w:id="1591160904">
          <w:marLeft w:val="0"/>
          <w:marRight w:val="0"/>
          <w:marTop w:val="0"/>
          <w:marBottom w:val="210"/>
          <w:divBdr>
            <w:top w:val="none" w:sz="0" w:space="0" w:color="auto"/>
            <w:left w:val="none" w:sz="0" w:space="0" w:color="auto"/>
            <w:bottom w:val="none" w:sz="0" w:space="0" w:color="auto"/>
            <w:right w:val="none" w:sz="0" w:space="0" w:color="auto"/>
          </w:divBdr>
          <w:divsChild>
            <w:div w:id="1290211558">
              <w:marLeft w:val="0"/>
              <w:marRight w:val="0"/>
              <w:marTop w:val="105"/>
              <w:marBottom w:val="105"/>
              <w:divBdr>
                <w:top w:val="none" w:sz="0" w:space="0" w:color="auto"/>
                <w:left w:val="none" w:sz="0" w:space="0" w:color="auto"/>
                <w:bottom w:val="none" w:sz="0" w:space="0" w:color="auto"/>
                <w:right w:val="none" w:sz="0" w:space="0" w:color="auto"/>
              </w:divBdr>
              <w:divsChild>
                <w:div w:id="2020616917">
                  <w:marLeft w:val="0"/>
                  <w:marRight w:val="0"/>
                  <w:marTop w:val="0"/>
                  <w:marBottom w:val="0"/>
                  <w:divBdr>
                    <w:top w:val="none" w:sz="0" w:space="0" w:color="auto"/>
                    <w:left w:val="none" w:sz="0" w:space="0" w:color="auto"/>
                    <w:bottom w:val="none" w:sz="0" w:space="0" w:color="auto"/>
                    <w:right w:val="none" w:sz="0" w:space="0" w:color="auto"/>
                  </w:divBdr>
                  <w:divsChild>
                    <w:div w:id="52560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964324">
      <w:bodyDiv w:val="1"/>
      <w:marLeft w:val="0"/>
      <w:marRight w:val="0"/>
      <w:marTop w:val="0"/>
      <w:marBottom w:val="0"/>
      <w:divBdr>
        <w:top w:val="none" w:sz="0" w:space="0" w:color="auto"/>
        <w:left w:val="none" w:sz="0" w:space="0" w:color="auto"/>
        <w:bottom w:val="none" w:sz="0" w:space="0" w:color="auto"/>
        <w:right w:val="none" w:sz="0" w:space="0" w:color="auto"/>
      </w:divBdr>
    </w:div>
    <w:div w:id="1823161478">
      <w:bodyDiv w:val="1"/>
      <w:marLeft w:val="0"/>
      <w:marRight w:val="0"/>
      <w:marTop w:val="0"/>
      <w:marBottom w:val="0"/>
      <w:divBdr>
        <w:top w:val="none" w:sz="0" w:space="0" w:color="auto"/>
        <w:left w:val="none" w:sz="0" w:space="0" w:color="auto"/>
        <w:bottom w:val="none" w:sz="0" w:space="0" w:color="auto"/>
        <w:right w:val="none" w:sz="0" w:space="0" w:color="auto"/>
      </w:divBdr>
    </w:div>
    <w:div w:id="1988850273">
      <w:bodyDiv w:val="1"/>
      <w:marLeft w:val="0"/>
      <w:marRight w:val="0"/>
      <w:marTop w:val="0"/>
      <w:marBottom w:val="0"/>
      <w:divBdr>
        <w:top w:val="none" w:sz="0" w:space="0" w:color="auto"/>
        <w:left w:val="none" w:sz="0" w:space="0" w:color="auto"/>
        <w:bottom w:val="none" w:sz="0" w:space="0" w:color="auto"/>
        <w:right w:val="none" w:sz="0" w:space="0" w:color="auto"/>
      </w:divBdr>
    </w:div>
    <w:div w:id="2015573777">
      <w:bodyDiv w:val="1"/>
      <w:marLeft w:val="0"/>
      <w:marRight w:val="0"/>
      <w:marTop w:val="0"/>
      <w:marBottom w:val="0"/>
      <w:divBdr>
        <w:top w:val="none" w:sz="0" w:space="0" w:color="auto"/>
        <w:left w:val="none" w:sz="0" w:space="0" w:color="auto"/>
        <w:bottom w:val="none" w:sz="0" w:space="0" w:color="auto"/>
        <w:right w:val="none" w:sz="0" w:space="0" w:color="auto"/>
      </w:divBdr>
    </w:div>
    <w:div w:id="2130932002">
      <w:bodyDiv w:val="1"/>
      <w:marLeft w:val="0"/>
      <w:marRight w:val="0"/>
      <w:marTop w:val="0"/>
      <w:marBottom w:val="0"/>
      <w:divBdr>
        <w:top w:val="none" w:sz="0" w:space="0" w:color="auto"/>
        <w:left w:val="none" w:sz="0" w:space="0" w:color="auto"/>
        <w:bottom w:val="none" w:sz="0" w:space="0" w:color="auto"/>
        <w:right w:val="none" w:sz="0" w:space="0" w:color="auto"/>
      </w:divBdr>
    </w:div>
    <w:div w:id="2139491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330AA4-C604-C54E-8F26-50B1E2BC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10047</Words>
  <Characters>57271</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67184</CharactersWithSpaces>
  <SharedDoc>false</SharedDoc>
  <HLinks>
    <vt:vector size="18" baseType="variant">
      <vt:variant>
        <vt:i4>2293863</vt:i4>
      </vt:variant>
      <vt:variant>
        <vt:i4>6</vt:i4>
      </vt:variant>
      <vt:variant>
        <vt:i4>0</vt:i4>
      </vt:variant>
      <vt:variant>
        <vt:i4>5</vt:i4>
      </vt:variant>
      <vt:variant>
        <vt:lpwstr>http://dx.doi.org/10.1111/add.13886</vt:lpwstr>
      </vt:variant>
      <vt:variant>
        <vt:lpwstr/>
      </vt:variant>
      <vt:variant>
        <vt:i4>3866730</vt:i4>
      </vt:variant>
      <vt:variant>
        <vt:i4>3</vt:i4>
      </vt:variant>
      <vt:variant>
        <vt:i4>0</vt:i4>
      </vt:variant>
      <vt:variant>
        <vt:i4>5</vt:i4>
      </vt:variant>
      <vt:variant>
        <vt:lpwstr>https://www.samhsa.gov/data/sites/default/files/NSDUH-MethodSummDefs-2016/NSDUH-MethodSummDefs-2016.htm</vt:lpwstr>
      </vt:variant>
      <vt:variant>
        <vt:lpwstr>b4-3</vt:lpwstr>
      </vt:variant>
      <vt:variant>
        <vt:i4>1245186</vt:i4>
      </vt:variant>
      <vt:variant>
        <vt:i4>0</vt:i4>
      </vt:variant>
      <vt:variant>
        <vt:i4>0</vt:i4>
      </vt:variant>
      <vt:variant>
        <vt:i4>5</vt:i4>
      </vt:variant>
      <vt:variant>
        <vt:lpwstr>https://www.samhsa.gov/data/sites/default/files/NSDUH-DetTabs-2016/NSDUH-DetTabs-2016.pdf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Davenport</dc:creator>
  <cp:keywords/>
  <dc:description/>
  <cp:lastModifiedBy>Davenport, Steve</cp:lastModifiedBy>
  <cp:revision>6</cp:revision>
  <dcterms:created xsi:type="dcterms:W3CDTF">2018-09-07T19:30:00Z</dcterms:created>
  <dcterms:modified xsi:type="dcterms:W3CDTF">2018-09-20T10:45:00Z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http://www.zotero.org/styles/drug-and-alcohol-dependence</vt:lpwstr>
  </property>
  <property fmtid="{D5CDD505-2E9C-101B-9397-08002B2CF9AE}" pid="13" name="Mendeley Recent Style Name 5_1">
    <vt:lpwstr>Drug and Alcohol Dependence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2bd6a43d-3bad-3d64-a5b0-24f9679c50ec</vt:lpwstr>
  </property>
  <property fmtid="{D5CDD505-2E9C-101B-9397-08002B2CF9AE}" pid="24" name="Mendeley Citation Style_1">
    <vt:lpwstr>http://www.zotero.org/styles/drug-and-alcohol-dependence</vt:lpwstr>
  </property>
</Properties>
</file>